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8B0" w:rsidRPr="00FA14EB" w:rsidRDefault="009808B0" w:rsidP="009808B0">
      <w:pPr>
        <w:spacing w:after="120" w:line="360" w:lineRule="auto"/>
        <w:ind w:firstLine="3544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FA14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ПРОЕКТ</w:t>
      </w:r>
    </w:p>
    <w:p w:rsidR="009C6F1D" w:rsidRPr="00FA14EB" w:rsidRDefault="009C6F1D" w:rsidP="00CE4325">
      <w:pPr>
        <w:spacing w:after="120" w:line="360" w:lineRule="auto"/>
        <w:ind w:left="34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FA14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ОДОБРИЛ,</w:t>
      </w:r>
    </w:p>
    <w:p w:rsidR="00CE4325" w:rsidRPr="00FA14EB" w:rsidRDefault="00842D71" w:rsidP="00CE4325">
      <w:pPr>
        <w:spacing w:after="120" w:line="240" w:lineRule="auto"/>
        <w:ind w:left="34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АСЕН ВАСИЛЕВ</w:t>
      </w:r>
    </w:p>
    <w:p w:rsidR="009C6F1D" w:rsidRPr="007B3A53" w:rsidRDefault="009C6F1D" w:rsidP="00CE4325">
      <w:pPr>
        <w:spacing w:after="120" w:line="240" w:lineRule="auto"/>
        <w:ind w:left="3402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A14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МИНИСТЪР НА ФИНАНСИТЕ:</w:t>
      </w:r>
    </w:p>
    <w:p w:rsidR="009C6F1D" w:rsidRDefault="009C6F1D" w:rsidP="009C6F1D">
      <w:p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F09DB" w:rsidRPr="007B3A53" w:rsidRDefault="00DF09DB" w:rsidP="009C6F1D">
      <w:p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C6F1D" w:rsidRPr="007B3A53" w:rsidRDefault="009C6F1D" w:rsidP="009C6F1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7B3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Ф И Н А Н С О В А   О Б О С Н О В К А</w:t>
      </w:r>
    </w:p>
    <w:p w:rsidR="009C6F1D" w:rsidRPr="007B3A53" w:rsidRDefault="009C6F1D" w:rsidP="009C6F1D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C6F1D" w:rsidRPr="00F31D64" w:rsidRDefault="009C6F1D" w:rsidP="00F31D64">
      <w:pPr>
        <w:spacing w:after="0" w:line="240" w:lineRule="auto"/>
        <w:ind w:left="2127" w:hanging="141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7B3A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ОТНОСНО:</w:t>
      </w:r>
      <w:r w:rsidRPr="007B3A53">
        <w:t xml:space="preserve"> </w:t>
      </w:r>
      <w:r w:rsidRPr="007B3A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Проект </w:t>
      </w:r>
      <w:r w:rsidR="00F31D64" w:rsidRPr="00F31D6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на Решение на Министерския съвет за изменение на Решение № 52 на Министерския съвет от 3 февруари 2022 г. за утвърждаване на класификация на областите на политики/функционалните области и бюджетните програми от компетентността и отговорността на съответния първостепенен разпоредител с бюджет, чийто бюджет се включва в държавния бюджет, с изключение на първостепенните разпоредители с бюджет по бюджетите на Народното събрание и на съдебната власт, за периода 2022-2025 г.</w:t>
      </w:r>
      <w:r w:rsidR="00842D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, </w:t>
      </w:r>
      <w:r w:rsidR="00842D71" w:rsidRPr="00842D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изм. с Решение № 850 на Министерския съвет от 2022</w:t>
      </w:r>
      <w:r w:rsidR="00F117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 </w:t>
      </w:r>
      <w:r w:rsidR="00842D71" w:rsidRPr="00842D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г.</w:t>
      </w:r>
    </w:p>
    <w:p w:rsidR="009C6F1D" w:rsidRPr="007B3A53" w:rsidRDefault="009C6F1D" w:rsidP="009C6F1D">
      <w:pPr>
        <w:spacing w:after="0" w:line="240" w:lineRule="auto"/>
        <w:ind w:left="2127" w:hanging="141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9C6F1D" w:rsidRPr="007B3A53" w:rsidRDefault="009C6F1D" w:rsidP="009C6F1D">
      <w:pPr>
        <w:spacing w:after="0" w:line="240" w:lineRule="auto"/>
        <w:ind w:left="2127" w:hanging="1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C6F1D" w:rsidRPr="007B3A53" w:rsidRDefault="009C6F1D" w:rsidP="009C6F1D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B3A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1. Мотиви и цел за внасяне за разглеждане от Министерския съвет на проекта на акт</w:t>
      </w:r>
    </w:p>
    <w:p w:rsidR="009C6F1D" w:rsidRPr="007B3A53" w:rsidRDefault="009C6F1D" w:rsidP="009C6F1D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B3A5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Съгласно чл. </w:t>
      </w:r>
      <w:r w:rsidR="00EE2027" w:rsidRPr="007B3A5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18</w:t>
      </w:r>
      <w:r w:rsidRPr="007B3A5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ал. </w:t>
      </w:r>
      <w:r w:rsidR="00EE2027" w:rsidRPr="0092475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</w:t>
      </w:r>
      <w:r w:rsidRPr="0092475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F31D64" w:rsidRPr="0092475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 5</w:t>
      </w:r>
      <w:r w:rsidR="00F31D6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7B3A5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от Закона за публичните финанси Министерският съвет </w:t>
      </w:r>
      <w:r w:rsidR="00EE2027" w:rsidRPr="007B3A5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утвърждава класификация на областите на политики/функционалните области и бюджетните програми от компетентността и отговорността на съответния първостепенен разпоредител с бюджет</w:t>
      </w:r>
      <w:r w:rsidR="00F31D6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при организационни или нормативни промени, които засягат дейността на бюджетните организации, може да извърши промени по нея</w:t>
      </w:r>
      <w:r w:rsidRPr="007B3A5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EE2027" w:rsidRPr="007B3A5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EE2027" w:rsidRDefault="00F31D64" w:rsidP="00EE202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К</w:t>
      </w:r>
      <w:r w:rsidR="008600FA" w:rsidRPr="008600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ласификация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та</w:t>
      </w:r>
      <w:r w:rsidR="008600FA" w:rsidRPr="008600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на областите на политики/функционалните области и бюджетните програми от компетентността и отговорността на съответния първостепенен разпоредител с бюджет, чийто бюджет се включва в държавния бюджет, с изключение на първостепенните разпоредители с бюджет по бюджетите на Народното събрание и на съдебната власт</w:t>
      </w:r>
      <w:r w:rsidR="008600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, </w:t>
      </w:r>
      <w:r w:rsidR="00842D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беше утвърдена с</w:t>
      </w:r>
      <w:r w:rsidR="008600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</w:t>
      </w:r>
      <w:r w:rsidR="00B25A0E" w:rsidRPr="00B25A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Решение №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52</w:t>
      </w:r>
      <w:r w:rsidR="00B25A0E" w:rsidRPr="00B25A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на Министерския съвет от 20</w:t>
      </w:r>
      <w:r w:rsidR="008600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2</w:t>
      </w:r>
      <w:r w:rsidR="00B25A0E" w:rsidRPr="00B25A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г.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и </w:t>
      </w:r>
      <w:r w:rsidR="00842D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впоследствие изменена с </w:t>
      </w:r>
      <w:r w:rsidR="00842D71" w:rsidRPr="00842D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изм</w:t>
      </w:r>
      <w:r w:rsidR="00842D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енена</w:t>
      </w:r>
      <w:r w:rsidR="00842D71" w:rsidRPr="00842D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с Решение № 850 на Министерския съвет от 2022 г.</w:t>
      </w:r>
      <w:r w:rsidR="00842D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</w:t>
      </w:r>
    </w:p>
    <w:p w:rsidR="00842D71" w:rsidRDefault="00842D71" w:rsidP="009C6F1D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842D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С решението за приемане на структура на Министерския съвет беше преобразувано Министерството на земеделието в Министерство на земеделието и храните</w:t>
      </w:r>
      <w:r w:rsidR="00045E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, което нал</w:t>
      </w:r>
      <w:r w:rsidR="00BB4B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ага</w:t>
      </w:r>
      <w:r w:rsidR="00045E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промяна в наименованието му</w:t>
      </w:r>
      <w:r w:rsidR="001E35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</w:t>
      </w:r>
      <w:r w:rsidR="001E35AE" w:rsidRPr="001E35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в структурата на програмния бюджет </w:t>
      </w:r>
      <w:r w:rsidR="001E35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както на министерството, така и </w:t>
      </w:r>
      <w:r w:rsidR="001E35AE" w:rsidRPr="001E35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на Държавен фонд „Земеделие“ </w:t>
      </w:r>
      <w:r w:rsidR="001E35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във връзка с </w:t>
      </w:r>
      <w:r w:rsidR="001E35AE" w:rsidRPr="001E35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приноса му в изпълнението на провежданите политики в областта на земеделието и селските райони и в областта на рибарството и аквакултурите</w:t>
      </w:r>
      <w:r w:rsidRPr="00842D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  <w:r w:rsidR="00EE32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</w:t>
      </w:r>
    </w:p>
    <w:p w:rsidR="00045EAB" w:rsidRPr="00045EAB" w:rsidRDefault="00045EAB" w:rsidP="00045EAB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045E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В рамките на втория етап на бюджетната процедура за 2024 г. постъпиха от Министерството на финансите и от Министерството на иновациите и растежа (МИР) </w:t>
      </w:r>
      <w:r w:rsidRPr="00045E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lastRenderedPageBreak/>
        <w:t>предложения за промени в утвърдената класификация на областите на политики/функционални области и бюджетни програми със следните мотиви:</w:t>
      </w:r>
    </w:p>
    <w:p w:rsidR="00045EAB" w:rsidRPr="00045EAB" w:rsidRDefault="00045EAB" w:rsidP="00045EAB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045E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Предложението на Министерството на финансите е свързано с отпадане на бюджетна програма 1000.03.03 „Контрол върху организацията и провеждането на хазартни игри“ към „Политика в областта на защитата на обществото и икономиката от финансови измами, контрабанда на стоки, изпиране на пари и финансиране на тероризма“, произтичащо във връзка с промените в Закона за хазарта (ДВ, бр. 69 от 2020</w:t>
      </w:r>
      <w:r w:rsidR="00F117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 </w:t>
      </w:r>
      <w:bookmarkStart w:id="0" w:name="_GoBack"/>
      <w:bookmarkEnd w:id="0"/>
      <w:r w:rsidRPr="00045E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г.</w:t>
      </w:r>
      <w:r w:rsidRPr="00045E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)</w:t>
      </w:r>
      <w:r w:rsidRPr="00045E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и закриването на Държавната комисия по хазарта. </w:t>
      </w:r>
      <w:r w:rsidR="00B6730F" w:rsidRPr="00B673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Доколкото за целите на проследяване на изпълнението в програмните формати на бюджет се изисква представяне на информация за последните две отчетни години, отпадането на бюджетната програма се предлага след изтичането на този срок</w:t>
      </w:r>
      <w:r w:rsidR="00B673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45EAB" w:rsidRPr="00045EAB" w:rsidRDefault="00045EAB" w:rsidP="00045EAB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045E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Предложението на Министерството на иновациите и растежа е свързано с обособяване на бюджетна програма „Администрация“ с класификационен код 7400.02.00.</w:t>
      </w:r>
    </w:p>
    <w:p w:rsidR="00045EAB" w:rsidRPr="00045EAB" w:rsidRDefault="00045EAB" w:rsidP="00045EAB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045E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На първия етап на бюджетната процедура за 2024 г. представената бюджетна прогноза за периода 2024-2026 г. на МИР съответства на програмната структура, разработена още при създаването на министерството с преминаването на административни звена, структури и функции от друго министерство (МИИ), като съответно не са отразени хоризонталните дейности и предоставяните услуги на общата администрация на МИР. </w:t>
      </w:r>
    </w:p>
    <w:p w:rsidR="00045EAB" w:rsidRPr="00045EAB" w:rsidRDefault="00045EAB" w:rsidP="00045EAB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045E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След извършен анализ на структурата на програмния формат на бюджета и с цел разходите да бъдат планирани и отчитани по бюджетните програми за съответната област на политика от компетентността на административни звена в МИР и структурите, чиито ръководители са ВРБ, както и да се отчита постигнатият напредък в дейностите, свързани с предоставянето на публични услуги, на втория етап от бюджетната процедура МИР представи проектобюджета си за 2024 г. и актуализираните бюджетни прогнози за 2025 и 2026 г. в програмен формат с предложение за разпределение на разходите си по Политика в областта на развитието на инвестициите и иновациите в подкрепа на растежа на българската икономика с бюджетни програми към нея „Насърчаване на иновациите“ и „Насърчаване на инвестициите“, както и по бюджетна програма „Администрация“.</w:t>
      </w:r>
    </w:p>
    <w:p w:rsidR="00045EAB" w:rsidRPr="00045EAB" w:rsidRDefault="00045EAB" w:rsidP="00045EAB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045E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Предложението кореспондира и с актуалната структура, функции и организация на работата на министерството, заложени в приетия с Постановление № 20 на Министерския съвет от 25.02.2022 г. Устройствен правилник на Министерството на иновациите и растежа.</w:t>
      </w:r>
    </w:p>
    <w:p w:rsidR="00FA708A" w:rsidRDefault="009C6F1D" w:rsidP="009C6F1D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B3A5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Целта на предлагания проект на акт е насочена </w:t>
      </w:r>
      <w:r w:rsidR="00EE2027" w:rsidRPr="007B3A5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към </w:t>
      </w:r>
      <w:r w:rsidR="00B25A0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утвър</w:t>
      </w:r>
      <w:r w:rsidR="00FA708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ждаване</w:t>
      </w:r>
      <w:r w:rsidR="00B25A0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от Министерския съвет </w:t>
      </w:r>
      <w:r w:rsidR="00FA708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 </w:t>
      </w:r>
      <w:r w:rsidR="0035419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промени в </w:t>
      </w:r>
      <w:r w:rsidR="00B25A0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класификация</w:t>
      </w:r>
      <w:r w:rsidR="0035419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та</w:t>
      </w:r>
      <w:r w:rsidR="00B25A0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областите на политики/функционалните области и бюджетните програми на определените </w:t>
      </w:r>
      <w:r w:rsidR="00FA708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 прилагат програмен формат на бюджет първостепенни разпоредители с бюджет</w:t>
      </w:r>
      <w:r w:rsidR="00B25A0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на база на които </w:t>
      </w:r>
      <w:r w:rsidR="00FA708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да </w:t>
      </w:r>
      <w:r w:rsidR="00B25A0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разработва</w:t>
      </w:r>
      <w:r w:rsidR="00FA708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 </w:t>
      </w:r>
      <w:r w:rsidR="00B25A0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бюджетната си прогноза </w:t>
      </w:r>
      <w:r w:rsidR="00FA708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 проектобюджетите си </w:t>
      </w:r>
      <w:r w:rsidR="00B25A0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 </w:t>
      </w:r>
      <w:r w:rsidR="00FA708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съответния период в рамките </w:t>
      </w:r>
      <w:r w:rsidR="00FA708A" w:rsidRPr="0092475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 </w:t>
      </w:r>
      <w:r w:rsidR="00FA14EB" w:rsidRPr="0092475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управлението</w:t>
      </w:r>
      <w:r w:rsidR="00FA708A" w:rsidRPr="0092475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правителството</w:t>
      </w:r>
      <w:r w:rsidR="00FA708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DF09DB" w:rsidRDefault="00DF09DB" w:rsidP="009C6F1D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C6F1D" w:rsidRPr="007B3A53" w:rsidRDefault="009C6F1D" w:rsidP="009C6F1D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B3A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lastRenderedPageBreak/>
        <w:t>2. Очаквани резултати от прилагането на проекта на акт</w:t>
      </w:r>
    </w:p>
    <w:p w:rsidR="00EE2027" w:rsidRDefault="00247E15" w:rsidP="00EE202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7B3A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Очакваните резултати от прилагането на п</w:t>
      </w:r>
      <w:r w:rsidR="00EE2027" w:rsidRPr="007B3A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роект</w:t>
      </w:r>
      <w:r w:rsidRPr="007B3A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а</w:t>
      </w:r>
      <w:r w:rsidR="00EE2027" w:rsidRPr="007B3A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на акт </w:t>
      </w:r>
      <w:r w:rsidRPr="007B3A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са</w:t>
      </w:r>
      <w:r w:rsidR="00EE2027" w:rsidRPr="007B3A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свързан</w:t>
      </w:r>
      <w:r w:rsidRPr="007B3A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и</w:t>
      </w:r>
      <w:r w:rsidR="00EE2027" w:rsidRPr="007B3A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с </w:t>
      </w:r>
      <w:r w:rsidR="003541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необходимостта </w:t>
      </w:r>
      <w:r w:rsidR="00CE43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утвърдена</w:t>
      </w:r>
      <w:r w:rsidR="003541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та от </w:t>
      </w:r>
      <w:r w:rsidR="002209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правителството</w:t>
      </w:r>
      <w:r w:rsidR="00CE43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класификация, по която да бъдат разпределяни разходите на </w:t>
      </w:r>
      <w:r w:rsidR="00EE2027" w:rsidRPr="007B3A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бюджетните организации, прилага</w:t>
      </w:r>
      <w:r w:rsidR="00CE43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щи програмен формат на бюджет, </w:t>
      </w:r>
      <w:r w:rsidR="002209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да отговаря на реалната управленска отговорност </w:t>
      </w:r>
      <w:r w:rsidR="00EE32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на редовното правителство и на съответния ПРБ</w:t>
      </w:r>
      <w:r w:rsidR="00CE43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. По този начин се създава предпоставка за повишаване на бюджетната прозрачност и отчетност при прилагането на </w:t>
      </w:r>
      <w:r w:rsidR="00EE2027" w:rsidRPr="007B3A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бюджетиране, ориентирано към резултатите</w:t>
      </w:r>
      <w:r w:rsidR="00F52C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,</w:t>
      </w:r>
      <w:r w:rsidR="007360D8" w:rsidRPr="00736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</w:t>
      </w:r>
      <w:r w:rsidR="00CE43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в рамките на</w:t>
      </w:r>
      <w:r w:rsidR="00CE4325" w:rsidRPr="007B3A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</w:t>
      </w:r>
      <w:r w:rsidR="00CE43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бюджетния процес.</w:t>
      </w:r>
    </w:p>
    <w:p w:rsidR="00F52CC8" w:rsidRPr="007B3A53" w:rsidRDefault="00F52CC8" w:rsidP="00EE202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C6F1D" w:rsidRPr="007B3A53" w:rsidRDefault="009C6F1D" w:rsidP="009C6F1D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B3A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3. Мотивирана оценка за размера на необходимите допълнителни разходи/ трансфери/ други плащания, които се предлага да бъдат одобрени по бюджета на първостепенния разпоредител с бюджет или по сметка за средства от Европейския съюз, за сметка на бюджети по държавния бюджет - </w:t>
      </w:r>
      <w:r w:rsidR="006F1A07" w:rsidRPr="007B3A5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приемането на</w:t>
      </w:r>
      <w:r w:rsidR="006F1A07" w:rsidRPr="007B3A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6F1A07" w:rsidRPr="007B3A5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проекта на акт не са необходими допълнителни разходи/трансфери/други плащания.</w:t>
      </w:r>
    </w:p>
    <w:p w:rsidR="009C6F1D" w:rsidRPr="007B3A53" w:rsidRDefault="009C6F1D" w:rsidP="009C6F1D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B3A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Предложеният проект на акт не води до въздействие върху държавния бюджет. </w:t>
      </w:r>
    </w:p>
    <w:p w:rsidR="009C6F1D" w:rsidRPr="007B3A53" w:rsidRDefault="009C6F1D" w:rsidP="009C6F1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CF152A" w:rsidRPr="007B3A53" w:rsidRDefault="00CF152A" w:rsidP="00AA1D9F">
      <w:pPr>
        <w:spacing w:after="0" w:line="240" w:lineRule="auto"/>
        <w:ind w:left="53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sectPr w:rsidR="00CF152A" w:rsidRPr="007B3A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D3C" w:rsidRDefault="003B4D3C" w:rsidP="00702ECA">
      <w:pPr>
        <w:spacing w:after="0" w:line="240" w:lineRule="auto"/>
      </w:pPr>
      <w:r>
        <w:separator/>
      </w:r>
    </w:p>
  </w:endnote>
  <w:endnote w:type="continuationSeparator" w:id="0">
    <w:p w:rsidR="003B4D3C" w:rsidRDefault="003B4D3C" w:rsidP="00702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D3C" w:rsidRDefault="003B4D3C" w:rsidP="00702ECA">
      <w:pPr>
        <w:spacing w:after="0" w:line="240" w:lineRule="auto"/>
      </w:pPr>
      <w:r>
        <w:separator/>
      </w:r>
    </w:p>
  </w:footnote>
  <w:footnote w:type="continuationSeparator" w:id="0">
    <w:p w:rsidR="003B4D3C" w:rsidRDefault="003B4D3C" w:rsidP="00702E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86C92"/>
    <w:multiLevelType w:val="hybridMultilevel"/>
    <w:tmpl w:val="0CC668A6"/>
    <w:lvl w:ilvl="0" w:tplc="580084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966064D"/>
    <w:multiLevelType w:val="hybridMultilevel"/>
    <w:tmpl w:val="0C8A6DA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660"/>
    <w:rsid w:val="00004EBD"/>
    <w:rsid w:val="00022177"/>
    <w:rsid w:val="0004015C"/>
    <w:rsid w:val="00045EAB"/>
    <w:rsid w:val="000B0F2A"/>
    <w:rsid w:val="000D1267"/>
    <w:rsid w:val="000F68BC"/>
    <w:rsid w:val="00127485"/>
    <w:rsid w:val="00131836"/>
    <w:rsid w:val="00154093"/>
    <w:rsid w:val="001852F6"/>
    <w:rsid w:val="001951D1"/>
    <w:rsid w:val="00196C66"/>
    <w:rsid w:val="001A18DC"/>
    <w:rsid w:val="001E14DC"/>
    <w:rsid w:val="001E1D11"/>
    <w:rsid w:val="001E35AE"/>
    <w:rsid w:val="001E6FA6"/>
    <w:rsid w:val="001F1205"/>
    <w:rsid w:val="002069A6"/>
    <w:rsid w:val="002209E3"/>
    <w:rsid w:val="00220C68"/>
    <w:rsid w:val="00247E15"/>
    <w:rsid w:val="002613DF"/>
    <w:rsid w:val="00275695"/>
    <w:rsid w:val="002A1E27"/>
    <w:rsid w:val="00344E49"/>
    <w:rsid w:val="00354197"/>
    <w:rsid w:val="003822E7"/>
    <w:rsid w:val="003A50B0"/>
    <w:rsid w:val="003B1988"/>
    <w:rsid w:val="003B4D3C"/>
    <w:rsid w:val="003C15C5"/>
    <w:rsid w:val="003C5186"/>
    <w:rsid w:val="003C7E81"/>
    <w:rsid w:val="003D5A70"/>
    <w:rsid w:val="003E6748"/>
    <w:rsid w:val="003F3A11"/>
    <w:rsid w:val="003F5BE8"/>
    <w:rsid w:val="004017C5"/>
    <w:rsid w:val="00434038"/>
    <w:rsid w:val="00442049"/>
    <w:rsid w:val="004469E1"/>
    <w:rsid w:val="00451965"/>
    <w:rsid w:val="00455284"/>
    <w:rsid w:val="00476537"/>
    <w:rsid w:val="00476BD7"/>
    <w:rsid w:val="00491E17"/>
    <w:rsid w:val="004A4092"/>
    <w:rsid w:val="004B611F"/>
    <w:rsid w:val="004D42B7"/>
    <w:rsid w:val="004E04F1"/>
    <w:rsid w:val="00513163"/>
    <w:rsid w:val="005370DD"/>
    <w:rsid w:val="005434BB"/>
    <w:rsid w:val="00576F09"/>
    <w:rsid w:val="005A656E"/>
    <w:rsid w:val="005E1660"/>
    <w:rsid w:val="005E6584"/>
    <w:rsid w:val="005F0859"/>
    <w:rsid w:val="005F76D6"/>
    <w:rsid w:val="006219F7"/>
    <w:rsid w:val="006815AB"/>
    <w:rsid w:val="006A41F8"/>
    <w:rsid w:val="006C6FE2"/>
    <w:rsid w:val="006F1A07"/>
    <w:rsid w:val="006F7042"/>
    <w:rsid w:val="00702ECA"/>
    <w:rsid w:val="007360D8"/>
    <w:rsid w:val="00777D33"/>
    <w:rsid w:val="007A155C"/>
    <w:rsid w:val="007B3A53"/>
    <w:rsid w:val="007D2507"/>
    <w:rsid w:val="007E02D6"/>
    <w:rsid w:val="007E5FE2"/>
    <w:rsid w:val="007F3093"/>
    <w:rsid w:val="00810A31"/>
    <w:rsid w:val="00821240"/>
    <w:rsid w:val="00832E55"/>
    <w:rsid w:val="00842D71"/>
    <w:rsid w:val="00855C33"/>
    <w:rsid w:val="008600FA"/>
    <w:rsid w:val="008659B4"/>
    <w:rsid w:val="00875E46"/>
    <w:rsid w:val="008D4876"/>
    <w:rsid w:val="0092475B"/>
    <w:rsid w:val="0092618C"/>
    <w:rsid w:val="009808B0"/>
    <w:rsid w:val="009A6C30"/>
    <w:rsid w:val="009B2F20"/>
    <w:rsid w:val="009B361C"/>
    <w:rsid w:val="009C6F1D"/>
    <w:rsid w:val="009D655A"/>
    <w:rsid w:val="009E05BE"/>
    <w:rsid w:val="00A223EA"/>
    <w:rsid w:val="00A424CB"/>
    <w:rsid w:val="00A57E5A"/>
    <w:rsid w:val="00A62AEC"/>
    <w:rsid w:val="00A73C78"/>
    <w:rsid w:val="00AA124F"/>
    <w:rsid w:val="00AA1D9F"/>
    <w:rsid w:val="00AC20F1"/>
    <w:rsid w:val="00B125E3"/>
    <w:rsid w:val="00B20ADC"/>
    <w:rsid w:val="00B25A0E"/>
    <w:rsid w:val="00B52A5D"/>
    <w:rsid w:val="00B6730F"/>
    <w:rsid w:val="00B752E6"/>
    <w:rsid w:val="00B754EC"/>
    <w:rsid w:val="00BA5AAC"/>
    <w:rsid w:val="00BB4BA0"/>
    <w:rsid w:val="00C14EC1"/>
    <w:rsid w:val="00C21647"/>
    <w:rsid w:val="00C40070"/>
    <w:rsid w:val="00C526D6"/>
    <w:rsid w:val="00C75AD1"/>
    <w:rsid w:val="00CE4325"/>
    <w:rsid w:val="00CF152A"/>
    <w:rsid w:val="00CF35E7"/>
    <w:rsid w:val="00D0713E"/>
    <w:rsid w:val="00D15A54"/>
    <w:rsid w:val="00D16A53"/>
    <w:rsid w:val="00D50294"/>
    <w:rsid w:val="00D50469"/>
    <w:rsid w:val="00D92C41"/>
    <w:rsid w:val="00DA1A84"/>
    <w:rsid w:val="00DA1D29"/>
    <w:rsid w:val="00DA4463"/>
    <w:rsid w:val="00DA7D76"/>
    <w:rsid w:val="00DD519C"/>
    <w:rsid w:val="00DE7D56"/>
    <w:rsid w:val="00DF09DB"/>
    <w:rsid w:val="00E0795C"/>
    <w:rsid w:val="00E166DC"/>
    <w:rsid w:val="00E258C9"/>
    <w:rsid w:val="00E3584E"/>
    <w:rsid w:val="00E36DB5"/>
    <w:rsid w:val="00E4653C"/>
    <w:rsid w:val="00E51E5C"/>
    <w:rsid w:val="00E65423"/>
    <w:rsid w:val="00E85EE1"/>
    <w:rsid w:val="00EE2027"/>
    <w:rsid w:val="00EE32A4"/>
    <w:rsid w:val="00EE72B3"/>
    <w:rsid w:val="00F1179A"/>
    <w:rsid w:val="00F31D64"/>
    <w:rsid w:val="00F33392"/>
    <w:rsid w:val="00F52CC8"/>
    <w:rsid w:val="00F94C33"/>
    <w:rsid w:val="00F962A1"/>
    <w:rsid w:val="00FA14EB"/>
    <w:rsid w:val="00FA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14BF8"/>
  <w15:docId w15:val="{5EDE5795-EB59-45AF-BE02-1C5919095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537"/>
  </w:style>
  <w:style w:type="paragraph" w:styleId="Heading1">
    <w:name w:val="heading 1"/>
    <w:basedOn w:val="Normal"/>
    <w:next w:val="Normal"/>
    <w:link w:val="Heading1Char"/>
    <w:qFormat/>
    <w:rsid w:val="00702ECA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ECA"/>
  </w:style>
  <w:style w:type="paragraph" w:styleId="Footer">
    <w:name w:val="footer"/>
    <w:basedOn w:val="Normal"/>
    <w:link w:val="FooterChar"/>
    <w:uiPriority w:val="99"/>
    <w:unhideWhenUsed/>
    <w:rsid w:val="0070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ECA"/>
  </w:style>
  <w:style w:type="character" w:customStyle="1" w:styleId="Heading1Char">
    <w:name w:val="Heading 1 Char"/>
    <w:basedOn w:val="DefaultParagraphFont"/>
    <w:link w:val="Heading1"/>
    <w:rsid w:val="00702ECA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2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5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64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81650-779F-4B53-A88F-D60CA6092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Христо Драганов Драганов</dc:creator>
  <cp:lastModifiedBy>BU</cp:lastModifiedBy>
  <cp:revision>4</cp:revision>
  <cp:lastPrinted>2019-08-20T12:02:00Z</cp:lastPrinted>
  <dcterms:created xsi:type="dcterms:W3CDTF">2023-10-16T10:33:00Z</dcterms:created>
  <dcterms:modified xsi:type="dcterms:W3CDTF">2023-10-16T10:57:00Z</dcterms:modified>
</cp:coreProperties>
</file>