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Override PartName="/word/drawings/drawing6.xml" ContentType="application/vnd.openxmlformats-officedocument.drawingml.chartshap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drawings/drawing5.xml" ContentType="application/vnd.openxmlformats-officedocument.drawingml.chartshap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drawings/drawing1.xml" ContentType="application/vnd.openxmlformats-officedocument.drawingml.chartshapes+xml"/>
  <Override PartName="/word/charts/chart7.xml" ContentType="application/vnd.openxmlformats-officedocument.drawingml.chart+xml"/>
  <Override PartName="/word/drawings/drawing2.xml" ContentType="application/vnd.openxmlformats-officedocument.drawingml.chartshapes+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1E73" w:rsidRPr="00F55B63" w:rsidRDefault="005C3508" w:rsidP="00A16F30">
      <w:pPr>
        <w:tabs>
          <w:tab w:val="left" w:pos="360"/>
        </w:tabs>
        <w:rPr>
          <w:rFonts w:cs="Calibri"/>
          <w:highlight w:val="yellow"/>
        </w:rPr>
      </w:pPr>
      <w:r w:rsidRPr="00F55B63">
        <w:rPr>
          <w:rFonts w:cs="Calibri"/>
          <w:noProof/>
          <w:highlight w:val="yellow"/>
        </w:rPr>
        <w:drawing>
          <wp:anchor distT="0" distB="0" distL="114300" distR="114300" simplePos="0" relativeHeight="251652608" behindDoc="1" locked="0" layoutInCell="1" allowOverlap="0">
            <wp:simplePos x="0" y="0"/>
            <wp:positionH relativeFrom="column">
              <wp:posOffset>-824865</wp:posOffset>
            </wp:positionH>
            <wp:positionV relativeFrom="paragraph">
              <wp:posOffset>1668780</wp:posOffset>
            </wp:positionV>
            <wp:extent cx="7687945" cy="6000750"/>
            <wp:effectExtent l="0" t="0" r="8255" b="0"/>
            <wp:wrapSquare wrapText="bothSides"/>
            <wp:docPr id="3" name="Picture 2" descr="C:\Worker\Work\bfb\package\office\powerpoint\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orker\Work\bfb\package\office\powerpoint\title.png"/>
                    <pic:cNvPicPr>
                      <a:picLocks noChangeAspect="1" noChangeArrowheads="1"/>
                    </pic:cNvPicPr>
                  </pic:nvPicPr>
                  <pic:blipFill>
                    <a:blip r:embed="rId8" cstate="print"/>
                    <a:srcRect/>
                    <a:stretch>
                      <a:fillRect/>
                    </a:stretch>
                  </pic:blipFill>
                  <pic:spPr bwMode="auto">
                    <a:xfrm>
                      <a:off x="0" y="0"/>
                      <a:ext cx="7687945" cy="6000750"/>
                    </a:xfrm>
                    <a:prstGeom prst="rect">
                      <a:avLst/>
                    </a:prstGeom>
                    <a:noFill/>
                    <a:ln w="9525">
                      <a:noFill/>
                      <a:miter lim="800000"/>
                      <a:headEnd/>
                      <a:tailEnd/>
                    </a:ln>
                  </pic:spPr>
                </pic:pic>
              </a:graphicData>
            </a:graphic>
          </wp:anchor>
        </w:drawing>
      </w:r>
      <w:r w:rsidR="003D57A5" w:rsidRPr="003D57A5">
        <w:rPr>
          <w:rFonts w:cs="Calibri"/>
          <w:noProof/>
          <w:highlight w:val="yellow"/>
          <w:lang w:val="en-US" w:eastAsia="en-US"/>
        </w:rPr>
        <w:pict>
          <v:shapetype id="_x0000_t202" coordsize="21600,21600" o:spt="202" path="m,l,21600r21600,l21600,xe">
            <v:stroke joinstyle="miter"/>
            <v:path gradientshapeok="t" o:connecttype="rect"/>
          </v:shapetype>
          <v:shape id="Text Box 3" o:spid="_x0000_s1026" type="#_x0000_t202" style="position:absolute;left:0;text-align:left;margin-left:-29.3pt;margin-top:397pt;width:471.75pt;height:140.95pt;z-index:251653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NutgIAALs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" filled="f" stroked="f">
            <v:textbox>
              <w:txbxContent>
                <w:p w:rsidR="009A1913" w:rsidRPr="00E214F6" w:rsidRDefault="009A1913" w:rsidP="008F4E5B">
                  <w:pPr>
                    <w:spacing w:line="360" w:lineRule="auto"/>
                    <w:jc w:val="center"/>
                    <w:rPr>
                      <w:color w:val="FFFFFF" w:themeColor="background1"/>
                      <w:sz w:val="44"/>
                      <w:szCs w:val="44"/>
                    </w:rPr>
                  </w:pPr>
                  <w:r w:rsidRPr="00E214F6">
                    <w:rPr>
                      <w:color w:val="FFFFFF" w:themeColor="background1"/>
                      <w:sz w:val="44"/>
                      <w:szCs w:val="44"/>
                    </w:rPr>
                    <w:t>Междинен доклад за дейността на</w:t>
                  </w:r>
                </w:p>
                <w:p w:rsidR="009A1913" w:rsidRPr="00E214F6" w:rsidRDefault="009A1913" w:rsidP="008F4E5B">
                  <w:pPr>
                    <w:spacing w:line="360" w:lineRule="auto"/>
                    <w:jc w:val="center"/>
                    <w:rPr>
                      <w:color w:val="FFFFFF" w:themeColor="background1"/>
                      <w:sz w:val="44"/>
                      <w:szCs w:val="44"/>
                    </w:rPr>
                  </w:pPr>
                  <w:r w:rsidRPr="00E214F6">
                    <w:rPr>
                      <w:color w:val="FFFFFF" w:themeColor="background1"/>
                      <w:sz w:val="44"/>
                      <w:szCs w:val="44"/>
                    </w:rPr>
                    <w:t>Група Българска фондова борса АД</w:t>
                  </w:r>
                </w:p>
                <w:p w:rsidR="009A1913" w:rsidRPr="000F4B6F" w:rsidRDefault="009A1913" w:rsidP="008F4E5B">
                  <w:pPr>
                    <w:spacing w:line="360" w:lineRule="auto"/>
                    <w:jc w:val="center"/>
                    <w:rPr>
                      <w:color w:val="FFFFFF" w:themeColor="background1"/>
                      <w:sz w:val="44"/>
                      <w:szCs w:val="44"/>
                    </w:rPr>
                  </w:pPr>
                  <w:r w:rsidRPr="00E214F6">
                    <w:rPr>
                      <w:color w:val="FFFFFF" w:themeColor="background1"/>
                      <w:sz w:val="44"/>
                      <w:szCs w:val="44"/>
                    </w:rPr>
                    <w:t>през първото тримесечие на 20</w:t>
                  </w:r>
                  <w:r w:rsidRPr="00E214F6">
                    <w:rPr>
                      <w:color w:val="FFFFFF" w:themeColor="background1"/>
                      <w:sz w:val="44"/>
                      <w:szCs w:val="44"/>
                      <w:lang w:val="en-US"/>
                    </w:rPr>
                    <w:t>20</w:t>
                  </w:r>
                  <w:r w:rsidRPr="00E214F6">
                    <w:rPr>
                      <w:color w:val="FFFFFF" w:themeColor="background1"/>
                      <w:sz w:val="44"/>
                      <w:szCs w:val="44"/>
                    </w:rPr>
                    <w:t xml:space="preserve"> г.</w:t>
                  </w:r>
                </w:p>
              </w:txbxContent>
            </v:textbox>
          </v:shape>
        </w:pict>
      </w:r>
      <w:r w:rsidR="00B30EB6" w:rsidRPr="00F55B63">
        <w:rPr>
          <w:rFonts w:cs="Calibri"/>
          <w:highlight w:val="yellow"/>
        </w:rPr>
        <w:br w:type="page"/>
      </w:r>
    </w:p>
    <w:tbl>
      <w:tblPr>
        <w:tblW w:w="9731" w:type="dxa"/>
        <w:jc w:val="center"/>
        <w:tblCellMar>
          <w:left w:w="70" w:type="dxa"/>
          <w:right w:w="70" w:type="dxa"/>
        </w:tblCellMar>
        <w:tblLook w:val="04A0"/>
      </w:tblPr>
      <w:tblGrid>
        <w:gridCol w:w="6050"/>
        <w:gridCol w:w="1721"/>
        <w:gridCol w:w="1960"/>
      </w:tblGrid>
      <w:tr w:rsidR="00C13EB0" w:rsidRPr="00F55B63" w:rsidTr="00C13EB0">
        <w:trPr>
          <w:trHeight w:val="170"/>
          <w:jc w:val="center"/>
        </w:trPr>
        <w:tc>
          <w:tcPr>
            <w:tcW w:w="6050" w:type="dxa"/>
            <w:tcBorders>
              <w:top w:val="nil"/>
              <w:left w:val="nil"/>
              <w:bottom w:val="single" w:sz="4" w:space="0" w:color="auto"/>
              <w:right w:val="nil"/>
            </w:tcBorders>
            <w:shd w:val="clear" w:color="auto" w:fill="auto"/>
            <w:noWrap/>
            <w:vAlign w:val="center"/>
            <w:hideMark/>
          </w:tcPr>
          <w:p w:rsidR="00C13EB0" w:rsidRPr="00E214F6" w:rsidRDefault="00C13EB0" w:rsidP="00C13EB0">
            <w:pPr>
              <w:widowControl/>
              <w:jc w:val="left"/>
              <w:rPr>
                <w:b/>
                <w:bCs/>
                <w:sz w:val="20"/>
                <w:szCs w:val="20"/>
              </w:rPr>
            </w:pPr>
            <w:r w:rsidRPr="00E214F6">
              <w:rPr>
                <w:b/>
                <w:bCs/>
                <w:sz w:val="20"/>
                <w:szCs w:val="20"/>
              </w:rPr>
              <w:lastRenderedPageBreak/>
              <w:t xml:space="preserve">ГРУПА БЪЛГАРСКА ФОНДОВА БОРСА </w:t>
            </w:r>
          </w:p>
        </w:tc>
        <w:tc>
          <w:tcPr>
            <w:tcW w:w="1721"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rFonts w:ascii="Times New Roman" w:hAnsi="Times New Roman"/>
                <w:sz w:val="20"/>
                <w:szCs w:val="20"/>
                <w:highlight w:val="yellow"/>
              </w:rPr>
            </w:pP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b/>
                <w:bCs/>
                <w:sz w:val="20"/>
                <w:szCs w:val="20"/>
              </w:rPr>
            </w:pPr>
            <w:r w:rsidRPr="00E214F6">
              <w:rPr>
                <w:b/>
                <w:bCs/>
                <w:sz w:val="20"/>
                <w:szCs w:val="20"/>
              </w:rPr>
              <w:t>КОНСОЛИДИРАН ОТЧЕТ ЗА ФИНАНСОВОТО СЪСТОЯНИЕ</w:t>
            </w:r>
          </w:p>
        </w:tc>
        <w:tc>
          <w:tcPr>
            <w:tcW w:w="1721"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rFonts w:ascii="Times New Roman" w:hAnsi="Times New Roman"/>
                <w:sz w:val="20"/>
                <w:szCs w:val="20"/>
                <w:highlight w:val="yellow"/>
              </w:rPr>
            </w:pPr>
          </w:p>
        </w:tc>
      </w:tr>
      <w:tr w:rsidR="00C13EB0" w:rsidRPr="00F55B63" w:rsidTr="00C13EB0">
        <w:trPr>
          <w:trHeight w:val="170"/>
          <w:jc w:val="center"/>
        </w:trPr>
        <w:tc>
          <w:tcPr>
            <w:tcW w:w="6050" w:type="dxa"/>
            <w:tcBorders>
              <w:top w:val="nil"/>
              <w:left w:val="nil"/>
              <w:bottom w:val="nil"/>
              <w:right w:val="nil"/>
            </w:tcBorders>
            <w:shd w:val="clear" w:color="auto" w:fill="auto"/>
            <w:noWrap/>
            <w:vAlign w:val="bottom"/>
            <w:hideMark/>
          </w:tcPr>
          <w:p w:rsidR="00C13EB0" w:rsidRPr="00E214F6" w:rsidRDefault="00C13EB0" w:rsidP="00E214F6">
            <w:pPr>
              <w:widowControl/>
              <w:jc w:val="left"/>
              <w:rPr>
                <w:b/>
                <w:bCs/>
                <w:sz w:val="20"/>
                <w:szCs w:val="20"/>
              </w:rPr>
            </w:pPr>
            <w:r w:rsidRPr="00E214F6">
              <w:rPr>
                <w:b/>
                <w:bCs/>
                <w:sz w:val="20"/>
                <w:szCs w:val="20"/>
              </w:rPr>
              <w:t>към 31 март 20</w:t>
            </w:r>
            <w:r w:rsidR="00E214F6" w:rsidRPr="00E214F6">
              <w:rPr>
                <w:b/>
                <w:bCs/>
                <w:sz w:val="20"/>
                <w:szCs w:val="20"/>
                <w:lang w:val="en-US"/>
              </w:rPr>
              <w:t>20</w:t>
            </w:r>
            <w:r w:rsidRPr="00E214F6">
              <w:rPr>
                <w:b/>
                <w:bCs/>
                <w:sz w:val="20"/>
                <w:szCs w:val="20"/>
              </w:rPr>
              <w:t xml:space="preserve"> година</w:t>
            </w:r>
          </w:p>
        </w:tc>
        <w:tc>
          <w:tcPr>
            <w:tcW w:w="1721"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F55B63" w:rsidRDefault="00C13EB0" w:rsidP="00C13EB0">
            <w:pPr>
              <w:widowControl/>
              <w:jc w:val="center"/>
              <w:rPr>
                <w:rFonts w:ascii="Times New Roman" w:hAnsi="Times New Roman"/>
                <w:sz w:val="20"/>
                <w:szCs w:val="20"/>
                <w:highlight w:val="yellow"/>
              </w:rPr>
            </w:pPr>
          </w:p>
        </w:tc>
      </w:tr>
      <w:tr w:rsidR="00C13EB0" w:rsidRPr="00F55B63" w:rsidTr="00C13EB0">
        <w:trPr>
          <w:trHeight w:val="170"/>
          <w:jc w:val="center"/>
        </w:trPr>
        <w:tc>
          <w:tcPr>
            <w:tcW w:w="6050" w:type="dxa"/>
            <w:tcBorders>
              <w:top w:val="nil"/>
              <w:left w:val="nil"/>
              <w:bottom w:val="nil"/>
              <w:right w:val="nil"/>
            </w:tcBorders>
            <w:shd w:val="clear" w:color="auto" w:fill="auto"/>
            <w:noWrap/>
            <w:vAlign w:val="bottom"/>
            <w:hideMark/>
          </w:tcPr>
          <w:p w:rsidR="00C13EB0" w:rsidRPr="00E214F6" w:rsidRDefault="00C13EB0" w:rsidP="00C13EB0">
            <w:pPr>
              <w:widowControl/>
              <w:jc w:val="center"/>
              <w:rPr>
                <w:rFonts w:ascii="Times New Roman" w:hAnsi="Times New Roman"/>
                <w:sz w:val="20"/>
                <w:szCs w:val="20"/>
              </w:rPr>
            </w:pPr>
          </w:p>
        </w:tc>
        <w:tc>
          <w:tcPr>
            <w:tcW w:w="1721" w:type="dxa"/>
            <w:tcBorders>
              <w:top w:val="nil"/>
              <w:left w:val="nil"/>
              <w:bottom w:val="nil"/>
              <w:right w:val="nil"/>
            </w:tcBorders>
            <w:shd w:val="clear" w:color="auto" w:fill="auto"/>
            <w:noWrap/>
            <w:vAlign w:val="bottom"/>
            <w:hideMark/>
          </w:tcPr>
          <w:p w:rsidR="00C13EB0" w:rsidRPr="00493BBB" w:rsidRDefault="00C13EB0" w:rsidP="00E214F6">
            <w:pPr>
              <w:widowControl/>
              <w:jc w:val="center"/>
              <w:rPr>
                <w:b/>
                <w:bCs/>
                <w:sz w:val="20"/>
                <w:szCs w:val="20"/>
              </w:rPr>
            </w:pPr>
            <w:r w:rsidRPr="00493BBB">
              <w:rPr>
                <w:b/>
                <w:bCs/>
                <w:sz w:val="20"/>
                <w:szCs w:val="20"/>
              </w:rPr>
              <w:t>31 март 20</w:t>
            </w:r>
            <w:r w:rsidR="00E214F6" w:rsidRPr="00493BBB">
              <w:rPr>
                <w:b/>
                <w:bCs/>
                <w:sz w:val="20"/>
                <w:szCs w:val="20"/>
                <w:lang w:val="en-US"/>
              </w:rPr>
              <w:t>20</w:t>
            </w:r>
            <w:r w:rsidRPr="00493BBB">
              <w:rPr>
                <w:b/>
                <w:bCs/>
                <w:sz w:val="20"/>
                <w:szCs w:val="20"/>
              </w:rPr>
              <w:t xml:space="preserve"> г.</w:t>
            </w:r>
          </w:p>
        </w:tc>
        <w:tc>
          <w:tcPr>
            <w:tcW w:w="1960" w:type="dxa"/>
            <w:tcBorders>
              <w:top w:val="nil"/>
              <w:left w:val="nil"/>
              <w:bottom w:val="nil"/>
              <w:right w:val="nil"/>
            </w:tcBorders>
            <w:shd w:val="clear" w:color="auto" w:fill="auto"/>
            <w:noWrap/>
            <w:vAlign w:val="bottom"/>
            <w:hideMark/>
          </w:tcPr>
          <w:p w:rsidR="00C13EB0" w:rsidRPr="00493BBB" w:rsidRDefault="00C13EB0" w:rsidP="00493BBB">
            <w:pPr>
              <w:widowControl/>
              <w:jc w:val="center"/>
              <w:rPr>
                <w:b/>
                <w:bCs/>
                <w:sz w:val="20"/>
                <w:szCs w:val="20"/>
                <w:lang w:val="en-US"/>
              </w:rPr>
            </w:pPr>
            <w:r w:rsidRPr="00493BBB">
              <w:rPr>
                <w:b/>
                <w:bCs/>
                <w:sz w:val="20"/>
                <w:szCs w:val="20"/>
              </w:rPr>
              <w:t>31 дек</w:t>
            </w:r>
            <w:r w:rsidR="00493BBB" w:rsidRPr="00493BBB">
              <w:rPr>
                <w:b/>
                <w:bCs/>
                <w:sz w:val="20"/>
                <w:szCs w:val="20"/>
              </w:rPr>
              <w:t>.</w:t>
            </w:r>
            <w:r w:rsidRPr="00493BBB">
              <w:rPr>
                <w:b/>
                <w:bCs/>
                <w:sz w:val="20"/>
                <w:szCs w:val="20"/>
              </w:rPr>
              <w:t>201</w:t>
            </w:r>
            <w:r w:rsidR="00E214F6" w:rsidRPr="00493BBB">
              <w:rPr>
                <w:b/>
                <w:bCs/>
                <w:sz w:val="20"/>
                <w:szCs w:val="20"/>
                <w:lang w:val="en-US"/>
              </w:rPr>
              <w:t>9</w:t>
            </w:r>
            <w:r w:rsidRPr="00493BBB">
              <w:rPr>
                <w:b/>
                <w:bCs/>
                <w:sz w:val="20"/>
                <w:szCs w:val="20"/>
              </w:rPr>
              <w:t xml:space="preserve"> г.</w:t>
            </w:r>
            <w:r w:rsidR="00493BBB" w:rsidRPr="00493BBB">
              <w:rPr>
                <w:b/>
                <w:bCs/>
                <w:sz w:val="20"/>
                <w:szCs w:val="20"/>
                <w:lang w:val="en-US"/>
              </w:rPr>
              <w:t>*</w:t>
            </w:r>
            <w:r w:rsidR="00493BBB" w:rsidRPr="00493BBB">
              <w:rPr>
                <w:b/>
                <w:bCs/>
                <w:sz w:val="20"/>
                <w:szCs w:val="20"/>
              </w:rPr>
              <w:t>,</w:t>
            </w:r>
            <w:r w:rsidR="00493BBB" w:rsidRPr="00493BBB">
              <w:rPr>
                <w:b/>
                <w:bCs/>
                <w:sz w:val="20"/>
                <w:szCs w:val="20"/>
                <w:lang w:val="en-US"/>
              </w:rPr>
              <w:t>**</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right"/>
              <w:rPr>
                <w:b/>
                <w:bCs/>
                <w:sz w:val="20"/>
                <w:szCs w:val="20"/>
              </w:rPr>
            </w:pPr>
          </w:p>
        </w:tc>
        <w:tc>
          <w:tcPr>
            <w:tcW w:w="1721" w:type="dxa"/>
            <w:tcBorders>
              <w:top w:val="nil"/>
              <w:left w:val="nil"/>
              <w:bottom w:val="nil"/>
              <w:right w:val="nil"/>
            </w:tcBorders>
            <w:shd w:val="clear" w:color="auto" w:fill="auto"/>
            <w:noWrap/>
            <w:vAlign w:val="center"/>
            <w:hideMark/>
          </w:tcPr>
          <w:p w:rsidR="00C13EB0" w:rsidRPr="00493BBB" w:rsidRDefault="00C13EB0" w:rsidP="00C13EB0">
            <w:pPr>
              <w:widowControl/>
              <w:jc w:val="center"/>
              <w:rPr>
                <w:b/>
                <w:bCs/>
                <w:sz w:val="20"/>
                <w:szCs w:val="20"/>
              </w:rPr>
            </w:pPr>
            <w:r w:rsidRPr="00493BBB">
              <w:rPr>
                <w:b/>
                <w:bCs/>
                <w:sz w:val="20"/>
                <w:szCs w:val="20"/>
              </w:rPr>
              <w:t>BGN'000</w:t>
            </w:r>
          </w:p>
        </w:tc>
        <w:tc>
          <w:tcPr>
            <w:tcW w:w="1960" w:type="dxa"/>
            <w:tcBorders>
              <w:top w:val="nil"/>
              <w:left w:val="nil"/>
              <w:bottom w:val="nil"/>
              <w:right w:val="nil"/>
            </w:tcBorders>
            <w:shd w:val="clear" w:color="auto" w:fill="auto"/>
            <w:noWrap/>
            <w:vAlign w:val="center"/>
            <w:hideMark/>
          </w:tcPr>
          <w:p w:rsidR="00C13EB0" w:rsidRPr="00493BBB" w:rsidRDefault="00C13EB0" w:rsidP="00C13EB0">
            <w:pPr>
              <w:widowControl/>
              <w:jc w:val="center"/>
              <w:rPr>
                <w:b/>
                <w:bCs/>
                <w:sz w:val="20"/>
                <w:szCs w:val="20"/>
              </w:rPr>
            </w:pPr>
            <w:r w:rsidRPr="00493BBB">
              <w:rPr>
                <w:b/>
                <w:bCs/>
                <w:sz w:val="20"/>
                <w:szCs w:val="20"/>
              </w:rPr>
              <w:t>BGN'000</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b/>
                <w:bCs/>
                <w:sz w:val="20"/>
                <w:szCs w:val="20"/>
              </w:rPr>
            </w:pPr>
            <w:r w:rsidRPr="00E214F6">
              <w:rPr>
                <w:b/>
                <w:bCs/>
                <w:sz w:val="20"/>
                <w:szCs w:val="20"/>
              </w:rPr>
              <w:t>АКТИВ</w:t>
            </w:r>
          </w:p>
        </w:tc>
        <w:tc>
          <w:tcPr>
            <w:tcW w:w="1721" w:type="dxa"/>
            <w:tcBorders>
              <w:top w:val="nil"/>
              <w:left w:val="nil"/>
              <w:bottom w:val="nil"/>
              <w:right w:val="nil"/>
            </w:tcBorders>
            <w:shd w:val="clear" w:color="auto" w:fill="auto"/>
            <w:noWrap/>
            <w:vAlign w:val="center"/>
            <w:hideMark/>
          </w:tcPr>
          <w:p w:rsidR="00C13EB0" w:rsidRPr="00493BBB" w:rsidRDefault="00C13EB0" w:rsidP="00C13EB0">
            <w:pPr>
              <w:widowControl/>
              <w:jc w:val="right"/>
              <w:rPr>
                <w:rFonts w:ascii="Times New Roman" w:hAnsi="Times New Roman"/>
                <w:sz w:val="20"/>
                <w:szCs w:val="20"/>
              </w:rPr>
            </w:pPr>
          </w:p>
        </w:tc>
        <w:tc>
          <w:tcPr>
            <w:tcW w:w="1960" w:type="dxa"/>
            <w:tcBorders>
              <w:top w:val="nil"/>
              <w:left w:val="nil"/>
              <w:bottom w:val="nil"/>
              <w:right w:val="nil"/>
            </w:tcBorders>
            <w:shd w:val="clear" w:color="auto" w:fill="auto"/>
            <w:noWrap/>
            <w:vAlign w:val="center"/>
            <w:hideMark/>
          </w:tcPr>
          <w:p w:rsidR="00C13EB0" w:rsidRPr="00493BBB" w:rsidRDefault="00C13EB0" w:rsidP="00C13EB0">
            <w:pPr>
              <w:widowControl/>
              <w:jc w:val="right"/>
              <w:rPr>
                <w:rFonts w:ascii="Times New Roman" w:hAnsi="Times New Roman"/>
                <w:sz w:val="20"/>
                <w:szCs w:val="20"/>
              </w:rPr>
            </w:pP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b/>
                <w:bCs/>
                <w:sz w:val="20"/>
                <w:szCs w:val="20"/>
              </w:rPr>
            </w:pPr>
            <w:r w:rsidRPr="00E214F6">
              <w:rPr>
                <w:b/>
                <w:bCs/>
                <w:sz w:val="20"/>
                <w:szCs w:val="20"/>
              </w:rPr>
              <w:t>Нетекущи активи</w:t>
            </w:r>
          </w:p>
        </w:tc>
        <w:tc>
          <w:tcPr>
            <w:tcW w:w="1721" w:type="dxa"/>
            <w:tcBorders>
              <w:top w:val="nil"/>
              <w:left w:val="nil"/>
              <w:bottom w:val="nil"/>
              <w:right w:val="nil"/>
            </w:tcBorders>
            <w:shd w:val="clear" w:color="auto" w:fill="auto"/>
            <w:noWrap/>
            <w:vAlign w:val="center"/>
            <w:hideMark/>
          </w:tcPr>
          <w:p w:rsidR="00C13EB0" w:rsidRPr="00493BBB" w:rsidRDefault="00C13EB0" w:rsidP="00C13EB0">
            <w:pPr>
              <w:widowControl/>
              <w:jc w:val="right"/>
              <w:rPr>
                <w:rFonts w:ascii="Times New Roman" w:hAnsi="Times New Roman"/>
                <w:sz w:val="20"/>
                <w:szCs w:val="20"/>
              </w:rPr>
            </w:pPr>
          </w:p>
        </w:tc>
        <w:tc>
          <w:tcPr>
            <w:tcW w:w="1960" w:type="dxa"/>
            <w:tcBorders>
              <w:top w:val="nil"/>
              <w:left w:val="nil"/>
              <w:bottom w:val="nil"/>
              <w:right w:val="nil"/>
            </w:tcBorders>
            <w:shd w:val="clear" w:color="auto" w:fill="auto"/>
            <w:noWrap/>
            <w:vAlign w:val="center"/>
            <w:hideMark/>
          </w:tcPr>
          <w:p w:rsidR="00C13EB0" w:rsidRPr="00493BBB" w:rsidRDefault="00C13EB0" w:rsidP="00C13EB0">
            <w:pPr>
              <w:widowControl/>
              <w:jc w:val="right"/>
              <w:rPr>
                <w:rFonts w:ascii="Times New Roman" w:hAnsi="Times New Roman"/>
                <w:sz w:val="20"/>
                <w:szCs w:val="20"/>
              </w:rPr>
            </w:pP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sz w:val="20"/>
                <w:szCs w:val="20"/>
              </w:rPr>
            </w:pPr>
            <w:r w:rsidRPr="00E214F6">
              <w:rPr>
                <w:sz w:val="20"/>
                <w:szCs w:val="20"/>
              </w:rPr>
              <w:t>Имоти, машини и оборудване</w:t>
            </w:r>
          </w:p>
        </w:tc>
        <w:tc>
          <w:tcPr>
            <w:tcW w:w="1721"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1 </w:t>
            </w:r>
            <w:r w:rsidR="00493BBB" w:rsidRPr="00493BBB">
              <w:rPr>
                <w:sz w:val="20"/>
                <w:szCs w:val="20"/>
              </w:rPr>
              <w:t>682</w:t>
            </w:r>
            <w:r w:rsidRPr="00493BBB">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1 3</w:t>
            </w:r>
            <w:r w:rsidR="00493BBB" w:rsidRPr="00493BBB">
              <w:rPr>
                <w:sz w:val="20"/>
                <w:szCs w:val="20"/>
              </w:rPr>
              <w:t>57</w:t>
            </w:r>
            <w:r w:rsidRPr="00493BBB">
              <w:rPr>
                <w:sz w:val="20"/>
                <w:szCs w:val="20"/>
              </w:rPr>
              <w:t xml:space="preserve"> </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sz w:val="20"/>
                <w:szCs w:val="20"/>
              </w:rPr>
            </w:pPr>
            <w:r w:rsidRPr="00E214F6">
              <w:rPr>
                <w:sz w:val="20"/>
                <w:szCs w:val="20"/>
              </w:rPr>
              <w:t>Нематериални активи</w:t>
            </w:r>
          </w:p>
        </w:tc>
        <w:tc>
          <w:tcPr>
            <w:tcW w:w="1721" w:type="dxa"/>
            <w:tcBorders>
              <w:top w:val="nil"/>
              <w:left w:val="nil"/>
              <w:bottom w:val="nil"/>
              <w:right w:val="nil"/>
            </w:tcBorders>
            <w:shd w:val="clear" w:color="auto" w:fill="auto"/>
            <w:noWrap/>
            <w:vAlign w:val="center"/>
            <w:hideMark/>
          </w:tcPr>
          <w:p w:rsidR="00C13EB0" w:rsidRPr="00493BBB" w:rsidRDefault="00493BBB" w:rsidP="00C13EB0">
            <w:pPr>
              <w:widowControl/>
              <w:jc w:val="right"/>
              <w:rPr>
                <w:sz w:val="20"/>
                <w:szCs w:val="20"/>
              </w:rPr>
            </w:pPr>
            <w:r w:rsidRPr="00493BBB">
              <w:rPr>
                <w:sz w:val="20"/>
                <w:szCs w:val="20"/>
              </w:rPr>
              <w:t>5 258</w:t>
            </w:r>
            <w:r w:rsidR="00C13EB0" w:rsidRPr="00493BBB">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493BBB" w:rsidRDefault="00493BBB" w:rsidP="00C13EB0">
            <w:pPr>
              <w:widowControl/>
              <w:jc w:val="right"/>
              <w:rPr>
                <w:sz w:val="20"/>
                <w:szCs w:val="20"/>
              </w:rPr>
            </w:pPr>
            <w:r w:rsidRPr="00493BBB">
              <w:rPr>
                <w:sz w:val="20"/>
                <w:szCs w:val="20"/>
              </w:rPr>
              <w:t>5 367</w:t>
            </w:r>
            <w:r w:rsidR="00C13EB0" w:rsidRPr="00493BBB">
              <w:rPr>
                <w:sz w:val="20"/>
                <w:szCs w:val="20"/>
              </w:rPr>
              <w:t xml:space="preserve"> </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sz w:val="20"/>
                <w:szCs w:val="20"/>
              </w:rPr>
            </w:pPr>
            <w:r w:rsidRPr="00E214F6">
              <w:rPr>
                <w:sz w:val="20"/>
                <w:szCs w:val="20"/>
              </w:rPr>
              <w:t xml:space="preserve">Инвестиции в съвместни дружества </w:t>
            </w:r>
          </w:p>
        </w:tc>
        <w:tc>
          <w:tcPr>
            <w:tcW w:w="1721" w:type="dxa"/>
            <w:tcBorders>
              <w:top w:val="nil"/>
              <w:left w:val="nil"/>
              <w:bottom w:val="nil"/>
              <w:right w:val="nil"/>
            </w:tcBorders>
            <w:shd w:val="clear" w:color="auto" w:fill="auto"/>
            <w:noWrap/>
            <w:vAlign w:val="center"/>
            <w:hideMark/>
          </w:tcPr>
          <w:p w:rsidR="00C13EB0" w:rsidRPr="00493BBB" w:rsidRDefault="00493BBB" w:rsidP="00493BBB">
            <w:pPr>
              <w:widowControl/>
              <w:jc w:val="right"/>
              <w:rPr>
                <w:sz w:val="20"/>
                <w:szCs w:val="20"/>
              </w:rPr>
            </w:pPr>
            <w:r w:rsidRPr="00493BBB">
              <w:rPr>
                <w:sz w:val="20"/>
                <w:szCs w:val="20"/>
              </w:rPr>
              <w:t>4</w:t>
            </w:r>
            <w:r w:rsidR="00C13EB0" w:rsidRPr="00493BBB">
              <w:rPr>
                <w:sz w:val="20"/>
                <w:szCs w:val="20"/>
              </w:rPr>
              <w:t xml:space="preserve">8 </w:t>
            </w:r>
          </w:p>
        </w:tc>
        <w:tc>
          <w:tcPr>
            <w:tcW w:w="1960"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w:t>
            </w:r>
            <w:r w:rsidR="00493BBB" w:rsidRPr="00493BBB">
              <w:rPr>
                <w:sz w:val="20"/>
                <w:szCs w:val="20"/>
              </w:rPr>
              <w:t>3</w:t>
            </w:r>
            <w:r w:rsidRPr="00493BBB">
              <w:rPr>
                <w:sz w:val="20"/>
                <w:szCs w:val="20"/>
              </w:rPr>
              <w:t xml:space="preserve">1 </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color w:val="000000"/>
                <w:sz w:val="20"/>
                <w:szCs w:val="20"/>
              </w:rPr>
            </w:pPr>
            <w:r w:rsidRPr="00E214F6">
              <w:rPr>
                <w:color w:val="000000"/>
                <w:sz w:val="20"/>
                <w:szCs w:val="20"/>
              </w:rPr>
              <w:t>Финансови активи оценявани по справедлива стойност</w:t>
            </w:r>
            <w:r w:rsidR="00660C79">
              <w:rPr>
                <w:color w:val="000000"/>
                <w:sz w:val="20"/>
                <w:szCs w:val="20"/>
              </w:rPr>
              <w:t xml:space="preserve"> през ДВД</w:t>
            </w:r>
          </w:p>
        </w:tc>
        <w:tc>
          <w:tcPr>
            <w:tcW w:w="1721"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2 2</w:t>
            </w:r>
            <w:r w:rsidR="00493BBB" w:rsidRPr="00493BBB">
              <w:rPr>
                <w:sz w:val="20"/>
                <w:szCs w:val="20"/>
              </w:rPr>
              <w:t>57</w:t>
            </w:r>
            <w:r w:rsidRPr="00493BBB">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2 </w:t>
            </w:r>
            <w:r w:rsidR="00493BBB" w:rsidRPr="00493BBB">
              <w:rPr>
                <w:sz w:val="20"/>
                <w:szCs w:val="20"/>
              </w:rPr>
              <w:t>317</w:t>
            </w:r>
            <w:r w:rsidRPr="00493BBB">
              <w:rPr>
                <w:sz w:val="20"/>
                <w:szCs w:val="20"/>
              </w:rPr>
              <w:t xml:space="preserve"> </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left"/>
              <w:rPr>
                <w:sz w:val="20"/>
                <w:szCs w:val="20"/>
              </w:rPr>
            </w:pPr>
            <w:r w:rsidRPr="00E214F6">
              <w:rPr>
                <w:sz w:val="20"/>
                <w:szCs w:val="20"/>
              </w:rPr>
              <w:t>Активи по отсрочени данъци</w:t>
            </w:r>
          </w:p>
        </w:tc>
        <w:tc>
          <w:tcPr>
            <w:tcW w:w="1721" w:type="dxa"/>
            <w:tcBorders>
              <w:top w:val="nil"/>
              <w:left w:val="nil"/>
              <w:bottom w:val="nil"/>
              <w:right w:val="nil"/>
            </w:tcBorders>
            <w:shd w:val="clear" w:color="auto" w:fill="auto"/>
            <w:noWrap/>
            <w:vAlign w:val="center"/>
            <w:hideMark/>
          </w:tcPr>
          <w:p w:rsidR="00C13EB0" w:rsidRPr="00493BBB" w:rsidRDefault="00493BBB" w:rsidP="00C13EB0">
            <w:pPr>
              <w:widowControl/>
              <w:jc w:val="right"/>
              <w:rPr>
                <w:sz w:val="20"/>
                <w:szCs w:val="20"/>
              </w:rPr>
            </w:pPr>
            <w:r w:rsidRPr="00493BBB">
              <w:rPr>
                <w:sz w:val="20"/>
                <w:szCs w:val="20"/>
              </w:rPr>
              <w:t>249</w:t>
            </w:r>
            <w:r w:rsidR="00C13EB0" w:rsidRPr="00493BBB">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493BBB" w:rsidRDefault="00C13EB0" w:rsidP="00493BBB">
            <w:pPr>
              <w:widowControl/>
              <w:jc w:val="right"/>
              <w:rPr>
                <w:sz w:val="20"/>
                <w:szCs w:val="20"/>
              </w:rPr>
            </w:pPr>
            <w:r w:rsidRPr="00493BBB">
              <w:rPr>
                <w:sz w:val="20"/>
                <w:szCs w:val="20"/>
              </w:rPr>
              <w:t xml:space="preserve"> </w:t>
            </w:r>
            <w:r w:rsidR="00493BBB" w:rsidRPr="00493BBB">
              <w:rPr>
                <w:sz w:val="20"/>
                <w:szCs w:val="20"/>
              </w:rPr>
              <w:t>245</w:t>
            </w:r>
            <w:r w:rsidRPr="00493BBB">
              <w:rPr>
                <w:sz w:val="20"/>
                <w:szCs w:val="20"/>
              </w:rPr>
              <w:t xml:space="preserve"> </w:t>
            </w:r>
          </w:p>
        </w:tc>
      </w:tr>
      <w:tr w:rsidR="00493BBB"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493BBB" w:rsidRPr="00E214F6" w:rsidRDefault="00493BBB" w:rsidP="00C13EB0">
            <w:pPr>
              <w:widowControl/>
              <w:jc w:val="left"/>
              <w:rPr>
                <w:sz w:val="20"/>
                <w:szCs w:val="20"/>
              </w:rPr>
            </w:pPr>
            <w:r>
              <w:rPr>
                <w:sz w:val="20"/>
                <w:szCs w:val="20"/>
              </w:rPr>
              <w:t>Дългосрочно предплатени разходи</w:t>
            </w:r>
          </w:p>
        </w:tc>
        <w:tc>
          <w:tcPr>
            <w:tcW w:w="1721" w:type="dxa"/>
            <w:tcBorders>
              <w:top w:val="nil"/>
              <w:left w:val="nil"/>
              <w:bottom w:val="nil"/>
              <w:right w:val="nil"/>
            </w:tcBorders>
            <w:shd w:val="clear" w:color="auto" w:fill="auto"/>
            <w:noWrap/>
            <w:vAlign w:val="center"/>
            <w:hideMark/>
          </w:tcPr>
          <w:p w:rsidR="00493BBB" w:rsidRPr="00493BBB" w:rsidRDefault="00493BBB" w:rsidP="00C13EB0">
            <w:pPr>
              <w:widowControl/>
              <w:jc w:val="right"/>
              <w:rPr>
                <w:sz w:val="20"/>
                <w:szCs w:val="20"/>
              </w:rPr>
            </w:pPr>
            <w:r w:rsidRPr="00493BBB">
              <w:rPr>
                <w:sz w:val="20"/>
                <w:szCs w:val="20"/>
              </w:rPr>
              <w:t>327</w:t>
            </w:r>
          </w:p>
        </w:tc>
        <w:tc>
          <w:tcPr>
            <w:tcW w:w="1960" w:type="dxa"/>
            <w:tcBorders>
              <w:top w:val="nil"/>
              <w:left w:val="nil"/>
              <w:bottom w:val="nil"/>
              <w:right w:val="nil"/>
            </w:tcBorders>
            <w:shd w:val="clear" w:color="auto" w:fill="auto"/>
            <w:noWrap/>
            <w:vAlign w:val="center"/>
            <w:hideMark/>
          </w:tcPr>
          <w:p w:rsidR="00493BBB" w:rsidRPr="00493BBB" w:rsidRDefault="00493BBB" w:rsidP="00493BBB">
            <w:pPr>
              <w:widowControl/>
              <w:jc w:val="right"/>
              <w:rPr>
                <w:sz w:val="20"/>
                <w:szCs w:val="20"/>
              </w:rPr>
            </w:pPr>
            <w:r w:rsidRPr="00493BBB">
              <w:rPr>
                <w:sz w:val="20"/>
                <w:szCs w:val="20"/>
              </w:rPr>
              <w:t>343</w:t>
            </w:r>
          </w:p>
        </w:tc>
      </w:tr>
      <w:tr w:rsidR="00C13EB0" w:rsidRPr="00F55B63"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E214F6" w:rsidRDefault="00C13EB0" w:rsidP="00C13EB0">
            <w:pPr>
              <w:widowControl/>
              <w:jc w:val="right"/>
              <w:rPr>
                <w:sz w:val="20"/>
                <w:szCs w:val="20"/>
              </w:rPr>
            </w:pPr>
          </w:p>
        </w:tc>
        <w:tc>
          <w:tcPr>
            <w:tcW w:w="1721" w:type="dxa"/>
            <w:tcBorders>
              <w:top w:val="single" w:sz="4" w:space="0" w:color="auto"/>
              <w:left w:val="nil"/>
              <w:bottom w:val="single" w:sz="4" w:space="0" w:color="auto"/>
              <w:right w:val="nil"/>
            </w:tcBorders>
            <w:shd w:val="clear" w:color="auto" w:fill="auto"/>
            <w:noWrap/>
            <w:vAlign w:val="center"/>
            <w:hideMark/>
          </w:tcPr>
          <w:p w:rsidR="00C13EB0" w:rsidRPr="00493BBB" w:rsidRDefault="00C13EB0" w:rsidP="00493BBB">
            <w:pPr>
              <w:widowControl/>
              <w:jc w:val="right"/>
              <w:rPr>
                <w:b/>
                <w:bCs/>
                <w:sz w:val="20"/>
                <w:szCs w:val="20"/>
              </w:rPr>
            </w:pPr>
            <w:r w:rsidRPr="00493BBB">
              <w:rPr>
                <w:b/>
                <w:bCs/>
                <w:sz w:val="20"/>
                <w:szCs w:val="20"/>
              </w:rPr>
              <w:t xml:space="preserve"> </w:t>
            </w:r>
            <w:r w:rsidR="00493BBB" w:rsidRPr="00493BBB">
              <w:rPr>
                <w:b/>
                <w:bCs/>
                <w:sz w:val="20"/>
                <w:szCs w:val="20"/>
              </w:rPr>
              <w:t>9 821</w:t>
            </w:r>
            <w:r w:rsidRPr="00493BBB">
              <w:rPr>
                <w:b/>
                <w:bCs/>
                <w:sz w:val="20"/>
                <w:szCs w:val="20"/>
              </w:rPr>
              <w:t xml:space="preserve"> </w:t>
            </w:r>
          </w:p>
        </w:tc>
        <w:tc>
          <w:tcPr>
            <w:tcW w:w="1960" w:type="dxa"/>
            <w:tcBorders>
              <w:top w:val="single" w:sz="4" w:space="0" w:color="auto"/>
              <w:left w:val="nil"/>
              <w:bottom w:val="single" w:sz="4" w:space="0" w:color="auto"/>
              <w:right w:val="nil"/>
            </w:tcBorders>
            <w:shd w:val="clear" w:color="auto" w:fill="auto"/>
            <w:noWrap/>
            <w:vAlign w:val="center"/>
            <w:hideMark/>
          </w:tcPr>
          <w:p w:rsidR="00C13EB0" w:rsidRPr="00493BBB" w:rsidRDefault="00C13EB0" w:rsidP="00493BBB">
            <w:pPr>
              <w:widowControl/>
              <w:jc w:val="right"/>
              <w:rPr>
                <w:b/>
                <w:bCs/>
                <w:sz w:val="20"/>
                <w:szCs w:val="20"/>
              </w:rPr>
            </w:pPr>
            <w:r w:rsidRPr="00493BBB">
              <w:rPr>
                <w:b/>
                <w:bCs/>
                <w:sz w:val="20"/>
                <w:szCs w:val="20"/>
              </w:rPr>
              <w:t xml:space="preserve"> </w:t>
            </w:r>
            <w:r w:rsidR="00493BBB" w:rsidRPr="00493BBB">
              <w:rPr>
                <w:b/>
                <w:bCs/>
                <w:sz w:val="20"/>
                <w:szCs w:val="20"/>
              </w:rPr>
              <w:t>9 660</w:t>
            </w:r>
            <w:r w:rsidRPr="00493BBB">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Текущи активи</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8E4F27" w:rsidP="00C13EB0">
            <w:pPr>
              <w:widowControl/>
              <w:jc w:val="left"/>
              <w:rPr>
                <w:sz w:val="20"/>
                <w:szCs w:val="20"/>
              </w:rPr>
            </w:pPr>
            <w:r w:rsidRPr="00662D45">
              <w:rPr>
                <w:sz w:val="20"/>
                <w:szCs w:val="20"/>
              </w:rPr>
              <w:t>В</w:t>
            </w:r>
            <w:r w:rsidR="00C13EB0" w:rsidRPr="00662D45">
              <w:rPr>
                <w:sz w:val="20"/>
                <w:szCs w:val="20"/>
              </w:rPr>
              <w:t>земания</w:t>
            </w:r>
            <w:r w:rsidRPr="00662D45">
              <w:rPr>
                <w:sz w:val="20"/>
                <w:szCs w:val="20"/>
              </w:rPr>
              <w:t xml:space="preserve"> от клиенти</w:t>
            </w:r>
          </w:p>
        </w:tc>
        <w:tc>
          <w:tcPr>
            <w:tcW w:w="1721"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407</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513</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8E4F27" w:rsidP="008E4F27">
            <w:pPr>
              <w:widowControl/>
              <w:jc w:val="left"/>
              <w:rPr>
                <w:sz w:val="20"/>
                <w:szCs w:val="20"/>
              </w:rPr>
            </w:pPr>
            <w:r w:rsidRPr="00662D45">
              <w:rPr>
                <w:sz w:val="20"/>
                <w:szCs w:val="20"/>
              </w:rPr>
              <w:t>В</w:t>
            </w:r>
            <w:r w:rsidR="00C13EB0" w:rsidRPr="00662D45">
              <w:rPr>
                <w:sz w:val="20"/>
                <w:szCs w:val="20"/>
              </w:rPr>
              <w:t xml:space="preserve">земания </w:t>
            </w:r>
            <w:r w:rsidRPr="00662D45">
              <w:rPr>
                <w:sz w:val="20"/>
                <w:szCs w:val="20"/>
              </w:rPr>
              <w:t>от контрагенти за електрическа енергия</w:t>
            </w:r>
          </w:p>
        </w:tc>
        <w:tc>
          <w:tcPr>
            <w:tcW w:w="1721" w:type="dxa"/>
            <w:tcBorders>
              <w:top w:val="nil"/>
              <w:left w:val="nil"/>
              <w:bottom w:val="nil"/>
              <w:right w:val="nil"/>
            </w:tcBorders>
            <w:shd w:val="clear" w:color="auto" w:fill="auto"/>
            <w:noWrap/>
            <w:vAlign w:val="center"/>
            <w:hideMark/>
          </w:tcPr>
          <w:p w:rsidR="00C13EB0" w:rsidRPr="00662D45" w:rsidRDefault="008E4F27" w:rsidP="00C13EB0">
            <w:pPr>
              <w:widowControl/>
              <w:jc w:val="right"/>
              <w:rPr>
                <w:sz w:val="20"/>
                <w:szCs w:val="20"/>
              </w:rPr>
            </w:pPr>
            <w:r w:rsidRPr="00662D45">
              <w:rPr>
                <w:sz w:val="20"/>
                <w:szCs w:val="20"/>
              </w:rPr>
              <w:t>1 611</w:t>
            </w:r>
            <w:r w:rsidR="00C13EB0"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3 029</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8E4F27" w:rsidP="00C13EB0">
            <w:pPr>
              <w:widowControl/>
              <w:jc w:val="left"/>
              <w:rPr>
                <w:sz w:val="20"/>
                <w:szCs w:val="20"/>
              </w:rPr>
            </w:pPr>
            <w:r w:rsidRPr="00662D45">
              <w:rPr>
                <w:sz w:val="20"/>
                <w:szCs w:val="20"/>
              </w:rPr>
              <w:t>Други вземания и предплатени разходи</w:t>
            </w:r>
          </w:p>
        </w:tc>
        <w:tc>
          <w:tcPr>
            <w:tcW w:w="1721" w:type="dxa"/>
            <w:tcBorders>
              <w:top w:val="nil"/>
              <w:left w:val="nil"/>
              <w:bottom w:val="nil"/>
              <w:right w:val="nil"/>
            </w:tcBorders>
            <w:shd w:val="clear" w:color="auto" w:fill="auto"/>
            <w:noWrap/>
            <w:vAlign w:val="center"/>
            <w:hideMark/>
          </w:tcPr>
          <w:p w:rsidR="00C13EB0" w:rsidRPr="00662D45" w:rsidRDefault="008E4F27" w:rsidP="00C13EB0">
            <w:pPr>
              <w:widowControl/>
              <w:jc w:val="right"/>
              <w:rPr>
                <w:sz w:val="20"/>
                <w:szCs w:val="20"/>
              </w:rPr>
            </w:pPr>
            <w:r w:rsidRPr="00662D45">
              <w:rPr>
                <w:sz w:val="20"/>
                <w:szCs w:val="20"/>
              </w:rPr>
              <w:t>6 938</w:t>
            </w:r>
            <w:r w:rsidR="00C13EB0"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8 051</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Парични средства и парични еквиваленти</w:t>
            </w:r>
          </w:p>
        </w:tc>
        <w:tc>
          <w:tcPr>
            <w:tcW w:w="1721"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89 374</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8E4F27">
            <w:pPr>
              <w:widowControl/>
              <w:jc w:val="right"/>
              <w:rPr>
                <w:sz w:val="20"/>
                <w:szCs w:val="20"/>
              </w:rPr>
            </w:pPr>
            <w:r w:rsidRPr="00662D45">
              <w:rPr>
                <w:sz w:val="20"/>
                <w:szCs w:val="20"/>
              </w:rPr>
              <w:t xml:space="preserve"> </w:t>
            </w:r>
            <w:r w:rsidR="008E4F27" w:rsidRPr="00662D45">
              <w:rPr>
                <w:sz w:val="20"/>
                <w:szCs w:val="20"/>
              </w:rPr>
              <w:t>109 371</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sz w:val="20"/>
                <w:szCs w:val="20"/>
              </w:rPr>
            </w:pPr>
          </w:p>
        </w:tc>
        <w:tc>
          <w:tcPr>
            <w:tcW w:w="1721" w:type="dxa"/>
            <w:tcBorders>
              <w:top w:val="single" w:sz="4" w:space="0" w:color="auto"/>
              <w:left w:val="nil"/>
              <w:bottom w:val="single" w:sz="4" w:space="0" w:color="auto"/>
              <w:right w:val="nil"/>
            </w:tcBorders>
            <w:shd w:val="clear" w:color="auto" w:fill="auto"/>
            <w:noWrap/>
            <w:vAlign w:val="center"/>
            <w:hideMark/>
          </w:tcPr>
          <w:p w:rsidR="00C13EB0" w:rsidRPr="00662D45" w:rsidRDefault="008E4F27" w:rsidP="00C13EB0">
            <w:pPr>
              <w:widowControl/>
              <w:jc w:val="right"/>
              <w:rPr>
                <w:b/>
                <w:bCs/>
                <w:sz w:val="20"/>
                <w:szCs w:val="20"/>
              </w:rPr>
            </w:pPr>
            <w:r w:rsidRPr="00662D45">
              <w:rPr>
                <w:b/>
                <w:bCs/>
                <w:sz w:val="20"/>
                <w:szCs w:val="20"/>
              </w:rPr>
              <w:t>98 330</w:t>
            </w:r>
            <w:r w:rsidR="00C13EB0" w:rsidRPr="00662D45">
              <w:rPr>
                <w:b/>
                <w:bCs/>
                <w:sz w:val="20"/>
                <w:szCs w:val="20"/>
              </w:rPr>
              <w:t xml:space="preserve"> </w:t>
            </w:r>
          </w:p>
        </w:tc>
        <w:tc>
          <w:tcPr>
            <w:tcW w:w="1960" w:type="dxa"/>
            <w:tcBorders>
              <w:top w:val="single" w:sz="4" w:space="0" w:color="auto"/>
              <w:left w:val="nil"/>
              <w:bottom w:val="single" w:sz="4" w:space="0" w:color="auto"/>
              <w:right w:val="nil"/>
            </w:tcBorders>
            <w:shd w:val="clear" w:color="auto" w:fill="auto"/>
            <w:noWrap/>
            <w:vAlign w:val="center"/>
            <w:hideMark/>
          </w:tcPr>
          <w:p w:rsidR="00C13EB0" w:rsidRPr="00662D45" w:rsidRDefault="00C13EB0" w:rsidP="008E4F27">
            <w:pPr>
              <w:widowControl/>
              <w:jc w:val="right"/>
              <w:rPr>
                <w:b/>
                <w:bCs/>
                <w:sz w:val="20"/>
                <w:szCs w:val="20"/>
              </w:rPr>
            </w:pPr>
            <w:r w:rsidRPr="00662D45">
              <w:rPr>
                <w:b/>
                <w:bCs/>
                <w:sz w:val="20"/>
                <w:szCs w:val="20"/>
              </w:rPr>
              <w:t xml:space="preserve"> </w:t>
            </w:r>
            <w:r w:rsidR="008E4F27" w:rsidRPr="00662D45">
              <w:rPr>
                <w:b/>
                <w:bCs/>
                <w:sz w:val="20"/>
                <w:szCs w:val="20"/>
              </w:rPr>
              <w:t>120 964</w:t>
            </w:r>
            <w:r w:rsidRPr="00662D45">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ОБЩО АКТИВИ</w:t>
            </w:r>
          </w:p>
        </w:tc>
        <w:tc>
          <w:tcPr>
            <w:tcW w:w="1721" w:type="dxa"/>
            <w:tcBorders>
              <w:top w:val="single" w:sz="4" w:space="0" w:color="auto"/>
              <w:left w:val="nil"/>
              <w:bottom w:val="double" w:sz="6" w:space="0" w:color="auto"/>
              <w:right w:val="nil"/>
            </w:tcBorders>
            <w:shd w:val="clear" w:color="auto" w:fill="auto"/>
            <w:noWrap/>
            <w:vAlign w:val="center"/>
            <w:hideMark/>
          </w:tcPr>
          <w:p w:rsidR="00C13EB0" w:rsidRPr="00662D45" w:rsidRDefault="008E4F27" w:rsidP="00C13EB0">
            <w:pPr>
              <w:widowControl/>
              <w:jc w:val="right"/>
              <w:rPr>
                <w:b/>
                <w:bCs/>
                <w:sz w:val="20"/>
                <w:szCs w:val="20"/>
              </w:rPr>
            </w:pPr>
            <w:r w:rsidRPr="00662D45">
              <w:rPr>
                <w:b/>
                <w:bCs/>
                <w:sz w:val="20"/>
                <w:szCs w:val="20"/>
              </w:rPr>
              <w:t>108 151</w:t>
            </w:r>
            <w:r w:rsidR="00C13EB0" w:rsidRPr="00662D45">
              <w:rPr>
                <w:b/>
                <w:bCs/>
                <w:sz w:val="20"/>
                <w:szCs w:val="20"/>
              </w:rPr>
              <w:t xml:space="preserve"> </w:t>
            </w:r>
          </w:p>
        </w:tc>
        <w:tc>
          <w:tcPr>
            <w:tcW w:w="1960" w:type="dxa"/>
            <w:tcBorders>
              <w:top w:val="single" w:sz="4" w:space="0" w:color="auto"/>
              <w:left w:val="nil"/>
              <w:bottom w:val="double" w:sz="6" w:space="0" w:color="auto"/>
              <w:right w:val="nil"/>
            </w:tcBorders>
            <w:shd w:val="clear" w:color="auto" w:fill="auto"/>
            <w:noWrap/>
            <w:vAlign w:val="center"/>
            <w:hideMark/>
          </w:tcPr>
          <w:p w:rsidR="00C13EB0" w:rsidRPr="00662D45" w:rsidRDefault="008E4F27" w:rsidP="00C13EB0">
            <w:pPr>
              <w:widowControl/>
              <w:jc w:val="right"/>
              <w:rPr>
                <w:b/>
                <w:bCs/>
                <w:sz w:val="20"/>
                <w:szCs w:val="20"/>
              </w:rPr>
            </w:pPr>
            <w:r w:rsidRPr="00662D45">
              <w:rPr>
                <w:b/>
                <w:bCs/>
                <w:sz w:val="20"/>
                <w:szCs w:val="20"/>
              </w:rPr>
              <w:t>130 624</w:t>
            </w:r>
            <w:r w:rsidR="00C13EB0" w:rsidRPr="00662D45">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b/>
                <w:bCs/>
                <w:sz w:val="20"/>
                <w:szCs w:val="20"/>
              </w:rPr>
            </w:pP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СОБСТВЕН КАПИТАЛ И ПАСИВИ</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rPr>
            </w:pP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СОБСТВЕН КАПИТАЛ</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vAlign w:val="center"/>
            <w:hideMark/>
          </w:tcPr>
          <w:p w:rsidR="00C13EB0" w:rsidRPr="00662D45" w:rsidRDefault="00C13EB0" w:rsidP="00C13EB0">
            <w:pPr>
              <w:widowControl/>
              <w:jc w:val="left"/>
              <w:rPr>
                <w:b/>
                <w:bCs/>
                <w:sz w:val="20"/>
                <w:szCs w:val="20"/>
              </w:rPr>
            </w:pPr>
            <w:r w:rsidRPr="00662D45">
              <w:rPr>
                <w:b/>
                <w:bCs/>
                <w:sz w:val="20"/>
                <w:szCs w:val="20"/>
              </w:rPr>
              <w:t>Капитал, отнасящ се до притежателите на собствения капитал на дружеството-майка</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Основен акционерен капитал</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sz w:val="20"/>
                <w:szCs w:val="20"/>
              </w:rPr>
            </w:pPr>
            <w:r w:rsidRPr="00662D45">
              <w:rPr>
                <w:sz w:val="20"/>
                <w:szCs w:val="20"/>
              </w:rPr>
              <w:t xml:space="preserve"> 6 583 </w:t>
            </w: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sz w:val="20"/>
                <w:szCs w:val="20"/>
              </w:rPr>
            </w:pPr>
            <w:r w:rsidRPr="00662D45">
              <w:rPr>
                <w:sz w:val="20"/>
                <w:szCs w:val="20"/>
              </w:rPr>
              <w:t xml:space="preserve"> 6 583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Резерви</w:t>
            </w:r>
          </w:p>
        </w:tc>
        <w:tc>
          <w:tcPr>
            <w:tcW w:w="1721" w:type="dxa"/>
            <w:tcBorders>
              <w:top w:val="nil"/>
              <w:left w:val="nil"/>
              <w:bottom w:val="nil"/>
              <w:right w:val="nil"/>
            </w:tcBorders>
            <w:shd w:val="clear" w:color="auto" w:fill="auto"/>
            <w:noWrap/>
            <w:vAlign w:val="center"/>
            <w:hideMark/>
          </w:tcPr>
          <w:p w:rsidR="00C13EB0" w:rsidRPr="00662D45" w:rsidRDefault="00C13EB0" w:rsidP="00593EB3">
            <w:pPr>
              <w:widowControl/>
              <w:jc w:val="right"/>
              <w:rPr>
                <w:sz w:val="20"/>
                <w:szCs w:val="20"/>
              </w:rPr>
            </w:pPr>
            <w:r w:rsidRPr="00662D45">
              <w:rPr>
                <w:sz w:val="20"/>
                <w:szCs w:val="20"/>
              </w:rPr>
              <w:t xml:space="preserve"> 3 </w:t>
            </w:r>
            <w:r w:rsidR="00593EB3" w:rsidRPr="00662D45">
              <w:rPr>
                <w:sz w:val="20"/>
                <w:szCs w:val="20"/>
              </w:rPr>
              <w:t>776</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593EB3">
            <w:pPr>
              <w:widowControl/>
              <w:jc w:val="right"/>
              <w:rPr>
                <w:sz w:val="20"/>
                <w:szCs w:val="20"/>
              </w:rPr>
            </w:pPr>
            <w:r w:rsidRPr="00662D45">
              <w:rPr>
                <w:sz w:val="20"/>
                <w:szCs w:val="20"/>
              </w:rPr>
              <w:t xml:space="preserve"> 3 </w:t>
            </w:r>
            <w:r w:rsidR="00593EB3" w:rsidRPr="00662D45">
              <w:rPr>
                <w:sz w:val="20"/>
                <w:szCs w:val="20"/>
              </w:rPr>
              <w:t>813</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Натрупани печалби /(загуби)</w:t>
            </w:r>
          </w:p>
        </w:tc>
        <w:tc>
          <w:tcPr>
            <w:tcW w:w="1721" w:type="dxa"/>
            <w:tcBorders>
              <w:top w:val="nil"/>
              <w:left w:val="nil"/>
              <w:bottom w:val="nil"/>
              <w:right w:val="nil"/>
            </w:tcBorders>
            <w:shd w:val="clear" w:color="auto" w:fill="auto"/>
            <w:noWrap/>
            <w:vAlign w:val="center"/>
            <w:hideMark/>
          </w:tcPr>
          <w:p w:rsidR="00C13EB0" w:rsidRPr="00662D45" w:rsidRDefault="00C13EB0" w:rsidP="00593EB3">
            <w:pPr>
              <w:widowControl/>
              <w:jc w:val="right"/>
              <w:rPr>
                <w:sz w:val="20"/>
                <w:szCs w:val="20"/>
              </w:rPr>
            </w:pPr>
            <w:r w:rsidRPr="00662D45">
              <w:rPr>
                <w:sz w:val="20"/>
                <w:szCs w:val="20"/>
              </w:rPr>
              <w:t xml:space="preserve"> </w:t>
            </w:r>
            <w:r w:rsidR="00593EB3" w:rsidRPr="00662D45">
              <w:rPr>
                <w:sz w:val="20"/>
                <w:szCs w:val="20"/>
              </w:rPr>
              <w:t>10 067</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593EB3" w:rsidP="00C13EB0">
            <w:pPr>
              <w:widowControl/>
              <w:jc w:val="right"/>
              <w:rPr>
                <w:sz w:val="20"/>
                <w:szCs w:val="20"/>
              </w:rPr>
            </w:pPr>
            <w:r w:rsidRPr="00662D45">
              <w:rPr>
                <w:sz w:val="20"/>
                <w:szCs w:val="20"/>
              </w:rPr>
              <w:t>8 788</w:t>
            </w:r>
            <w:r w:rsidR="00C13EB0"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vAlign w:val="center"/>
            <w:hideMark/>
          </w:tcPr>
          <w:p w:rsidR="00C13EB0" w:rsidRPr="00662D45" w:rsidRDefault="00C13EB0" w:rsidP="00C13EB0">
            <w:pPr>
              <w:widowControl/>
              <w:jc w:val="right"/>
              <w:rPr>
                <w:sz w:val="20"/>
                <w:szCs w:val="20"/>
              </w:rPr>
            </w:pPr>
          </w:p>
        </w:tc>
        <w:tc>
          <w:tcPr>
            <w:tcW w:w="1721" w:type="dxa"/>
            <w:tcBorders>
              <w:top w:val="single" w:sz="4" w:space="0" w:color="auto"/>
              <w:left w:val="nil"/>
              <w:bottom w:val="single" w:sz="4" w:space="0" w:color="auto"/>
              <w:right w:val="nil"/>
            </w:tcBorders>
            <w:shd w:val="clear" w:color="auto" w:fill="auto"/>
            <w:noWrap/>
            <w:vAlign w:val="center"/>
            <w:hideMark/>
          </w:tcPr>
          <w:p w:rsidR="00C13EB0" w:rsidRPr="00662D45" w:rsidRDefault="00C13EB0" w:rsidP="00593EB3">
            <w:pPr>
              <w:widowControl/>
              <w:jc w:val="right"/>
              <w:rPr>
                <w:b/>
                <w:bCs/>
                <w:sz w:val="20"/>
                <w:szCs w:val="20"/>
              </w:rPr>
            </w:pPr>
            <w:r w:rsidRPr="00662D45">
              <w:rPr>
                <w:b/>
                <w:bCs/>
                <w:sz w:val="20"/>
                <w:szCs w:val="20"/>
              </w:rPr>
              <w:t xml:space="preserve"> </w:t>
            </w:r>
            <w:r w:rsidR="00593EB3" w:rsidRPr="00662D45">
              <w:rPr>
                <w:b/>
                <w:bCs/>
                <w:sz w:val="20"/>
                <w:szCs w:val="20"/>
              </w:rPr>
              <w:t>20 426</w:t>
            </w:r>
            <w:r w:rsidRPr="00662D45">
              <w:rPr>
                <w:b/>
                <w:bCs/>
                <w:sz w:val="20"/>
                <w:szCs w:val="20"/>
              </w:rPr>
              <w:t xml:space="preserve"> </w:t>
            </w:r>
          </w:p>
        </w:tc>
        <w:tc>
          <w:tcPr>
            <w:tcW w:w="1960" w:type="dxa"/>
            <w:tcBorders>
              <w:top w:val="single" w:sz="4" w:space="0" w:color="auto"/>
              <w:left w:val="nil"/>
              <w:bottom w:val="single" w:sz="4" w:space="0" w:color="auto"/>
              <w:right w:val="nil"/>
            </w:tcBorders>
            <w:shd w:val="clear" w:color="auto" w:fill="auto"/>
            <w:noWrap/>
            <w:vAlign w:val="center"/>
            <w:hideMark/>
          </w:tcPr>
          <w:p w:rsidR="00C13EB0" w:rsidRPr="00662D45" w:rsidRDefault="00C13EB0" w:rsidP="00593EB3">
            <w:pPr>
              <w:widowControl/>
              <w:jc w:val="right"/>
              <w:rPr>
                <w:b/>
                <w:bCs/>
                <w:sz w:val="20"/>
                <w:szCs w:val="20"/>
              </w:rPr>
            </w:pPr>
            <w:r w:rsidRPr="00662D45">
              <w:rPr>
                <w:b/>
                <w:bCs/>
                <w:sz w:val="20"/>
                <w:szCs w:val="20"/>
              </w:rPr>
              <w:t xml:space="preserve"> </w:t>
            </w:r>
            <w:r w:rsidR="00593EB3" w:rsidRPr="00662D45">
              <w:rPr>
                <w:b/>
                <w:bCs/>
                <w:sz w:val="20"/>
                <w:szCs w:val="20"/>
              </w:rPr>
              <w:t>19 184</w:t>
            </w:r>
            <w:r w:rsidRPr="00662D45">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ПАСИВИ</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b/>
                <w:bCs/>
                <w:sz w:val="20"/>
                <w:szCs w:val="20"/>
              </w:rPr>
            </w:pPr>
            <w:r w:rsidRPr="00662D45">
              <w:rPr>
                <w:b/>
                <w:bCs/>
                <w:sz w:val="20"/>
                <w:szCs w:val="20"/>
              </w:rPr>
              <w:t> </w:t>
            </w: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b/>
                <w:bCs/>
                <w:sz w:val="20"/>
                <w:szCs w:val="20"/>
              </w:rPr>
            </w:pPr>
            <w:r w:rsidRPr="00662D45">
              <w:rPr>
                <w:b/>
                <w:bCs/>
                <w:sz w:val="20"/>
                <w:szCs w:val="20"/>
              </w:rPr>
              <w:t>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Нетекущи задължения</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rPr>
            </w:pP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Дългосрочни задължения към персонала при пенсиониране</w:t>
            </w:r>
          </w:p>
        </w:tc>
        <w:tc>
          <w:tcPr>
            <w:tcW w:w="1721" w:type="dxa"/>
            <w:tcBorders>
              <w:top w:val="nil"/>
              <w:left w:val="nil"/>
              <w:bottom w:val="nil"/>
              <w:right w:val="nil"/>
            </w:tcBorders>
            <w:shd w:val="clear" w:color="auto" w:fill="auto"/>
            <w:noWrap/>
            <w:vAlign w:val="center"/>
            <w:hideMark/>
          </w:tcPr>
          <w:p w:rsidR="00C13EB0" w:rsidRPr="00662D45" w:rsidRDefault="00C13EB0" w:rsidP="00593EB3">
            <w:pPr>
              <w:widowControl/>
              <w:jc w:val="right"/>
              <w:rPr>
                <w:sz w:val="20"/>
                <w:szCs w:val="20"/>
              </w:rPr>
            </w:pPr>
            <w:r w:rsidRPr="00662D45">
              <w:rPr>
                <w:sz w:val="20"/>
                <w:szCs w:val="20"/>
              </w:rPr>
              <w:t xml:space="preserve"> 1</w:t>
            </w:r>
            <w:r w:rsidR="00593EB3" w:rsidRPr="00662D45">
              <w:rPr>
                <w:sz w:val="20"/>
                <w:szCs w:val="20"/>
              </w:rPr>
              <w:t>35</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593EB3">
            <w:pPr>
              <w:widowControl/>
              <w:jc w:val="right"/>
              <w:rPr>
                <w:sz w:val="20"/>
                <w:szCs w:val="20"/>
              </w:rPr>
            </w:pPr>
            <w:r w:rsidRPr="00662D45">
              <w:rPr>
                <w:sz w:val="20"/>
                <w:szCs w:val="20"/>
              </w:rPr>
              <w:t xml:space="preserve"> 1</w:t>
            </w:r>
            <w:r w:rsidR="00593EB3" w:rsidRPr="00662D45">
              <w:rPr>
                <w:sz w:val="20"/>
                <w:szCs w:val="20"/>
              </w:rPr>
              <w:t>34</w:t>
            </w:r>
            <w:r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Пасиви по отсрочени данъци</w:t>
            </w:r>
          </w:p>
        </w:tc>
        <w:tc>
          <w:tcPr>
            <w:tcW w:w="1721" w:type="dxa"/>
            <w:tcBorders>
              <w:top w:val="nil"/>
              <w:left w:val="nil"/>
              <w:bottom w:val="nil"/>
              <w:right w:val="nil"/>
            </w:tcBorders>
            <w:shd w:val="clear" w:color="auto" w:fill="auto"/>
            <w:noWrap/>
            <w:hideMark/>
          </w:tcPr>
          <w:p w:rsidR="00C13EB0" w:rsidRPr="00662D45" w:rsidRDefault="00593EB3" w:rsidP="00C13EB0">
            <w:pPr>
              <w:widowControl/>
              <w:jc w:val="right"/>
              <w:rPr>
                <w:sz w:val="20"/>
                <w:szCs w:val="20"/>
              </w:rPr>
            </w:pPr>
            <w:r w:rsidRPr="00662D45">
              <w:rPr>
                <w:sz w:val="20"/>
                <w:szCs w:val="20"/>
              </w:rPr>
              <w:t>459</w:t>
            </w:r>
            <w:r w:rsidR="00C13EB0" w:rsidRPr="00662D45">
              <w:rPr>
                <w:sz w:val="20"/>
                <w:szCs w:val="20"/>
              </w:rPr>
              <w:t xml:space="preserve"> </w:t>
            </w:r>
          </w:p>
        </w:tc>
        <w:tc>
          <w:tcPr>
            <w:tcW w:w="1960" w:type="dxa"/>
            <w:tcBorders>
              <w:top w:val="nil"/>
              <w:left w:val="nil"/>
              <w:bottom w:val="nil"/>
              <w:right w:val="nil"/>
            </w:tcBorders>
            <w:shd w:val="clear" w:color="auto" w:fill="auto"/>
            <w:noWrap/>
            <w:hideMark/>
          </w:tcPr>
          <w:p w:rsidR="00C13EB0" w:rsidRPr="00662D45" w:rsidRDefault="00593EB3" w:rsidP="00C13EB0">
            <w:pPr>
              <w:widowControl/>
              <w:jc w:val="right"/>
              <w:rPr>
                <w:sz w:val="20"/>
                <w:szCs w:val="20"/>
              </w:rPr>
            </w:pPr>
            <w:r w:rsidRPr="00662D45">
              <w:rPr>
                <w:sz w:val="20"/>
                <w:szCs w:val="20"/>
              </w:rPr>
              <w:t>467</w:t>
            </w:r>
            <w:r w:rsidR="00C13EB0" w:rsidRPr="00662D45">
              <w:rPr>
                <w:sz w:val="20"/>
                <w:szCs w:val="20"/>
              </w:rPr>
              <w:t xml:space="preserve"> </w:t>
            </w:r>
          </w:p>
        </w:tc>
      </w:tr>
      <w:tr w:rsidR="00593EB3"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593EB3" w:rsidRPr="00662D45" w:rsidRDefault="00593EB3" w:rsidP="00C13EB0">
            <w:pPr>
              <w:widowControl/>
              <w:jc w:val="left"/>
              <w:rPr>
                <w:sz w:val="20"/>
                <w:szCs w:val="20"/>
              </w:rPr>
            </w:pPr>
            <w:r w:rsidRPr="00662D45">
              <w:rPr>
                <w:sz w:val="20"/>
                <w:szCs w:val="20"/>
              </w:rPr>
              <w:t>Дългосрочни задължения по лизинг</w:t>
            </w:r>
          </w:p>
        </w:tc>
        <w:tc>
          <w:tcPr>
            <w:tcW w:w="1721" w:type="dxa"/>
            <w:tcBorders>
              <w:top w:val="nil"/>
              <w:left w:val="nil"/>
              <w:bottom w:val="nil"/>
              <w:right w:val="nil"/>
            </w:tcBorders>
            <w:shd w:val="clear" w:color="auto" w:fill="auto"/>
            <w:noWrap/>
            <w:hideMark/>
          </w:tcPr>
          <w:p w:rsidR="00593EB3" w:rsidRPr="00662D45" w:rsidRDefault="00593EB3" w:rsidP="00C13EB0">
            <w:pPr>
              <w:widowControl/>
              <w:jc w:val="right"/>
              <w:rPr>
                <w:sz w:val="20"/>
                <w:szCs w:val="20"/>
              </w:rPr>
            </w:pPr>
            <w:r w:rsidRPr="00662D45">
              <w:rPr>
                <w:sz w:val="20"/>
                <w:szCs w:val="20"/>
              </w:rPr>
              <w:t>179</w:t>
            </w:r>
          </w:p>
        </w:tc>
        <w:tc>
          <w:tcPr>
            <w:tcW w:w="1960" w:type="dxa"/>
            <w:tcBorders>
              <w:top w:val="nil"/>
              <w:left w:val="nil"/>
              <w:bottom w:val="nil"/>
              <w:right w:val="nil"/>
            </w:tcBorders>
            <w:shd w:val="clear" w:color="auto" w:fill="auto"/>
            <w:noWrap/>
            <w:hideMark/>
          </w:tcPr>
          <w:p w:rsidR="00593EB3" w:rsidRPr="00662D45" w:rsidRDefault="00593EB3" w:rsidP="00C13EB0">
            <w:pPr>
              <w:widowControl/>
              <w:jc w:val="right"/>
              <w:rPr>
                <w:sz w:val="20"/>
                <w:szCs w:val="20"/>
              </w:rPr>
            </w:pPr>
            <w:r w:rsidRPr="00662D45">
              <w:rPr>
                <w:sz w:val="20"/>
                <w:szCs w:val="20"/>
              </w:rPr>
              <w:t>11</w:t>
            </w:r>
          </w:p>
        </w:tc>
      </w:tr>
      <w:tr w:rsidR="00593EB3"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593EB3" w:rsidRPr="00662D45" w:rsidRDefault="00593EB3" w:rsidP="00C13EB0">
            <w:pPr>
              <w:widowControl/>
              <w:jc w:val="left"/>
              <w:rPr>
                <w:sz w:val="20"/>
                <w:szCs w:val="20"/>
              </w:rPr>
            </w:pPr>
            <w:r w:rsidRPr="00662D45">
              <w:rPr>
                <w:sz w:val="20"/>
                <w:szCs w:val="20"/>
              </w:rPr>
              <w:t>Правителствени финансирания</w:t>
            </w:r>
          </w:p>
        </w:tc>
        <w:tc>
          <w:tcPr>
            <w:tcW w:w="1721" w:type="dxa"/>
            <w:tcBorders>
              <w:top w:val="nil"/>
              <w:left w:val="nil"/>
              <w:bottom w:val="nil"/>
              <w:right w:val="nil"/>
            </w:tcBorders>
            <w:shd w:val="clear" w:color="auto" w:fill="auto"/>
            <w:noWrap/>
            <w:hideMark/>
          </w:tcPr>
          <w:p w:rsidR="00593EB3" w:rsidRPr="00662D45" w:rsidRDefault="00593EB3" w:rsidP="00C13EB0">
            <w:pPr>
              <w:widowControl/>
              <w:jc w:val="right"/>
              <w:rPr>
                <w:sz w:val="20"/>
                <w:szCs w:val="20"/>
              </w:rPr>
            </w:pPr>
            <w:r w:rsidRPr="00662D45">
              <w:rPr>
                <w:sz w:val="20"/>
                <w:szCs w:val="20"/>
              </w:rPr>
              <w:t>217</w:t>
            </w:r>
          </w:p>
        </w:tc>
        <w:tc>
          <w:tcPr>
            <w:tcW w:w="1960" w:type="dxa"/>
            <w:tcBorders>
              <w:top w:val="nil"/>
              <w:left w:val="nil"/>
              <w:bottom w:val="nil"/>
              <w:right w:val="nil"/>
            </w:tcBorders>
            <w:shd w:val="clear" w:color="auto" w:fill="auto"/>
            <w:noWrap/>
            <w:hideMark/>
          </w:tcPr>
          <w:p w:rsidR="00593EB3" w:rsidRPr="00662D45" w:rsidRDefault="00593EB3" w:rsidP="00C13EB0">
            <w:pPr>
              <w:widowControl/>
              <w:jc w:val="right"/>
              <w:rPr>
                <w:sz w:val="20"/>
                <w:szCs w:val="20"/>
              </w:rPr>
            </w:pPr>
            <w:r w:rsidRPr="00662D45">
              <w:rPr>
                <w:sz w:val="20"/>
                <w:szCs w:val="20"/>
              </w:rPr>
              <w:t>242</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sz w:val="20"/>
                <w:szCs w:val="20"/>
              </w:rPr>
            </w:pPr>
          </w:p>
        </w:tc>
        <w:tc>
          <w:tcPr>
            <w:tcW w:w="1721" w:type="dxa"/>
            <w:tcBorders>
              <w:top w:val="single" w:sz="4" w:space="0" w:color="auto"/>
              <w:left w:val="nil"/>
              <w:bottom w:val="single" w:sz="4" w:space="0" w:color="auto"/>
              <w:right w:val="nil"/>
            </w:tcBorders>
            <w:shd w:val="clear" w:color="auto" w:fill="auto"/>
            <w:noWrap/>
            <w:vAlign w:val="center"/>
            <w:hideMark/>
          </w:tcPr>
          <w:p w:rsidR="00C13EB0" w:rsidRPr="00662D45" w:rsidRDefault="00C13EB0" w:rsidP="00593EB3">
            <w:pPr>
              <w:widowControl/>
              <w:jc w:val="right"/>
              <w:rPr>
                <w:b/>
                <w:bCs/>
                <w:sz w:val="20"/>
                <w:szCs w:val="20"/>
              </w:rPr>
            </w:pPr>
            <w:r w:rsidRPr="00662D45">
              <w:rPr>
                <w:b/>
                <w:bCs/>
                <w:sz w:val="20"/>
                <w:szCs w:val="20"/>
              </w:rPr>
              <w:t xml:space="preserve"> </w:t>
            </w:r>
            <w:r w:rsidR="00593EB3" w:rsidRPr="00662D45">
              <w:rPr>
                <w:b/>
                <w:bCs/>
                <w:sz w:val="20"/>
                <w:szCs w:val="20"/>
              </w:rPr>
              <w:t>990</w:t>
            </w:r>
            <w:r w:rsidRPr="00662D45">
              <w:rPr>
                <w:b/>
                <w:bCs/>
                <w:sz w:val="20"/>
                <w:szCs w:val="20"/>
              </w:rPr>
              <w:t xml:space="preserve"> </w:t>
            </w:r>
          </w:p>
        </w:tc>
        <w:tc>
          <w:tcPr>
            <w:tcW w:w="1960" w:type="dxa"/>
            <w:tcBorders>
              <w:top w:val="single" w:sz="4" w:space="0" w:color="auto"/>
              <w:left w:val="nil"/>
              <w:bottom w:val="single" w:sz="4" w:space="0" w:color="auto"/>
              <w:right w:val="nil"/>
            </w:tcBorders>
            <w:shd w:val="clear" w:color="auto" w:fill="auto"/>
            <w:noWrap/>
            <w:vAlign w:val="center"/>
            <w:hideMark/>
          </w:tcPr>
          <w:p w:rsidR="00C13EB0" w:rsidRPr="00662D45" w:rsidRDefault="00C13EB0" w:rsidP="00593EB3">
            <w:pPr>
              <w:widowControl/>
              <w:jc w:val="right"/>
              <w:rPr>
                <w:b/>
                <w:bCs/>
                <w:sz w:val="20"/>
                <w:szCs w:val="20"/>
              </w:rPr>
            </w:pPr>
            <w:r w:rsidRPr="00662D45">
              <w:rPr>
                <w:b/>
                <w:bCs/>
                <w:sz w:val="20"/>
                <w:szCs w:val="20"/>
              </w:rPr>
              <w:t xml:space="preserve"> </w:t>
            </w:r>
            <w:r w:rsidR="00593EB3" w:rsidRPr="00662D45">
              <w:rPr>
                <w:b/>
                <w:bCs/>
                <w:sz w:val="20"/>
                <w:szCs w:val="20"/>
              </w:rPr>
              <w:t>854</w:t>
            </w:r>
            <w:r w:rsidRPr="00662D45">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Текущи задължения</w:t>
            </w:r>
          </w:p>
        </w:tc>
        <w:tc>
          <w:tcPr>
            <w:tcW w:w="1721"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c>
          <w:tcPr>
            <w:tcW w:w="196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rFonts w:ascii="Times New Roman" w:hAnsi="Times New Roman"/>
                <w:sz w:val="20"/>
                <w:szCs w:val="20"/>
                <w:highlight w:val="yellow"/>
              </w:rPr>
            </w:pPr>
          </w:p>
        </w:tc>
      </w:tr>
      <w:tr w:rsidR="00E11A2C"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E11A2C" w:rsidRPr="00662D45" w:rsidRDefault="00E11A2C" w:rsidP="00C13EB0">
            <w:pPr>
              <w:widowControl/>
              <w:jc w:val="left"/>
              <w:rPr>
                <w:sz w:val="20"/>
                <w:szCs w:val="20"/>
              </w:rPr>
            </w:pPr>
            <w:r w:rsidRPr="00662D45">
              <w:rPr>
                <w:sz w:val="20"/>
                <w:szCs w:val="20"/>
              </w:rPr>
              <w:t>Получени гаранционни депозити от контрагенти за електрическа енергия</w:t>
            </w:r>
          </w:p>
        </w:tc>
        <w:tc>
          <w:tcPr>
            <w:tcW w:w="1721" w:type="dxa"/>
            <w:tcBorders>
              <w:top w:val="nil"/>
              <w:left w:val="nil"/>
              <w:bottom w:val="nil"/>
              <w:right w:val="nil"/>
            </w:tcBorders>
            <w:shd w:val="clear" w:color="auto" w:fill="auto"/>
            <w:noWrap/>
            <w:vAlign w:val="center"/>
            <w:hideMark/>
          </w:tcPr>
          <w:p w:rsidR="00E11A2C" w:rsidRPr="00662D45" w:rsidRDefault="00E11A2C" w:rsidP="00C13EB0">
            <w:pPr>
              <w:widowControl/>
              <w:jc w:val="right"/>
              <w:rPr>
                <w:sz w:val="20"/>
                <w:szCs w:val="20"/>
              </w:rPr>
            </w:pPr>
            <w:r w:rsidRPr="00662D45">
              <w:rPr>
                <w:sz w:val="20"/>
                <w:szCs w:val="20"/>
              </w:rPr>
              <w:t>49 924</w:t>
            </w:r>
          </w:p>
        </w:tc>
        <w:tc>
          <w:tcPr>
            <w:tcW w:w="1960" w:type="dxa"/>
            <w:tcBorders>
              <w:top w:val="nil"/>
              <w:left w:val="nil"/>
              <w:bottom w:val="nil"/>
              <w:right w:val="nil"/>
            </w:tcBorders>
            <w:shd w:val="clear" w:color="auto" w:fill="auto"/>
            <w:noWrap/>
            <w:vAlign w:val="center"/>
            <w:hideMark/>
          </w:tcPr>
          <w:p w:rsidR="00E11A2C" w:rsidRPr="00662D45" w:rsidRDefault="00E11A2C" w:rsidP="00C13EB0">
            <w:pPr>
              <w:widowControl/>
              <w:jc w:val="right"/>
              <w:rPr>
                <w:sz w:val="20"/>
                <w:szCs w:val="20"/>
              </w:rPr>
            </w:pPr>
            <w:r w:rsidRPr="00662D45">
              <w:rPr>
                <w:sz w:val="20"/>
                <w:szCs w:val="20"/>
              </w:rPr>
              <w:t>52 163</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E11A2C">
            <w:pPr>
              <w:widowControl/>
              <w:jc w:val="left"/>
              <w:rPr>
                <w:sz w:val="20"/>
                <w:szCs w:val="20"/>
              </w:rPr>
            </w:pPr>
            <w:r w:rsidRPr="00662D45">
              <w:rPr>
                <w:sz w:val="20"/>
                <w:szCs w:val="20"/>
              </w:rPr>
              <w:t xml:space="preserve">Задължения към доставчици </w:t>
            </w:r>
          </w:p>
        </w:tc>
        <w:tc>
          <w:tcPr>
            <w:tcW w:w="1721" w:type="dxa"/>
            <w:tcBorders>
              <w:top w:val="nil"/>
              <w:left w:val="nil"/>
              <w:bottom w:val="nil"/>
              <w:right w:val="nil"/>
            </w:tcBorders>
            <w:shd w:val="clear" w:color="auto" w:fill="auto"/>
            <w:noWrap/>
            <w:vAlign w:val="center"/>
            <w:hideMark/>
          </w:tcPr>
          <w:p w:rsidR="00C13EB0" w:rsidRPr="00662D45" w:rsidRDefault="00C13EB0" w:rsidP="00E11A2C">
            <w:pPr>
              <w:widowControl/>
              <w:jc w:val="right"/>
              <w:rPr>
                <w:sz w:val="20"/>
                <w:szCs w:val="20"/>
              </w:rPr>
            </w:pPr>
            <w:r w:rsidRPr="00662D45">
              <w:rPr>
                <w:sz w:val="20"/>
                <w:szCs w:val="20"/>
              </w:rPr>
              <w:t xml:space="preserve"> </w:t>
            </w:r>
            <w:r w:rsidR="00E11A2C" w:rsidRPr="00662D45">
              <w:rPr>
                <w:sz w:val="20"/>
                <w:szCs w:val="20"/>
              </w:rPr>
              <w:t>736</w:t>
            </w:r>
            <w:r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E11A2C" w:rsidP="00C13EB0">
            <w:pPr>
              <w:widowControl/>
              <w:jc w:val="right"/>
              <w:rPr>
                <w:sz w:val="20"/>
                <w:szCs w:val="20"/>
              </w:rPr>
            </w:pPr>
            <w:r w:rsidRPr="00662D45">
              <w:rPr>
                <w:sz w:val="20"/>
                <w:szCs w:val="20"/>
              </w:rPr>
              <w:t>1 235</w:t>
            </w:r>
            <w:r w:rsidR="00C13EB0"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E11A2C">
            <w:pPr>
              <w:widowControl/>
              <w:jc w:val="left"/>
              <w:rPr>
                <w:sz w:val="20"/>
                <w:szCs w:val="20"/>
              </w:rPr>
            </w:pPr>
            <w:r w:rsidRPr="00662D45">
              <w:rPr>
                <w:sz w:val="20"/>
                <w:szCs w:val="20"/>
              </w:rPr>
              <w:t xml:space="preserve">Задължения </w:t>
            </w:r>
            <w:r w:rsidR="00E11A2C" w:rsidRPr="00662D45">
              <w:rPr>
                <w:sz w:val="20"/>
                <w:szCs w:val="20"/>
              </w:rPr>
              <w:t>към контрагенти за електрическа енергия</w:t>
            </w:r>
          </w:p>
        </w:tc>
        <w:tc>
          <w:tcPr>
            <w:tcW w:w="1721" w:type="dxa"/>
            <w:tcBorders>
              <w:top w:val="nil"/>
              <w:left w:val="nil"/>
              <w:bottom w:val="nil"/>
              <w:right w:val="nil"/>
            </w:tcBorders>
            <w:shd w:val="clear" w:color="auto" w:fill="auto"/>
            <w:noWrap/>
            <w:vAlign w:val="center"/>
            <w:hideMark/>
          </w:tcPr>
          <w:p w:rsidR="00C13EB0" w:rsidRPr="00662D45" w:rsidRDefault="00E11A2C" w:rsidP="00C13EB0">
            <w:pPr>
              <w:widowControl/>
              <w:jc w:val="right"/>
              <w:rPr>
                <w:sz w:val="20"/>
                <w:szCs w:val="20"/>
              </w:rPr>
            </w:pPr>
            <w:r w:rsidRPr="00662D45">
              <w:rPr>
                <w:sz w:val="20"/>
                <w:szCs w:val="20"/>
              </w:rPr>
              <w:t>34 954</w:t>
            </w:r>
            <w:r w:rsidR="00C13EB0"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E11A2C" w:rsidP="00C13EB0">
            <w:pPr>
              <w:widowControl/>
              <w:jc w:val="right"/>
              <w:rPr>
                <w:sz w:val="20"/>
                <w:szCs w:val="20"/>
              </w:rPr>
            </w:pPr>
            <w:r w:rsidRPr="00662D45">
              <w:rPr>
                <w:sz w:val="20"/>
                <w:szCs w:val="20"/>
              </w:rPr>
              <w:t>56 544</w:t>
            </w:r>
            <w:r w:rsidR="00C13EB0" w:rsidRPr="00662D45">
              <w:rPr>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sz w:val="20"/>
                <w:szCs w:val="20"/>
              </w:rPr>
            </w:pPr>
            <w:r w:rsidRPr="00662D45">
              <w:rPr>
                <w:sz w:val="20"/>
                <w:szCs w:val="20"/>
              </w:rPr>
              <w:t>Задължения към персонала и социалното осигуряване</w:t>
            </w:r>
          </w:p>
        </w:tc>
        <w:tc>
          <w:tcPr>
            <w:tcW w:w="1721" w:type="dxa"/>
            <w:tcBorders>
              <w:top w:val="nil"/>
              <w:left w:val="nil"/>
              <w:bottom w:val="nil"/>
              <w:right w:val="nil"/>
            </w:tcBorders>
            <w:shd w:val="clear" w:color="auto" w:fill="auto"/>
            <w:noWrap/>
            <w:vAlign w:val="center"/>
            <w:hideMark/>
          </w:tcPr>
          <w:p w:rsidR="00C13EB0" w:rsidRPr="00662D45" w:rsidRDefault="00E11A2C" w:rsidP="00C13EB0">
            <w:pPr>
              <w:widowControl/>
              <w:jc w:val="right"/>
              <w:rPr>
                <w:sz w:val="20"/>
                <w:szCs w:val="20"/>
              </w:rPr>
            </w:pPr>
            <w:r w:rsidRPr="00662D45">
              <w:rPr>
                <w:sz w:val="20"/>
                <w:szCs w:val="20"/>
              </w:rPr>
              <w:t>307</w:t>
            </w:r>
            <w:r w:rsidR="00C13EB0" w:rsidRPr="00662D45">
              <w:rPr>
                <w:sz w:val="20"/>
                <w:szCs w:val="20"/>
              </w:rPr>
              <w:t xml:space="preserve"> </w:t>
            </w:r>
          </w:p>
        </w:tc>
        <w:tc>
          <w:tcPr>
            <w:tcW w:w="1960" w:type="dxa"/>
            <w:tcBorders>
              <w:top w:val="nil"/>
              <w:left w:val="nil"/>
              <w:bottom w:val="nil"/>
              <w:right w:val="nil"/>
            </w:tcBorders>
            <w:shd w:val="clear" w:color="auto" w:fill="auto"/>
            <w:noWrap/>
            <w:vAlign w:val="center"/>
            <w:hideMark/>
          </w:tcPr>
          <w:p w:rsidR="00C13EB0" w:rsidRPr="00662D45" w:rsidRDefault="00C13EB0" w:rsidP="00E11A2C">
            <w:pPr>
              <w:widowControl/>
              <w:jc w:val="right"/>
              <w:rPr>
                <w:sz w:val="20"/>
                <w:szCs w:val="20"/>
              </w:rPr>
            </w:pPr>
            <w:r w:rsidRPr="00662D45">
              <w:rPr>
                <w:sz w:val="20"/>
                <w:szCs w:val="20"/>
              </w:rPr>
              <w:t xml:space="preserve"> 2</w:t>
            </w:r>
            <w:r w:rsidR="00E11A2C" w:rsidRPr="00662D45">
              <w:rPr>
                <w:sz w:val="20"/>
                <w:szCs w:val="20"/>
              </w:rPr>
              <w:t>6</w:t>
            </w:r>
            <w:r w:rsidRPr="00662D45">
              <w:rPr>
                <w:sz w:val="20"/>
                <w:szCs w:val="20"/>
              </w:rPr>
              <w:t xml:space="preserve">4 </w:t>
            </w:r>
          </w:p>
        </w:tc>
      </w:tr>
      <w:tr w:rsidR="00E11A2C"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E11A2C" w:rsidRPr="00662D45" w:rsidRDefault="00E11A2C" w:rsidP="00C13EB0">
            <w:pPr>
              <w:widowControl/>
              <w:jc w:val="left"/>
              <w:rPr>
                <w:sz w:val="20"/>
                <w:szCs w:val="20"/>
              </w:rPr>
            </w:pPr>
            <w:r w:rsidRPr="00662D45">
              <w:rPr>
                <w:sz w:val="20"/>
                <w:szCs w:val="20"/>
              </w:rPr>
              <w:t>Задължения за данъци</w:t>
            </w:r>
          </w:p>
        </w:tc>
        <w:tc>
          <w:tcPr>
            <w:tcW w:w="1721" w:type="dxa"/>
            <w:tcBorders>
              <w:top w:val="nil"/>
              <w:left w:val="nil"/>
              <w:bottom w:val="nil"/>
              <w:right w:val="nil"/>
            </w:tcBorders>
            <w:shd w:val="clear" w:color="auto" w:fill="auto"/>
            <w:noWrap/>
            <w:vAlign w:val="center"/>
            <w:hideMark/>
          </w:tcPr>
          <w:p w:rsidR="00E11A2C" w:rsidRPr="00662D45" w:rsidRDefault="00E11A2C" w:rsidP="00C13EB0">
            <w:pPr>
              <w:widowControl/>
              <w:jc w:val="right"/>
              <w:rPr>
                <w:sz w:val="20"/>
                <w:szCs w:val="20"/>
              </w:rPr>
            </w:pPr>
            <w:r w:rsidRPr="00662D45">
              <w:rPr>
                <w:sz w:val="20"/>
                <w:szCs w:val="20"/>
              </w:rPr>
              <w:t>515</w:t>
            </w:r>
          </w:p>
        </w:tc>
        <w:tc>
          <w:tcPr>
            <w:tcW w:w="1960" w:type="dxa"/>
            <w:tcBorders>
              <w:top w:val="nil"/>
              <w:left w:val="nil"/>
              <w:bottom w:val="nil"/>
              <w:right w:val="nil"/>
            </w:tcBorders>
            <w:shd w:val="clear" w:color="auto" w:fill="auto"/>
            <w:noWrap/>
            <w:vAlign w:val="center"/>
            <w:hideMark/>
          </w:tcPr>
          <w:p w:rsidR="00E11A2C" w:rsidRPr="00662D45" w:rsidRDefault="00E11A2C" w:rsidP="00E11A2C">
            <w:pPr>
              <w:widowControl/>
              <w:jc w:val="right"/>
              <w:rPr>
                <w:sz w:val="20"/>
                <w:szCs w:val="20"/>
              </w:rPr>
            </w:pPr>
            <w:r w:rsidRPr="00662D45">
              <w:rPr>
                <w:sz w:val="20"/>
                <w:szCs w:val="20"/>
              </w:rPr>
              <w:t>186</w:t>
            </w:r>
          </w:p>
        </w:tc>
      </w:tr>
      <w:tr w:rsidR="00E11A2C"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E11A2C" w:rsidRPr="00662D45" w:rsidRDefault="00E11A2C" w:rsidP="00C13EB0">
            <w:pPr>
              <w:widowControl/>
              <w:jc w:val="left"/>
              <w:rPr>
                <w:sz w:val="20"/>
                <w:szCs w:val="20"/>
              </w:rPr>
            </w:pPr>
            <w:r w:rsidRPr="00662D45">
              <w:rPr>
                <w:sz w:val="20"/>
                <w:szCs w:val="20"/>
              </w:rPr>
              <w:t>Правителствени финансирания</w:t>
            </w:r>
          </w:p>
        </w:tc>
        <w:tc>
          <w:tcPr>
            <w:tcW w:w="1721" w:type="dxa"/>
            <w:tcBorders>
              <w:top w:val="nil"/>
              <w:left w:val="nil"/>
              <w:bottom w:val="nil"/>
              <w:right w:val="nil"/>
            </w:tcBorders>
            <w:shd w:val="clear" w:color="auto" w:fill="auto"/>
            <w:noWrap/>
            <w:vAlign w:val="center"/>
            <w:hideMark/>
          </w:tcPr>
          <w:p w:rsidR="00E11A2C" w:rsidRPr="00662D45" w:rsidRDefault="00E11A2C" w:rsidP="00C13EB0">
            <w:pPr>
              <w:widowControl/>
              <w:jc w:val="right"/>
              <w:rPr>
                <w:sz w:val="20"/>
                <w:szCs w:val="20"/>
              </w:rPr>
            </w:pPr>
            <w:r w:rsidRPr="00662D45">
              <w:rPr>
                <w:sz w:val="20"/>
                <w:szCs w:val="20"/>
              </w:rPr>
              <w:t>151</w:t>
            </w:r>
          </w:p>
        </w:tc>
        <w:tc>
          <w:tcPr>
            <w:tcW w:w="1960" w:type="dxa"/>
            <w:tcBorders>
              <w:top w:val="nil"/>
              <w:left w:val="nil"/>
              <w:bottom w:val="nil"/>
              <w:right w:val="nil"/>
            </w:tcBorders>
            <w:shd w:val="clear" w:color="auto" w:fill="auto"/>
            <w:noWrap/>
            <w:vAlign w:val="center"/>
            <w:hideMark/>
          </w:tcPr>
          <w:p w:rsidR="00E11A2C" w:rsidRPr="00662D45" w:rsidRDefault="00E11A2C" w:rsidP="00E11A2C">
            <w:pPr>
              <w:widowControl/>
              <w:jc w:val="right"/>
              <w:rPr>
                <w:sz w:val="20"/>
                <w:szCs w:val="20"/>
              </w:rPr>
            </w:pPr>
            <w:r w:rsidRPr="00662D45">
              <w:rPr>
                <w:sz w:val="20"/>
                <w:szCs w:val="20"/>
              </w:rPr>
              <w:t>151</w:t>
            </w:r>
          </w:p>
        </w:tc>
      </w:tr>
      <w:tr w:rsidR="00E11A2C"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E11A2C" w:rsidRPr="00662D45" w:rsidRDefault="00E11A2C" w:rsidP="00C13EB0">
            <w:pPr>
              <w:widowControl/>
              <w:jc w:val="left"/>
              <w:rPr>
                <w:sz w:val="20"/>
                <w:szCs w:val="20"/>
              </w:rPr>
            </w:pPr>
            <w:r w:rsidRPr="00662D45">
              <w:rPr>
                <w:sz w:val="20"/>
                <w:szCs w:val="20"/>
              </w:rPr>
              <w:t>Други задължения</w:t>
            </w:r>
          </w:p>
        </w:tc>
        <w:tc>
          <w:tcPr>
            <w:tcW w:w="1721" w:type="dxa"/>
            <w:tcBorders>
              <w:top w:val="nil"/>
              <w:left w:val="nil"/>
              <w:bottom w:val="nil"/>
              <w:right w:val="nil"/>
            </w:tcBorders>
            <w:shd w:val="clear" w:color="auto" w:fill="auto"/>
            <w:noWrap/>
            <w:vAlign w:val="center"/>
            <w:hideMark/>
          </w:tcPr>
          <w:p w:rsidR="00E11A2C" w:rsidRPr="00662D45" w:rsidRDefault="00E11A2C" w:rsidP="00C13EB0">
            <w:pPr>
              <w:widowControl/>
              <w:jc w:val="right"/>
              <w:rPr>
                <w:sz w:val="20"/>
                <w:szCs w:val="20"/>
              </w:rPr>
            </w:pPr>
            <w:r w:rsidRPr="00662D45">
              <w:rPr>
                <w:sz w:val="20"/>
                <w:szCs w:val="20"/>
              </w:rPr>
              <w:t>148</w:t>
            </w:r>
          </w:p>
        </w:tc>
        <w:tc>
          <w:tcPr>
            <w:tcW w:w="1960" w:type="dxa"/>
            <w:tcBorders>
              <w:top w:val="nil"/>
              <w:left w:val="nil"/>
              <w:bottom w:val="nil"/>
              <w:right w:val="nil"/>
            </w:tcBorders>
            <w:shd w:val="clear" w:color="auto" w:fill="auto"/>
            <w:noWrap/>
            <w:vAlign w:val="center"/>
            <w:hideMark/>
          </w:tcPr>
          <w:p w:rsidR="00E11A2C" w:rsidRPr="00662D45" w:rsidRDefault="00E11A2C" w:rsidP="00E11A2C">
            <w:pPr>
              <w:widowControl/>
              <w:jc w:val="right"/>
              <w:rPr>
                <w:sz w:val="20"/>
                <w:szCs w:val="20"/>
              </w:rPr>
            </w:pPr>
            <w:r w:rsidRPr="00662D45">
              <w:rPr>
                <w:sz w:val="20"/>
                <w:szCs w:val="20"/>
              </w:rPr>
              <w:t>43</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right"/>
              <w:rPr>
                <w:sz w:val="20"/>
                <w:szCs w:val="20"/>
              </w:rPr>
            </w:pPr>
          </w:p>
        </w:tc>
        <w:tc>
          <w:tcPr>
            <w:tcW w:w="1721" w:type="dxa"/>
            <w:tcBorders>
              <w:top w:val="single" w:sz="4" w:space="0" w:color="auto"/>
              <w:left w:val="nil"/>
              <w:bottom w:val="single" w:sz="4" w:space="0" w:color="auto"/>
              <w:right w:val="nil"/>
            </w:tcBorders>
            <w:shd w:val="clear" w:color="auto" w:fill="auto"/>
            <w:noWrap/>
            <w:vAlign w:val="bottom"/>
            <w:hideMark/>
          </w:tcPr>
          <w:p w:rsidR="00C13EB0" w:rsidRPr="00662D45" w:rsidRDefault="00E11A2C" w:rsidP="00C13EB0">
            <w:pPr>
              <w:widowControl/>
              <w:jc w:val="right"/>
              <w:rPr>
                <w:b/>
                <w:bCs/>
                <w:sz w:val="20"/>
                <w:szCs w:val="20"/>
              </w:rPr>
            </w:pPr>
            <w:r w:rsidRPr="00662D45">
              <w:rPr>
                <w:b/>
                <w:bCs/>
                <w:sz w:val="20"/>
                <w:szCs w:val="20"/>
              </w:rPr>
              <w:t>86 735</w:t>
            </w:r>
            <w:r w:rsidR="00C13EB0" w:rsidRPr="00662D45">
              <w:rPr>
                <w:b/>
                <w:bCs/>
                <w:sz w:val="20"/>
                <w:szCs w:val="20"/>
              </w:rPr>
              <w:t xml:space="preserve"> </w:t>
            </w:r>
          </w:p>
        </w:tc>
        <w:tc>
          <w:tcPr>
            <w:tcW w:w="1960" w:type="dxa"/>
            <w:tcBorders>
              <w:top w:val="single" w:sz="4" w:space="0" w:color="auto"/>
              <w:left w:val="nil"/>
              <w:bottom w:val="single" w:sz="4" w:space="0" w:color="auto"/>
              <w:right w:val="nil"/>
            </w:tcBorders>
            <w:shd w:val="clear" w:color="auto" w:fill="auto"/>
            <w:noWrap/>
            <w:vAlign w:val="bottom"/>
            <w:hideMark/>
          </w:tcPr>
          <w:p w:rsidR="00C13EB0" w:rsidRPr="00662D45" w:rsidRDefault="00E11A2C" w:rsidP="00C13EB0">
            <w:pPr>
              <w:widowControl/>
              <w:jc w:val="right"/>
              <w:rPr>
                <w:b/>
                <w:bCs/>
                <w:sz w:val="20"/>
                <w:szCs w:val="20"/>
              </w:rPr>
            </w:pPr>
            <w:r w:rsidRPr="00662D45">
              <w:rPr>
                <w:b/>
                <w:bCs/>
                <w:sz w:val="20"/>
                <w:szCs w:val="20"/>
              </w:rPr>
              <w:t>110 586</w:t>
            </w:r>
            <w:r w:rsidR="00C13EB0" w:rsidRPr="00662D45">
              <w:rPr>
                <w:b/>
                <w:bCs/>
                <w:sz w:val="20"/>
                <w:szCs w:val="20"/>
              </w:rPr>
              <w:t xml:space="preserve"> </w:t>
            </w:r>
          </w:p>
        </w:tc>
      </w:tr>
      <w:tr w:rsidR="00C13EB0" w:rsidRPr="00662D45" w:rsidTr="00C13EB0">
        <w:trPr>
          <w:trHeight w:val="170"/>
          <w:jc w:val="center"/>
        </w:trPr>
        <w:tc>
          <w:tcPr>
            <w:tcW w:w="6050" w:type="dxa"/>
            <w:tcBorders>
              <w:top w:val="nil"/>
              <w:left w:val="nil"/>
              <w:bottom w:val="nil"/>
              <w:right w:val="nil"/>
            </w:tcBorders>
            <w:shd w:val="clear" w:color="auto" w:fill="auto"/>
            <w:noWrap/>
            <w:vAlign w:val="center"/>
            <w:hideMark/>
          </w:tcPr>
          <w:p w:rsidR="00C13EB0" w:rsidRPr="00662D45" w:rsidRDefault="00C13EB0" w:rsidP="00C13EB0">
            <w:pPr>
              <w:widowControl/>
              <w:jc w:val="left"/>
              <w:rPr>
                <w:b/>
                <w:bCs/>
                <w:sz w:val="20"/>
                <w:szCs w:val="20"/>
              </w:rPr>
            </w:pPr>
            <w:r w:rsidRPr="00662D45">
              <w:rPr>
                <w:b/>
                <w:bCs/>
                <w:sz w:val="20"/>
                <w:szCs w:val="20"/>
              </w:rPr>
              <w:t xml:space="preserve">ОБЩО СОБСТВЕН КАПИТАЛ И ПАСИВИ </w:t>
            </w:r>
          </w:p>
        </w:tc>
        <w:tc>
          <w:tcPr>
            <w:tcW w:w="1721" w:type="dxa"/>
            <w:tcBorders>
              <w:top w:val="single" w:sz="4" w:space="0" w:color="auto"/>
              <w:left w:val="nil"/>
              <w:bottom w:val="double" w:sz="6" w:space="0" w:color="auto"/>
              <w:right w:val="nil"/>
            </w:tcBorders>
            <w:shd w:val="clear" w:color="auto" w:fill="auto"/>
            <w:noWrap/>
            <w:vAlign w:val="center"/>
            <w:hideMark/>
          </w:tcPr>
          <w:p w:rsidR="00C13EB0" w:rsidRPr="00662D45" w:rsidRDefault="00C13EB0" w:rsidP="00E11A2C">
            <w:pPr>
              <w:widowControl/>
              <w:jc w:val="right"/>
              <w:rPr>
                <w:b/>
                <w:bCs/>
                <w:sz w:val="20"/>
                <w:szCs w:val="20"/>
              </w:rPr>
            </w:pPr>
            <w:r w:rsidRPr="00662D45">
              <w:rPr>
                <w:b/>
                <w:bCs/>
                <w:sz w:val="20"/>
                <w:szCs w:val="20"/>
              </w:rPr>
              <w:t xml:space="preserve"> </w:t>
            </w:r>
            <w:r w:rsidR="00E11A2C" w:rsidRPr="00662D45">
              <w:rPr>
                <w:b/>
                <w:bCs/>
                <w:sz w:val="20"/>
                <w:szCs w:val="20"/>
              </w:rPr>
              <w:t>108 151</w:t>
            </w:r>
            <w:r w:rsidRPr="00662D45">
              <w:rPr>
                <w:b/>
                <w:bCs/>
                <w:sz w:val="20"/>
                <w:szCs w:val="20"/>
              </w:rPr>
              <w:t xml:space="preserve"> </w:t>
            </w:r>
          </w:p>
        </w:tc>
        <w:tc>
          <w:tcPr>
            <w:tcW w:w="1960" w:type="dxa"/>
            <w:tcBorders>
              <w:top w:val="single" w:sz="4" w:space="0" w:color="auto"/>
              <w:left w:val="nil"/>
              <w:bottom w:val="double" w:sz="6" w:space="0" w:color="auto"/>
              <w:right w:val="nil"/>
            </w:tcBorders>
            <w:shd w:val="clear" w:color="auto" w:fill="auto"/>
            <w:noWrap/>
            <w:vAlign w:val="center"/>
            <w:hideMark/>
          </w:tcPr>
          <w:p w:rsidR="00C13EB0" w:rsidRPr="00662D45" w:rsidRDefault="00C13EB0" w:rsidP="00E11A2C">
            <w:pPr>
              <w:widowControl/>
              <w:jc w:val="right"/>
              <w:rPr>
                <w:b/>
                <w:bCs/>
                <w:sz w:val="20"/>
                <w:szCs w:val="20"/>
              </w:rPr>
            </w:pPr>
            <w:r w:rsidRPr="00662D45">
              <w:rPr>
                <w:b/>
                <w:bCs/>
                <w:sz w:val="20"/>
                <w:szCs w:val="20"/>
              </w:rPr>
              <w:t xml:space="preserve"> 1</w:t>
            </w:r>
            <w:r w:rsidR="00E11A2C" w:rsidRPr="00662D45">
              <w:rPr>
                <w:b/>
                <w:bCs/>
                <w:sz w:val="20"/>
                <w:szCs w:val="20"/>
              </w:rPr>
              <w:t>30</w:t>
            </w:r>
            <w:r w:rsidRPr="00662D45">
              <w:rPr>
                <w:b/>
                <w:bCs/>
                <w:sz w:val="20"/>
                <w:szCs w:val="20"/>
              </w:rPr>
              <w:t xml:space="preserve"> </w:t>
            </w:r>
            <w:r w:rsidR="00E11A2C" w:rsidRPr="00662D45">
              <w:rPr>
                <w:b/>
                <w:bCs/>
                <w:sz w:val="20"/>
                <w:szCs w:val="20"/>
              </w:rPr>
              <w:t>624</w:t>
            </w:r>
            <w:r w:rsidRPr="00662D45">
              <w:rPr>
                <w:b/>
                <w:bCs/>
                <w:sz w:val="20"/>
                <w:szCs w:val="20"/>
              </w:rPr>
              <w:t xml:space="preserve"> </w:t>
            </w:r>
          </w:p>
        </w:tc>
      </w:tr>
    </w:tbl>
    <w:p w:rsidR="00945333" w:rsidRPr="00662D45" w:rsidRDefault="00945333">
      <w:pPr>
        <w:rPr>
          <w:rFonts w:cs="Calibri"/>
          <w:highlight w:val="yellow"/>
        </w:rPr>
      </w:pPr>
    </w:p>
    <w:p w:rsidR="00493BBB" w:rsidRPr="00E70C11" w:rsidRDefault="00493BBB">
      <w:pPr>
        <w:rPr>
          <w:rFonts w:cs="Calibri"/>
          <w:sz w:val="20"/>
          <w:szCs w:val="20"/>
        </w:rPr>
      </w:pPr>
      <w:r w:rsidRPr="00E70C11">
        <w:rPr>
          <w:rFonts w:cs="Calibri"/>
          <w:sz w:val="20"/>
          <w:szCs w:val="20"/>
          <w:lang w:val="en-US"/>
        </w:rPr>
        <w:t xml:space="preserve">*   </w:t>
      </w:r>
      <w:r w:rsidRPr="00E70C11">
        <w:rPr>
          <w:rFonts w:cs="Calibri"/>
          <w:sz w:val="20"/>
          <w:szCs w:val="20"/>
        </w:rPr>
        <w:t>Преизчислен</w:t>
      </w:r>
      <w:r w:rsidRPr="00E70C11">
        <w:rPr>
          <w:rFonts w:cs="Calibri"/>
          <w:sz w:val="20"/>
          <w:szCs w:val="20"/>
          <w:lang w:val="en-US"/>
        </w:rPr>
        <w:t xml:space="preserve"> (</w:t>
      </w:r>
      <w:r w:rsidRPr="00E70C11">
        <w:rPr>
          <w:rFonts w:cs="Calibri"/>
          <w:sz w:val="20"/>
          <w:szCs w:val="20"/>
        </w:rPr>
        <w:t>Приложение №29</w:t>
      </w:r>
      <w:r w:rsidRPr="00E70C11">
        <w:rPr>
          <w:rFonts w:cs="Calibri"/>
          <w:sz w:val="20"/>
          <w:szCs w:val="20"/>
          <w:lang w:val="en-US"/>
        </w:rPr>
        <w:t>)</w:t>
      </w:r>
    </w:p>
    <w:p w:rsidR="005C7298" w:rsidRPr="00F55B63" w:rsidRDefault="00493BBB">
      <w:pPr>
        <w:rPr>
          <w:rFonts w:cs="Calibri"/>
          <w:highlight w:val="yellow"/>
        </w:rPr>
      </w:pPr>
      <w:r w:rsidRPr="00E70C11">
        <w:rPr>
          <w:rFonts w:cs="Calibri"/>
          <w:sz w:val="20"/>
          <w:szCs w:val="20"/>
          <w:lang w:val="en-US"/>
        </w:rPr>
        <w:t xml:space="preserve">** </w:t>
      </w:r>
      <w:r w:rsidRPr="00E70C11">
        <w:rPr>
          <w:rFonts w:cs="Calibri"/>
          <w:sz w:val="20"/>
          <w:szCs w:val="20"/>
        </w:rPr>
        <w:t xml:space="preserve">Модифицирано ретроспективно приложение на МСФО 16 </w:t>
      </w:r>
      <w:r w:rsidRPr="00E70C11">
        <w:rPr>
          <w:rFonts w:cs="Calibri"/>
          <w:sz w:val="20"/>
          <w:szCs w:val="20"/>
          <w:lang w:val="en-US"/>
        </w:rPr>
        <w:t>(</w:t>
      </w:r>
      <w:r w:rsidRPr="00E70C11">
        <w:rPr>
          <w:rFonts w:cs="Calibri"/>
          <w:sz w:val="20"/>
          <w:szCs w:val="20"/>
        </w:rPr>
        <w:t>Приложение №2.5</w:t>
      </w:r>
      <w:r w:rsidRPr="00E70C11">
        <w:rPr>
          <w:rFonts w:cs="Calibri"/>
          <w:sz w:val="20"/>
          <w:szCs w:val="20"/>
          <w:lang w:val="en-US"/>
        </w:rPr>
        <w:t>)</w:t>
      </w:r>
      <w:r w:rsidR="005C7298" w:rsidRPr="00F55B63">
        <w:rPr>
          <w:rFonts w:cs="Calibri"/>
          <w:highlight w:val="yellow"/>
        </w:rPr>
        <w:br w:type="page"/>
      </w:r>
    </w:p>
    <w:tbl>
      <w:tblPr>
        <w:tblW w:w="10566" w:type="dxa"/>
        <w:jc w:val="center"/>
        <w:tblCellMar>
          <w:left w:w="70" w:type="dxa"/>
          <w:right w:w="70" w:type="dxa"/>
        </w:tblCellMar>
        <w:tblLook w:val="04A0"/>
      </w:tblPr>
      <w:tblGrid>
        <w:gridCol w:w="7425"/>
        <w:gridCol w:w="1360"/>
        <w:gridCol w:w="1781"/>
      </w:tblGrid>
      <w:tr w:rsidR="00C13EB0" w:rsidRPr="00F55B63" w:rsidTr="00534A1D">
        <w:trPr>
          <w:trHeight w:val="170"/>
          <w:jc w:val="center"/>
        </w:trPr>
        <w:tc>
          <w:tcPr>
            <w:tcW w:w="7425" w:type="dxa"/>
            <w:tcBorders>
              <w:top w:val="nil"/>
              <w:left w:val="nil"/>
              <w:bottom w:val="single" w:sz="4" w:space="0" w:color="auto"/>
              <w:right w:val="nil"/>
            </w:tcBorders>
            <w:shd w:val="clear" w:color="auto" w:fill="auto"/>
            <w:noWrap/>
            <w:vAlign w:val="center"/>
            <w:hideMark/>
          </w:tcPr>
          <w:p w:rsidR="00C13EB0" w:rsidRPr="00E214F6" w:rsidRDefault="00C13EB0" w:rsidP="00B64374">
            <w:pPr>
              <w:widowControl/>
              <w:jc w:val="left"/>
              <w:rPr>
                <w:b/>
                <w:bCs/>
                <w:sz w:val="20"/>
                <w:szCs w:val="20"/>
              </w:rPr>
            </w:pPr>
            <w:r w:rsidRPr="00E214F6">
              <w:rPr>
                <w:b/>
                <w:bCs/>
                <w:sz w:val="20"/>
                <w:szCs w:val="20"/>
              </w:rPr>
              <w:lastRenderedPageBreak/>
              <w:t xml:space="preserve">ГРУПА БЪЛГАРСКА ФОНДОВА БОРСА </w:t>
            </w:r>
          </w:p>
        </w:tc>
        <w:tc>
          <w:tcPr>
            <w:tcW w:w="1360" w:type="dxa"/>
            <w:tcBorders>
              <w:top w:val="nil"/>
              <w:left w:val="nil"/>
              <w:bottom w:val="single" w:sz="4" w:space="0" w:color="auto"/>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781" w:type="dxa"/>
            <w:tcBorders>
              <w:top w:val="nil"/>
              <w:left w:val="nil"/>
              <w:bottom w:val="single" w:sz="4" w:space="0" w:color="auto"/>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C13EB0"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C13EB0" w:rsidRPr="00E214F6" w:rsidRDefault="00C13EB0" w:rsidP="00B64374">
            <w:pPr>
              <w:widowControl/>
              <w:jc w:val="left"/>
              <w:rPr>
                <w:b/>
                <w:bCs/>
                <w:sz w:val="20"/>
                <w:szCs w:val="20"/>
              </w:rPr>
            </w:pPr>
            <w:r w:rsidRPr="00E214F6">
              <w:rPr>
                <w:b/>
                <w:bCs/>
                <w:sz w:val="20"/>
                <w:szCs w:val="20"/>
              </w:rPr>
              <w:t xml:space="preserve">КОНСОЛИДИРАН ОТЧЕТ ЗА ВСЕОБХВАТНИЯ ДОХОД </w:t>
            </w:r>
          </w:p>
        </w:tc>
        <w:tc>
          <w:tcPr>
            <w:tcW w:w="1360"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781"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C13EB0"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C13EB0" w:rsidRPr="00E214F6" w:rsidRDefault="00C13EB0" w:rsidP="00E214F6">
            <w:pPr>
              <w:widowControl/>
              <w:jc w:val="left"/>
              <w:rPr>
                <w:b/>
                <w:bCs/>
                <w:color w:val="000000"/>
                <w:sz w:val="20"/>
                <w:szCs w:val="20"/>
              </w:rPr>
            </w:pPr>
            <w:r w:rsidRPr="00E214F6">
              <w:rPr>
                <w:b/>
                <w:bCs/>
                <w:color w:val="000000"/>
                <w:sz w:val="20"/>
                <w:szCs w:val="20"/>
              </w:rPr>
              <w:t>за годината, завършваща на 31 март 20</w:t>
            </w:r>
            <w:r w:rsidR="00E214F6" w:rsidRPr="00E214F6">
              <w:rPr>
                <w:b/>
                <w:bCs/>
                <w:color w:val="000000"/>
                <w:sz w:val="20"/>
                <w:szCs w:val="20"/>
                <w:lang w:val="en-US"/>
              </w:rPr>
              <w:t>20</w:t>
            </w:r>
            <w:r w:rsidRPr="00E214F6">
              <w:rPr>
                <w:b/>
                <w:bCs/>
                <w:color w:val="000000"/>
                <w:sz w:val="20"/>
                <w:szCs w:val="20"/>
              </w:rPr>
              <w:t xml:space="preserve"> година</w:t>
            </w:r>
          </w:p>
        </w:tc>
        <w:tc>
          <w:tcPr>
            <w:tcW w:w="1360"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781"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p>
        </w:tc>
        <w:tc>
          <w:tcPr>
            <w:tcW w:w="1360" w:type="dxa"/>
            <w:tcBorders>
              <w:top w:val="nil"/>
              <w:left w:val="nil"/>
              <w:bottom w:val="nil"/>
              <w:right w:val="nil"/>
            </w:tcBorders>
            <w:shd w:val="clear" w:color="auto" w:fill="auto"/>
            <w:noWrap/>
            <w:vAlign w:val="center"/>
            <w:hideMark/>
          </w:tcPr>
          <w:p w:rsidR="00E214F6" w:rsidRPr="00534A1D" w:rsidRDefault="00E214F6" w:rsidP="00E214F6">
            <w:pPr>
              <w:widowControl/>
              <w:jc w:val="right"/>
              <w:rPr>
                <w:b/>
                <w:bCs/>
                <w:sz w:val="20"/>
                <w:szCs w:val="20"/>
                <w:lang w:val="en-US"/>
              </w:rPr>
            </w:pPr>
            <w:r w:rsidRPr="00534A1D">
              <w:rPr>
                <w:b/>
                <w:bCs/>
                <w:sz w:val="20"/>
                <w:szCs w:val="20"/>
              </w:rPr>
              <w:t>31 март 20</w:t>
            </w:r>
            <w:r w:rsidRPr="00534A1D">
              <w:rPr>
                <w:b/>
                <w:bCs/>
                <w:sz w:val="20"/>
                <w:szCs w:val="20"/>
                <w:lang w:val="en-US"/>
              </w:rPr>
              <w:t>20</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b/>
                <w:bCs/>
                <w:sz w:val="20"/>
                <w:szCs w:val="20"/>
              </w:rPr>
            </w:pPr>
            <w:r w:rsidRPr="00534A1D">
              <w:rPr>
                <w:b/>
                <w:bCs/>
                <w:sz w:val="20"/>
                <w:szCs w:val="20"/>
              </w:rPr>
              <w:t>31 март 2019</w:t>
            </w:r>
            <w:r w:rsidR="00534A1D" w:rsidRPr="00534A1D">
              <w:rPr>
                <w:b/>
                <w:bCs/>
                <w:sz w:val="20"/>
                <w:szCs w:val="20"/>
              </w:rPr>
              <w:t xml:space="preserve"> </w:t>
            </w:r>
            <w:r w:rsidR="00534A1D" w:rsidRPr="00534A1D">
              <w:rPr>
                <w:b/>
                <w:bCs/>
                <w:sz w:val="20"/>
                <w:szCs w:val="20"/>
                <w:lang w:val="en-US"/>
              </w:rPr>
              <w:t>*</w:t>
            </w:r>
            <w:r w:rsidR="00534A1D" w:rsidRPr="00534A1D">
              <w:rPr>
                <w:b/>
                <w:bCs/>
                <w:sz w:val="20"/>
                <w:szCs w:val="20"/>
              </w:rPr>
              <w:t>,</w:t>
            </w:r>
            <w:r w:rsidR="00534A1D" w:rsidRPr="00534A1D">
              <w:rPr>
                <w:b/>
                <w:bCs/>
                <w:sz w:val="20"/>
                <w:szCs w:val="20"/>
                <w:lang w:val="en-US"/>
              </w:rPr>
              <w:t>**</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center"/>
              <w:rPr>
                <w:b/>
                <w:bCs/>
                <w:sz w:val="20"/>
                <w:szCs w:val="20"/>
              </w:rPr>
            </w:pPr>
          </w:p>
        </w:tc>
        <w:tc>
          <w:tcPr>
            <w:tcW w:w="1360" w:type="dxa"/>
            <w:tcBorders>
              <w:top w:val="nil"/>
              <w:left w:val="nil"/>
              <w:bottom w:val="nil"/>
              <w:right w:val="nil"/>
            </w:tcBorders>
            <w:shd w:val="clear" w:color="auto" w:fill="auto"/>
            <w:noWrap/>
            <w:vAlign w:val="center"/>
            <w:hideMark/>
          </w:tcPr>
          <w:p w:rsidR="00E214F6" w:rsidRPr="00534A1D" w:rsidRDefault="00E214F6" w:rsidP="00B64374">
            <w:pPr>
              <w:widowControl/>
              <w:jc w:val="right"/>
              <w:rPr>
                <w:b/>
                <w:bCs/>
                <w:sz w:val="20"/>
                <w:szCs w:val="20"/>
              </w:rPr>
            </w:pPr>
            <w:r w:rsidRPr="00534A1D">
              <w:rPr>
                <w:b/>
                <w:bCs/>
                <w:sz w:val="20"/>
                <w:szCs w:val="20"/>
              </w:rPr>
              <w:t xml:space="preserve"> BGN'000</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b/>
                <w:bCs/>
                <w:sz w:val="20"/>
                <w:szCs w:val="20"/>
              </w:rPr>
            </w:pPr>
            <w:r w:rsidRPr="00534A1D">
              <w:rPr>
                <w:b/>
                <w:bCs/>
                <w:sz w:val="20"/>
                <w:szCs w:val="20"/>
              </w:rPr>
              <w:t xml:space="preserve"> BGN'000</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right"/>
              <w:rPr>
                <w:b/>
                <w:bCs/>
                <w:color w:val="000000"/>
                <w:sz w:val="20"/>
                <w:szCs w:val="20"/>
              </w:rPr>
            </w:pPr>
          </w:p>
        </w:tc>
        <w:tc>
          <w:tcPr>
            <w:tcW w:w="1360" w:type="dxa"/>
            <w:tcBorders>
              <w:top w:val="nil"/>
              <w:left w:val="nil"/>
              <w:bottom w:val="nil"/>
              <w:right w:val="nil"/>
            </w:tcBorders>
            <w:shd w:val="clear" w:color="auto" w:fill="auto"/>
            <w:noWrap/>
            <w:vAlign w:val="center"/>
            <w:hideMark/>
          </w:tcPr>
          <w:p w:rsidR="00E214F6" w:rsidRPr="00534A1D"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Приходи от договори с клиенти</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2 </w:t>
            </w:r>
            <w:r w:rsidR="00534A1D" w:rsidRPr="00534A1D">
              <w:rPr>
                <w:sz w:val="20"/>
                <w:szCs w:val="20"/>
              </w:rPr>
              <w:t>925</w:t>
            </w:r>
            <w:r w:rsidRPr="00534A1D">
              <w:rPr>
                <w:sz w:val="20"/>
                <w:szCs w:val="20"/>
              </w:rPr>
              <w:t xml:space="preserve"> </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2 713 </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Други доходи от дейността</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w:t>
            </w:r>
            <w:r w:rsidR="00534A1D" w:rsidRPr="00534A1D">
              <w:rPr>
                <w:sz w:val="20"/>
                <w:szCs w:val="20"/>
              </w:rPr>
              <w:t>56</w:t>
            </w:r>
            <w:r w:rsidRPr="00534A1D">
              <w:rPr>
                <w:sz w:val="20"/>
                <w:szCs w:val="20"/>
              </w:rPr>
              <w:t xml:space="preserve"> </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43 </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Разходи за материали и консумативи</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(1</w:t>
            </w:r>
            <w:r w:rsidR="00534A1D" w:rsidRPr="00534A1D">
              <w:rPr>
                <w:sz w:val="20"/>
                <w:szCs w:val="20"/>
              </w:rPr>
              <w:t>6</w:t>
            </w:r>
            <w:r w:rsidRPr="00534A1D">
              <w:rPr>
                <w:sz w:val="20"/>
                <w:szCs w:val="20"/>
              </w:rPr>
              <w:t>)</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(13)</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Разходи за външни услуги</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w:t>
            </w:r>
            <w:r w:rsidR="00534A1D" w:rsidRPr="00534A1D">
              <w:rPr>
                <w:sz w:val="20"/>
                <w:szCs w:val="20"/>
              </w:rPr>
              <w:t>644</w:t>
            </w:r>
            <w:r w:rsidRPr="00534A1D">
              <w:rPr>
                <w:sz w:val="20"/>
                <w:szCs w:val="20"/>
              </w:rPr>
              <w:t>)</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(482)</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Разходи за амортизации</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w:t>
            </w:r>
            <w:r w:rsidR="00534A1D" w:rsidRPr="00534A1D">
              <w:rPr>
                <w:sz w:val="20"/>
                <w:szCs w:val="20"/>
              </w:rPr>
              <w:t>149</w:t>
            </w:r>
            <w:r w:rsidRPr="00534A1D">
              <w:rPr>
                <w:sz w:val="20"/>
                <w:szCs w:val="20"/>
              </w:rPr>
              <w:t>)</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(70)</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Разходи за персонала</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w:t>
            </w:r>
            <w:r w:rsidR="00534A1D" w:rsidRPr="00534A1D">
              <w:rPr>
                <w:sz w:val="20"/>
                <w:szCs w:val="20"/>
              </w:rPr>
              <w:t>73</w:t>
            </w:r>
            <w:r w:rsidRPr="00534A1D">
              <w:rPr>
                <w:sz w:val="20"/>
                <w:szCs w:val="20"/>
              </w:rPr>
              <w:t>1)</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(621)</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sz w:val="20"/>
                <w:szCs w:val="20"/>
              </w:rPr>
            </w:pPr>
            <w:r w:rsidRPr="00E214F6">
              <w:rPr>
                <w:sz w:val="20"/>
                <w:szCs w:val="20"/>
              </w:rPr>
              <w:t>Други разходи за дейността</w:t>
            </w:r>
          </w:p>
        </w:tc>
        <w:tc>
          <w:tcPr>
            <w:tcW w:w="1360" w:type="dxa"/>
            <w:tcBorders>
              <w:top w:val="nil"/>
              <w:left w:val="nil"/>
              <w:bottom w:val="nil"/>
              <w:right w:val="nil"/>
            </w:tcBorders>
            <w:shd w:val="clear" w:color="auto" w:fill="auto"/>
            <w:noWrap/>
            <w:vAlign w:val="center"/>
            <w:hideMark/>
          </w:tcPr>
          <w:p w:rsidR="00E214F6" w:rsidRPr="00534A1D" w:rsidRDefault="00E214F6" w:rsidP="00534A1D">
            <w:pPr>
              <w:widowControl/>
              <w:jc w:val="right"/>
              <w:rPr>
                <w:sz w:val="20"/>
                <w:szCs w:val="20"/>
              </w:rPr>
            </w:pPr>
            <w:r w:rsidRPr="00534A1D">
              <w:rPr>
                <w:sz w:val="20"/>
                <w:szCs w:val="20"/>
              </w:rPr>
              <w:t xml:space="preserve"> (</w:t>
            </w:r>
            <w:r w:rsidR="00534A1D" w:rsidRPr="00534A1D">
              <w:rPr>
                <w:sz w:val="20"/>
                <w:szCs w:val="20"/>
              </w:rPr>
              <w:t>31</w:t>
            </w:r>
            <w:r w:rsidRPr="00534A1D">
              <w:rPr>
                <w:sz w:val="20"/>
                <w:szCs w:val="20"/>
              </w:rPr>
              <w:t>)</w:t>
            </w:r>
          </w:p>
        </w:tc>
        <w:tc>
          <w:tcPr>
            <w:tcW w:w="1781" w:type="dxa"/>
            <w:tcBorders>
              <w:top w:val="nil"/>
              <w:left w:val="nil"/>
              <w:bottom w:val="nil"/>
              <w:right w:val="nil"/>
            </w:tcBorders>
            <w:shd w:val="clear" w:color="auto" w:fill="auto"/>
            <w:noWrap/>
            <w:vAlign w:val="center"/>
            <w:hideMark/>
          </w:tcPr>
          <w:p w:rsidR="00E214F6" w:rsidRPr="00534A1D" w:rsidRDefault="00E214F6" w:rsidP="00413000">
            <w:pPr>
              <w:widowControl/>
              <w:jc w:val="right"/>
              <w:rPr>
                <w:sz w:val="20"/>
                <w:szCs w:val="20"/>
              </w:rPr>
            </w:pPr>
            <w:r w:rsidRPr="00534A1D">
              <w:rPr>
                <w:sz w:val="20"/>
                <w:szCs w:val="20"/>
              </w:rPr>
              <w:t xml:space="preserve"> (50)</w:t>
            </w:r>
          </w:p>
        </w:tc>
      </w:tr>
      <w:tr w:rsidR="00E214F6" w:rsidRPr="00F55B63"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E214F6" w:rsidRDefault="00E214F6" w:rsidP="00B64374">
            <w:pPr>
              <w:widowControl/>
              <w:jc w:val="left"/>
              <w:rPr>
                <w:b/>
                <w:bCs/>
                <w:sz w:val="20"/>
                <w:szCs w:val="20"/>
              </w:rPr>
            </w:pPr>
            <w:r w:rsidRPr="00E214F6">
              <w:rPr>
                <w:b/>
                <w:bCs/>
                <w:sz w:val="20"/>
                <w:szCs w:val="20"/>
              </w:rPr>
              <w:t>Печалба/(Загуба) от оперативна дейност</w:t>
            </w:r>
          </w:p>
        </w:tc>
        <w:tc>
          <w:tcPr>
            <w:tcW w:w="1360" w:type="dxa"/>
            <w:tcBorders>
              <w:top w:val="single" w:sz="4" w:space="0" w:color="auto"/>
              <w:left w:val="nil"/>
              <w:bottom w:val="double" w:sz="6" w:space="0" w:color="auto"/>
              <w:right w:val="nil"/>
            </w:tcBorders>
            <w:shd w:val="clear" w:color="auto" w:fill="auto"/>
            <w:noWrap/>
            <w:vAlign w:val="center"/>
            <w:hideMark/>
          </w:tcPr>
          <w:p w:rsidR="00E214F6" w:rsidRPr="00534A1D" w:rsidRDefault="00E214F6" w:rsidP="00534A1D">
            <w:pPr>
              <w:widowControl/>
              <w:jc w:val="right"/>
              <w:rPr>
                <w:b/>
                <w:bCs/>
                <w:sz w:val="20"/>
                <w:szCs w:val="20"/>
              </w:rPr>
            </w:pPr>
            <w:r w:rsidRPr="00534A1D">
              <w:rPr>
                <w:b/>
                <w:bCs/>
                <w:sz w:val="20"/>
                <w:szCs w:val="20"/>
              </w:rPr>
              <w:t xml:space="preserve"> 1 </w:t>
            </w:r>
            <w:r w:rsidR="00534A1D" w:rsidRPr="00534A1D">
              <w:rPr>
                <w:b/>
                <w:bCs/>
                <w:sz w:val="20"/>
                <w:szCs w:val="20"/>
              </w:rPr>
              <w:t>410</w:t>
            </w:r>
            <w:r w:rsidRPr="00534A1D">
              <w:rPr>
                <w:b/>
                <w:bCs/>
                <w:sz w:val="20"/>
                <w:szCs w:val="20"/>
              </w:rPr>
              <w:t xml:space="preserve"> </w:t>
            </w:r>
          </w:p>
        </w:tc>
        <w:tc>
          <w:tcPr>
            <w:tcW w:w="1781" w:type="dxa"/>
            <w:tcBorders>
              <w:top w:val="single" w:sz="4" w:space="0" w:color="auto"/>
              <w:left w:val="nil"/>
              <w:bottom w:val="double" w:sz="6" w:space="0" w:color="auto"/>
              <w:right w:val="nil"/>
            </w:tcBorders>
            <w:shd w:val="clear" w:color="auto" w:fill="auto"/>
            <w:noWrap/>
            <w:vAlign w:val="center"/>
            <w:hideMark/>
          </w:tcPr>
          <w:p w:rsidR="00E214F6" w:rsidRPr="00534A1D" w:rsidRDefault="00E214F6" w:rsidP="00413000">
            <w:pPr>
              <w:widowControl/>
              <w:jc w:val="right"/>
              <w:rPr>
                <w:b/>
                <w:bCs/>
                <w:sz w:val="20"/>
                <w:szCs w:val="20"/>
              </w:rPr>
            </w:pPr>
            <w:r w:rsidRPr="00534A1D">
              <w:rPr>
                <w:b/>
                <w:bCs/>
                <w:sz w:val="20"/>
                <w:szCs w:val="20"/>
              </w:rPr>
              <w:t xml:space="preserve"> 1 520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sz w:val="20"/>
                <w:szCs w:val="20"/>
              </w:rPr>
            </w:pPr>
            <w:r w:rsidRPr="0063371B">
              <w:rPr>
                <w:sz w:val="20"/>
                <w:szCs w:val="20"/>
              </w:rPr>
              <w:t>Финансови приходи</w:t>
            </w:r>
          </w:p>
        </w:tc>
        <w:tc>
          <w:tcPr>
            <w:tcW w:w="1360" w:type="dxa"/>
            <w:tcBorders>
              <w:top w:val="nil"/>
              <w:left w:val="nil"/>
              <w:bottom w:val="nil"/>
              <w:right w:val="nil"/>
            </w:tcBorders>
            <w:shd w:val="clear" w:color="auto" w:fill="auto"/>
            <w:noWrap/>
            <w:vAlign w:val="center"/>
            <w:hideMark/>
          </w:tcPr>
          <w:p w:rsidR="00E214F6" w:rsidRPr="0063371B" w:rsidRDefault="00534A1D" w:rsidP="00B64374">
            <w:pPr>
              <w:widowControl/>
              <w:jc w:val="right"/>
              <w:rPr>
                <w:sz w:val="20"/>
                <w:szCs w:val="20"/>
              </w:rPr>
            </w:pPr>
            <w:r w:rsidRPr="0063371B">
              <w:rPr>
                <w:sz w:val="20"/>
                <w:szCs w:val="20"/>
              </w:rPr>
              <w:t>20</w:t>
            </w:r>
            <w:r w:rsidR="00E214F6" w:rsidRPr="0063371B">
              <w:rPr>
                <w:sz w:val="20"/>
                <w:szCs w:val="20"/>
              </w:rPr>
              <w:t xml:space="preserve"> </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17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sz w:val="20"/>
                <w:szCs w:val="20"/>
              </w:rPr>
            </w:pPr>
            <w:r w:rsidRPr="0063371B">
              <w:rPr>
                <w:sz w:val="20"/>
                <w:szCs w:val="20"/>
              </w:rPr>
              <w:t>Финансови разходи</w:t>
            </w:r>
          </w:p>
        </w:tc>
        <w:tc>
          <w:tcPr>
            <w:tcW w:w="1360" w:type="dxa"/>
            <w:tcBorders>
              <w:top w:val="nil"/>
              <w:left w:val="nil"/>
              <w:bottom w:val="single" w:sz="4" w:space="0" w:color="auto"/>
              <w:right w:val="nil"/>
            </w:tcBorders>
            <w:shd w:val="clear" w:color="auto" w:fill="auto"/>
            <w:noWrap/>
            <w:vAlign w:val="center"/>
            <w:hideMark/>
          </w:tcPr>
          <w:p w:rsidR="00E214F6" w:rsidRPr="0063371B" w:rsidRDefault="00E214F6" w:rsidP="00534A1D">
            <w:pPr>
              <w:widowControl/>
              <w:jc w:val="right"/>
              <w:rPr>
                <w:sz w:val="20"/>
                <w:szCs w:val="20"/>
              </w:rPr>
            </w:pPr>
            <w:r w:rsidRPr="0063371B">
              <w:rPr>
                <w:sz w:val="20"/>
                <w:szCs w:val="20"/>
              </w:rPr>
              <w:t xml:space="preserve"> (2)</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(20)</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b/>
                <w:bCs/>
                <w:sz w:val="20"/>
                <w:szCs w:val="20"/>
              </w:rPr>
            </w:pPr>
            <w:r w:rsidRPr="0063371B">
              <w:rPr>
                <w:b/>
                <w:bCs/>
                <w:sz w:val="20"/>
                <w:szCs w:val="20"/>
              </w:rPr>
              <w:t>Финансови приходи/(разходи), нетно</w:t>
            </w:r>
          </w:p>
        </w:tc>
        <w:tc>
          <w:tcPr>
            <w:tcW w:w="1360" w:type="dxa"/>
            <w:tcBorders>
              <w:top w:val="nil"/>
              <w:left w:val="nil"/>
              <w:bottom w:val="nil"/>
              <w:right w:val="nil"/>
            </w:tcBorders>
            <w:shd w:val="clear" w:color="auto" w:fill="auto"/>
            <w:noWrap/>
            <w:vAlign w:val="center"/>
            <w:hideMark/>
          </w:tcPr>
          <w:p w:rsidR="00E214F6" w:rsidRPr="0063371B" w:rsidRDefault="00E214F6" w:rsidP="00534A1D">
            <w:pPr>
              <w:widowControl/>
              <w:jc w:val="right"/>
              <w:rPr>
                <w:b/>
                <w:bCs/>
                <w:sz w:val="20"/>
                <w:szCs w:val="20"/>
              </w:rPr>
            </w:pPr>
            <w:r w:rsidRPr="0063371B">
              <w:rPr>
                <w:b/>
                <w:bCs/>
                <w:sz w:val="20"/>
                <w:szCs w:val="20"/>
              </w:rPr>
              <w:t xml:space="preserve"> </w:t>
            </w:r>
            <w:r w:rsidR="00534A1D" w:rsidRPr="0063371B">
              <w:rPr>
                <w:b/>
                <w:bCs/>
                <w:sz w:val="20"/>
                <w:szCs w:val="20"/>
              </w:rPr>
              <w:t>18</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(3)</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FE14E8" w:rsidP="00FE14E8">
            <w:pPr>
              <w:widowControl/>
              <w:jc w:val="left"/>
              <w:rPr>
                <w:sz w:val="20"/>
                <w:szCs w:val="20"/>
              </w:rPr>
            </w:pPr>
            <w:r w:rsidRPr="0063371B">
              <w:rPr>
                <w:sz w:val="20"/>
                <w:szCs w:val="20"/>
              </w:rPr>
              <w:t>Печалба/загуба от</w:t>
            </w:r>
            <w:r w:rsidR="00E214F6" w:rsidRPr="0063371B">
              <w:rPr>
                <w:sz w:val="20"/>
                <w:szCs w:val="20"/>
              </w:rPr>
              <w:t xml:space="preserve"> съвместни дружества </w:t>
            </w:r>
          </w:p>
        </w:tc>
        <w:tc>
          <w:tcPr>
            <w:tcW w:w="1360" w:type="dxa"/>
            <w:tcBorders>
              <w:top w:val="nil"/>
              <w:left w:val="nil"/>
              <w:bottom w:val="single" w:sz="4" w:space="0" w:color="auto"/>
              <w:right w:val="nil"/>
            </w:tcBorders>
            <w:shd w:val="clear" w:color="auto" w:fill="auto"/>
            <w:noWrap/>
            <w:vAlign w:val="center"/>
            <w:hideMark/>
          </w:tcPr>
          <w:p w:rsidR="00E214F6" w:rsidRPr="0063371B" w:rsidRDefault="00FE14E8" w:rsidP="00B64374">
            <w:pPr>
              <w:widowControl/>
              <w:jc w:val="right"/>
              <w:rPr>
                <w:sz w:val="20"/>
                <w:szCs w:val="20"/>
              </w:rPr>
            </w:pPr>
            <w:r w:rsidRPr="0063371B">
              <w:rPr>
                <w:sz w:val="20"/>
                <w:szCs w:val="20"/>
              </w:rPr>
              <w:t>17</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(3)</w:t>
            </w:r>
          </w:p>
        </w:tc>
      </w:tr>
      <w:tr w:rsidR="00FE14E8" w:rsidRPr="0063371B" w:rsidTr="00534A1D">
        <w:trPr>
          <w:trHeight w:val="170"/>
          <w:jc w:val="center"/>
        </w:trPr>
        <w:tc>
          <w:tcPr>
            <w:tcW w:w="7425" w:type="dxa"/>
            <w:tcBorders>
              <w:top w:val="nil"/>
              <w:left w:val="nil"/>
              <w:bottom w:val="nil"/>
              <w:right w:val="nil"/>
            </w:tcBorders>
            <w:shd w:val="clear" w:color="auto" w:fill="auto"/>
            <w:vAlign w:val="center"/>
            <w:hideMark/>
          </w:tcPr>
          <w:p w:rsidR="00FE14E8" w:rsidRPr="0063371B" w:rsidRDefault="00FE14E8" w:rsidP="00FE14E8">
            <w:pPr>
              <w:widowControl/>
              <w:jc w:val="left"/>
              <w:rPr>
                <w:sz w:val="20"/>
                <w:szCs w:val="20"/>
              </w:rPr>
            </w:pPr>
            <w:r w:rsidRPr="0063371B">
              <w:rPr>
                <w:sz w:val="20"/>
                <w:szCs w:val="20"/>
              </w:rPr>
              <w:t>Печалба от придобиване на дъщерни дружества</w:t>
            </w:r>
          </w:p>
        </w:tc>
        <w:tc>
          <w:tcPr>
            <w:tcW w:w="1360" w:type="dxa"/>
            <w:tcBorders>
              <w:top w:val="nil"/>
              <w:left w:val="nil"/>
              <w:bottom w:val="single" w:sz="4" w:space="0" w:color="auto"/>
              <w:right w:val="nil"/>
            </w:tcBorders>
            <w:shd w:val="clear" w:color="auto" w:fill="auto"/>
            <w:noWrap/>
            <w:vAlign w:val="center"/>
            <w:hideMark/>
          </w:tcPr>
          <w:p w:rsidR="00FE14E8" w:rsidRPr="0063371B" w:rsidRDefault="00FE14E8" w:rsidP="00B64374">
            <w:pPr>
              <w:widowControl/>
              <w:jc w:val="right"/>
              <w:rPr>
                <w:sz w:val="20"/>
                <w:szCs w:val="20"/>
              </w:rPr>
            </w:pPr>
            <w:r w:rsidRPr="0063371B">
              <w:rPr>
                <w:sz w:val="20"/>
                <w:szCs w:val="20"/>
              </w:rPr>
              <w:t>-</w:t>
            </w:r>
          </w:p>
        </w:tc>
        <w:tc>
          <w:tcPr>
            <w:tcW w:w="1781" w:type="dxa"/>
            <w:tcBorders>
              <w:top w:val="nil"/>
              <w:left w:val="nil"/>
              <w:bottom w:val="single" w:sz="4" w:space="0" w:color="auto"/>
              <w:right w:val="nil"/>
            </w:tcBorders>
            <w:shd w:val="clear" w:color="auto" w:fill="auto"/>
            <w:noWrap/>
            <w:vAlign w:val="center"/>
            <w:hideMark/>
          </w:tcPr>
          <w:p w:rsidR="00FE14E8" w:rsidRPr="0063371B" w:rsidRDefault="00FE14E8" w:rsidP="00413000">
            <w:pPr>
              <w:widowControl/>
              <w:jc w:val="right"/>
              <w:rPr>
                <w:sz w:val="20"/>
                <w:szCs w:val="20"/>
              </w:rPr>
            </w:pPr>
            <w:r w:rsidRPr="0063371B">
              <w:rPr>
                <w:sz w:val="20"/>
                <w:szCs w:val="20"/>
              </w:rPr>
              <w:t>-</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b/>
                <w:bCs/>
                <w:sz w:val="20"/>
                <w:szCs w:val="20"/>
              </w:rPr>
            </w:pPr>
            <w:r w:rsidRPr="0063371B">
              <w:rPr>
                <w:b/>
                <w:bCs/>
                <w:sz w:val="20"/>
                <w:szCs w:val="20"/>
              </w:rPr>
              <w:t>Печалба преди данък върху печалбата</w:t>
            </w:r>
          </w:p>
        </w:tc>
        <w:tc>
          <w:tcPr>
            <w:tcW w:w="1360"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FE14E8">
            <w:pPr>
              <w:widowControl/>
              <w:jc w:val="right"/>
              <w:rPr>
                <w:b/>
                <w:bCs/>
                <w:sz w:val="20"/>
                <w:szCs w:val="20"/>
              </w:rPr>
            </w:pPr>
            <w:r w:rsidRPr="0063371B">
              <w:rPr>
                <w:b/>
                <w:bCs/>
                <w:sz w:val="20"/>
                <w:szCs w:val="20"/>
              </w:rPr>
              <w:t xml:space="preserve"> 1 </w:t>
            </w:r>
            <w:r w:rsidR="00FE14E8" w:rsidRPr="0063371B">
              <w:rPr>
                <w:b/>
                <w:bCs/>
                <w:sz w:val="20"/>
                <w:szCs w:val="20"/>
              </w:rPr>
              <w:t>445</w:t>
            </w:r>
            <w:r w:rsidRPr="0063371B">
              <w:rPr>
                <w:b/>
                <w:bCs/>
                <w:sz w:val="20"/>
                <w:szCs w:val="20"/>
              </w:rPr>
              <w:t xml:space="preserve"> </w:t>
            </w:r>
          </w:p>
        </w:tc>
        <w:tc>
          <w:tcPr>
            <w:tcW w:w="1781"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1 514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right"/>
              <w:rPr>
                <w:b/>
                <w:bCs/>
                <w:sz w:val="20"/>
                <w:szCs w:val="20"/>
              </w:rPr>
            </w:pP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highlight w:val="yellow"/>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highlight w:val="yellow"/>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FE14E8" w:rsidP="00FE14E8">
            <w:pPr>
              <w:widowControl/>
              <w:jc w:val="left"/>
              <w:rPr>
                <w:sz w:val="20"/>
                <w:szCs w:val="20"/>
              </w:rPr>
            </w:pPr>
            <w:r w:rsidRPr="0063371B">
              <w:rPr>
                <w:sz w:val="20"/>
                <w:szCs w:val="20"/>
              </w:rPr>
              <w:t xml:space="preserve">Разход за/ </w:t>
            </w:r>
            <w:r w:rsidR="00E214F6" w:rsidRPr="0063371B">
              <w:rPr>
                <w:sz w:val="20"/>
                <w:szCs w:val="20"/>
              </w:rPr>
              <w:t>Икономия от данък</w:t>
            </w:r>
            <w:r w:rsidRPr="0063371B">
              <w:rPr>
                <w:sz w:val="20"/>
                <w:szCs w:val="20"/>
              </w:rPr>
              <w:t xml:space="preserve"> върху</w:t>
            </w:r>
            <w:r w:rsidR="00E214F6" w:rsidRPr="0063371B">
              <w:rPr>
                <w:sz w:val="20"/>
                <w:szCs w:val="20"/>
              </w:rPr>
              <w:t xml:space="preserve"> печалба</w:t>
            </w:r>
            <w:r w:rsidRPr="0063371B">
              <w:rPr>
                <w:sz w:val="20"/>
                <w:szCs w:val="20"/>
              </w:rPr>
              <w:t>та</w:t>
            </w:r>
          </w:p>
        </w:tc>
        <w:tc>
          <w:tcPr>
            <w:tcW w:w="1360" w:type="dxa"/>
            <w:tcBorders>
              <w:top w:val="nil"/>
              <w:left w:val="nil"/>
              <w:bottom w:val="nil"/>
              <w:right w:val="nil"/>
            </w:tcBorders>
            <w:shd w:val="clear" w:color="auto" w:fill="auto"/>
            <w:noWrap/>
            <w:vAlign w:val="center"/>
            <w:hideMark/>
          </w:tcPr>
          <w:p w:rsidR="00E214F6" w:rsidRPr="0063371B" w:rsidRDefault="00E214F6" w:rsidP="00FE14E8">
            <w:pPr>
              <w:widowControl/>
              <w:jc w:val="right"/>
              <w:rPr>
                <w:sz w:val="20"/>
                <w:szCs w:val="20"/>
              </w:rPr>
            </w:pPr>
            <w:r w:rsidRPr="0063371B">
              <w:rPr>
                <w:sz w:val="20"/>
                <w:szCs w:val="20"/>
              </w:rPr>
              <w:t xml:space="preserve"> (16</w:t>
            </w:r>
            <w:r w:rsidR="00FE14E8" w:rsidRPr="0063371B">
              <w:rPr>
                <w:sz w:val="20"/>
                <w:szCs w:val="20"/>
              </w:rPr>
              <w:t>6</w:t>
            </w:r>
            <w:r w:rsidRPr="0063371B">
              <w:rPr>
                <w:sz w:val="20"/>
                <w:szCs w:val="20"/>
              </w:rPr>
              <w:t>)</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(164)</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b/>
                <w:bCs/>
                <w:sz w:val="20"/>
                <w:szCs w:val="20"/>
              </w:rPr>
            </w:pPr>
            <w:r w:rsidRPr="0063371B">
              <w:rPr>
                <w:b/>
                <w:bCs/>
                <w:sz w:val="20"/>
                <w:szCs w:val="20"/>
              </w:rPr>
              <w:t>Нетна печалба за годината</w:t>
            </w:r>
          </w:p>
        </w:tc>
        <w:tc>
          <w:tcPr>
            <w:tcW w:w="1360"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FE14E8">
            <w:pPr>
              <w:widowControl/>
              <w:jc w:val="right"/>
              <w:rPr>
                <w:b/>
                <w:bCs/>
                <w:sz w:val="20"/>
                <w:szCs w:val="20"/>
              </w:rPr>
            </w:pPr>
            <w:r w:rsidRPr="0063371B">
              <w:rPr>
                <w:b/>
                <w:bCs/>
                <w:sz w:val="20"/>
                <w:szCs w:val="20"/>
              </w:rPr>
              <w:t xml:space="preserve"> 1 </w:t>
            </w:r>
            <w:r w:rsidR="00FE14E8" w:rsidRPr="0063371B">
              <w:rPr>
                <w:b/>
                <w:bCs/>
                <w:sz w:val="20"/>
                <w:szCs w:val="20"/>
              </w:rPr>
              <w:t>279</w:t>
            </w:r>
            <w:r w:rsidRPr="0063371B">
              <w:rPr>
                <w:b/>
                <w:bCs/>
                <w:sz w:val="20"/>
                <w:szCs w:val="20"/>
              </w:rPr>
              <w:t xml:space="preserve"> </w:t>
            </w:r>
          </w:p>
        </w:tc>
        <w:tc>
          <w:tcPr>
            <w:tcW w:w="1781"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1 350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highlight w:val="yellow"/>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highlight w:val="yellow"/>
              </w:rPr>
            </w:pP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b/>
                <w:bCs/>
                <w:sz w:val="20"/>
                <w:szCs w:val="20"/>
              </w:rPr>
            </w:pPr>
            <w:r w:rsidRPr="0063371B">
              <w:rPr>
                <w:b/>
                <w:bCs/>
                <w:sz w:val="20"/>
                <w:szCs w:val="20"/>
              </w:rPr>
              <w:t>Други компоненти на всеобхватния доход:</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highlight w:val="yellow"/>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highlight w:val="yellow"/>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b/>
                <w:bCs/>
                <w:i/>
                <w:iCs/>
                <w:sz w:val="20"/>
                <w:szCs w:val="20"/>
              </w:rPr>
            </w:pPr>
            <w:r w:rsidRPr="0063371B">
              <w:rPr>
                <w:b/>
                <w:bCs/>
                <w:i/>
                <w:iCs/>
                <w:sz w:val="20"/>
                <w:szCs w:val="20"/>
              </w:rPr>
              <w:t>Компоненти, които няма да бъдат рекласифицирани в печалбата или загубата:</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highlight w:val="yellow"/>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highlight w:val="yellow"/>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r w:rsidRPr="0063371B">
              <w:rPr>
                <w:sz w:val="20"/>
                <w:szCs w:val="20"/>
              </w:rPr>
              <w:t>Последващи оценки на пенсионни планове с дефинирани доходи</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r w:rsidRPr="0063371B">
              <w:rPr>
                <w:b/>
                <w:bCs/>
                <w:sz w:val="20"/>
                <w:szCs w:val="20"/>
              </w:rPr>
              <w:t xml:space="preserve"> - </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FE14E8">
            <w:pPr>
              <w:widowControl/>
              <w:jc w:val="left"/>
              <w:rPr>
                <w:sz w:val="20"/>
                <w:szCs w:val="20"/>
              </w:rPr>
            </w:pPr>
            <w:r w:rsidRPr="0063371B">
              <w:rPr>
                <w:sz w:val="20"/>
                <w:szCs w:val="20"/>
              </w:rPr>
              <w:t xml:space="preserve">Нетна промяна в справедливата стойност на </w:t>
            </w:r>
            <w:r w:rsidR="00FE14E8" w:rsidRPr="0063371B">
              <w:rPr>
                <w:sz w:val="20"/>
                <w:szCs w:val="20"/>
              </w:rPr>
              <w:t>капиталови инвестиции</w:t>
            </w:r>
            <w:r w:rsidRPr="0063371B">
              <w:rPr>
                <w:sz w:val="20"/>
                <w:szCs w:val="20"/>
              </w:rPr>
              <w:t xml:space="preserve"> оценявани по справедлива стойност</w:t>
            </w:r>
            <w:r w:rsidR="00FE14E8" w:rsidRPr="0063371B">
              <w:rPr>
                <w:sz w:val="20"/>
                <w:szCs w:val="20"/>
              </w:rPr>
              <w:t xml:space="preserve"> през ДВД</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r w:rsidRPr="0063371B">
              <w:rPr>
                <w:b/>
                <w:bCs/>
                <w:sz w:val="20"/>
                <w:szCs w:val="20"/>
              </w:rPr>
              <w:t xml:space="preserve"> - </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 </w:t>
            </w:r>
          </w:p>
        </w:tc>
      </w:tr>
      <w:tr w:rsidR="00FE14E8" w:rsidRPr="0063371B" w:rsidTr="00534A1D">
        <w:trPr>
          <w:trHeight w:val="170"/>
          <w:jc w:val="center"/>
        </w:trPr>
        <w:tc>
          <w:tcPr>
            <w:tcW w:w="7425" w:type="dxa"/>
            <w:tcBorders>
              <w:top w:val="nil"/>
              <w:left w:val="nil"/>
              <w:bottom w:val="nil"/>
              <w:right w:val="nil"/>
            </w:tcBorders>
            <w:shd w:val="clear" w:color="auto" w:fill="auto"/>
            <w:vAlign w:val="center"/>
            <w:hideMark/>
          </w:tcPr>
          <w:p w:rsidR="00FE14E8" w:rsidRPr="0063371B" w:rsidRDefault="00FE14E8" w:rsidP="00FE14E8">
            <w:pPr>
              <w:widowControl/>
              <w:jc w:val="left"/>
              <w:rPr>
                <w:sz w:val="20"/>
                <w:szCs w:val="20"/>
              </w:rPr>
            </w:pPr>
            <w:r w:rsidRPr="0063371B">
              <w:rPr>
                <w:sz w:val="20"/>
                <w:szCs w:val="20"/>
              </w:rPr>
              <w:t>Данък върху дохода, свързан с компонентите на другия всеобхватен доход, които няма да бъдат рекласифицирани</w:t>
            </w:r>
          </w:p>
        </w:tc>
        <w:tc>
          <w:tcPr>
            <w:tcW w:w="1360" w:type="dxa"/>
            <w:tcBorders>
              <w:top w:val="nil"/>
              <w:left w:val="nil"/>
              <w:bottom w:val="nil"/>
              <w:right w:val="nil"/>
            </w:tcBorders>
            <w:shd w:val="clear" w:color="auto" w:fill="auto"/>
            <w:noWrap/>
            <w:vAlign w:val="center"/>
            <w:hideMark/>
          </w:tcPr>
          <w:p w:rsidR="00FE14E8" w:rsidRPr="0063371B" w:rsidRDefault="00FE14E8" w:rsidP="00B64374">
            <w:pPr>
              <w:widowControl/>
              <w:jc w:val="right"/>
              <w:rPr>
                <w:b/>
                <w:bCs/>
                <w:sz w:val="20"/>
                <w:szCs w:val="20"/>
              </w:rPr>
            </w:pPr>
            <w:r w:rsidRPr="0063371B">
              <w:rPr>
                <w:b/>
                <w:bCs/>
                <w:sz w:val="20"/>
                <w:szCs w:val="20"/>
              </w:rPr>
              <w:t>-</w:t>
            </w:r>
          </w:p>
        </w:tc>
        <w:tc>
          <w:tcPr>
            <w:tcW w:w="1781" w:type="dxa"/>
            <w:tcBorders>
              <w:top w:val="nil"/>
              <w:left w:val="nil"/>
              <w:bottom w:val="nil"/>
              <w:right w:val="nil"/>
            </w:tcBorders>
            <w:shd w:val="clear" w:color="auto" w:fill="auto"/>
            <w:noWrap/>
            <w:vAlign w:val="center"/>
            <w:hideMark/>
          </w:tcPr>
          <w:p w:rsidR="00FE14E8" w:rsidRPr="0063371B" w:rsidRDefault="00FE14E8" w:rsidP="00413000">
            <w:pPr>
              <w:widowControl/>
              <w:jc w:val="right"/>
              <w:rPr>
                <w:b/>
                <w:bCs/>
                <w:sz w:val="20"/>
                <w:szCs w:val="20"/>
              </w:rPr>
            </w:pPr>
            <w:r w:rsidRPr="0063371B">
              <w:rPr>
                <w:b/>
                <w:bCs/>
                <w:sz w:val="20"/>
                <w:szCs w:val="20"/>
              </w:rPr>
              <w:t>-</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right"/>
              <w:rPr>
                <w:b/>
                <w:bCs/>
                <w:sz w:val="20"/>
                <w:szCs w:val="20"/>
              </w:rPr>
            </w:pPr>
          </w:p>
        </w:tc>
        <w:tc>
          <w:tcPr>
            <w:tcW w:w="1360"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B64374">
            <w:pPr>
              <w:widowControl/>
              <w:jc w:val="right"/>
              <w:rPr>
                <w:b/>
                <w:bCs/>
                <w:sz w:val="20"/>
                <w:szCs w:val="20"/>
              </w:rPr>
            </w:pPr>
            <w:r w:rsidRPr="0063371B">
              <w:rPr>
                <w:b/>
                <w:bCs/>
                <w:sz w:val="20"/>
                <w:szCs w:val="20"/>
              </w:rPr>
              <w:t xml:space="preserve"> - </w:t>
            </w:r>
          </w:p>
        </w:tc>
        <w:tc>
          <w:tcPr>
            <w:tcW w:w="1781" w:type="dxa"/>
            <w:tcBorders>
              <w:top w:val="single" w:sz="4" w:space="0" w:color="auto"/>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b/>
                <w:bCs/>
                <w:i/>
                <w:iCs/>
                <w:sz w:val="20"/>
                <w:szCs w:val="20"/>
              </w:rPr>
            </w:pPr>
            <w:r w:rsidRPr="0063371B">
              <w:rPr>
                <w:b/>
                <w:bCs/>
                <w:i/>
                <w:iCs/>
                <w:sz w:val="20"/>
                <w:szCs w:val="20"/>
              </w:rPr>
              <w:t>Компоненти, които могат да бъдат рекласифицирани в печалбата или загубата:</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highlight w:val="yellow"/>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highlight w:val="yellow"/>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FE14E8">
            <w:pPr>
              <w:widowControl/>
              <w:jc w:val="left"/>
              <w:rPr>
                <w:sz w:val="20"/>
                <w:szCs w:val="20"/>
              </w:rPr>
            </w:pPr>
            <w:r w:rsidRPr="0063371B">
              <w:rPr>
                <w:sz w:val="20"/>
                <w:szCs w:val="20"/>
              </w:rPr>
              <w:t xml:space="preserve">Нетна промяна в справедливата стойност на </w:t>
            </w:r>
            <w:r w:rsidR="00FE14E8" w:rsidRPr="0063371B">
              <w:rPr>
                <w:sz w:val="20"/>
                <w:szCs w:val="20"/>
              </w:rPr>
              <w:t>дългови ценни книжа,</w:t>
            </w:r>
            <w:r w:rsidRPr="0063371B">
              <w:rPr>
                <w:sz w:val="20"/>
                <w:szCs w:val="20"/>
              </w:rPr>
              <w:t xml:space="preserve"> оценявани по справедлива стойност</w:t>
            </w:r>
            <w:r w:rsidR="00FE14E8" w:rsidRPr="0063371B">
              <w:rPr>
                <w:sz w:val="20"/>
                <w:szCs w:val="20"/>
              </w:rPr>
              <w:t xml:space="preserve"> през ДВД</w:t>
            </w:r>
          </w:p>
        </w:tc>
        <w:tc>
          <w:tcPr>
            <w:tcW w:w="1360" w:type="dxa"/>
            <w:tcBorders>
              <w:top w:val="nil"/>
              <w:left w:val="nil"/>
              <w:bottom w:val="nil"/>
              <w:right w:val="nil"/>
            </w:tcBorders>
            <w:shd w:val="clear" w:color="auto" w:fill="auto"/>
            <w:noWrap/>
            <w:vAlign w:val="center"/>
            <w:hideMark/>
          </w:tcPr>
          <w:p w:rsidR="00E214F6" w:rsidRPr="0063371B" w:rsidRDefault="00FE14E8" w:rsidP="00FE14E8">
            <w:pPr>
              <w:widowControl/>
              <w:jc w:val="right"/>
              <w:rPr>
                <w:sz w:val="20"/>
                <w:szCs w:val="20"/>
              </w:rPr>
            </w:pPr>
            <w:r w:rsidRPr="0063371B">
              <w:rPr>
                <w:sz w:val="20"/>
                <w:szCs w:val="20"/>
              </w:rPr>
              <w:t>(41)</w:t>
            </w:r>
            <w:r w:rsidR="00E214F6" w:rsidRPr="0063371B">
              <w:rPr>
                <w:sz w:val="20"/>
                <w:szCs w:val="20"/>
              </w:rPr>
              <w:t xml:space="preserve"> </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r w:rsidRPr="0063371B">
              <w:rPr>
                <w:sz w:val="20"/>
                <w:szCs w:val="20"/>
              </w:rPr>
              <w:t>Данък върху доходите, свързан с компонентите на другия всеобхватен доход, които могат да бъдат рекласифицирани</w:t>
            </w:r>
          </w:p>
        </w:tc>
        <w:tc>
          <w:tcPr>
            <w:tcW w:w="1360" w:type="dxa"/>
            <w:tcBorders>
              <w:top w:val="nil"/>
              <w:left w:val="nil"/>
              <w:bottom w:val="single" w:sz="4" w:space="0" w:color="auto"/>
              <w:right w:val="nil"/>
            </w:tcBorders>
            <w:shd w:val="clear" w:color="auto" w:fill="auto"/>
            <w:noWrap/>
            <w:vAlign w:val="center"/>
            <w:hideMark/>
          </w:tcPr>
          <w:p w:rsidR="00E214F6" w:rsidRPr="0063371B" w:rsidRDefault="00FE14E8" w:rsidP="00B64374">
            <w:pPr>
              <w:widowControl/>
              <w:jc w:val="right"/>
              <w:rPr>
                <w:sz w:val="20"/>
                <w:szCs w:val="20"/>
              </w:rPr>
            </w:pPr>
            <w:r w:rsidRPr="0063371B">
              <w:rPr>
                <w:sz w:val="20"/>
                <w:szCs w:val="20"/>
              </w:rPr>
              <w:t>4</w:t>
            </w:r>
            <w:r w:rsidR="00E214F6" w:rsidRPr="0063371B">
              <w:rPr>
                <w:sz w:val="20"/>
                <w:szCs w:val="20"/>
              </w:rPr>
              <w:t xml:space="preserve"> </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p>
        </w:tc>
        <w:tc>
          <w:tcPr>
            <w:tcW w:w="1360" w:type="dxa"/>
            <w:tcBorders>
              <w:top w:val="nil"/>
              <w:left w:val="nil"/>
              <w:bottom w:val="single" w:sz="4" w:space="0" w:color="auto"/>
              <w:right w:val="nil"/>
            </w:tcBorders>
            <w:shd w:val="clear" w:color="auto" w:fill="auto"/>
            <w:noWrap/>
            <w:vAlign w:val="center"/>
            <w:hideMark/>
          </w:tcPr>
          <w:p w:rsidR="00E214F6" w:rsidRPr="0063371B" w:rsidRDefault="00FE14E8" w:rsidP="00FE14E8">
            <w:pPr>
              <w:widowControl/>
              <w:jc w:val="right"/>
              <w:rPr>
                <w:b/>
                <w:bCs/>
                <w:sz w:val="20"/>
                <w:szCs w:val="20"/>
              </w:rPr>
            </w:pPr>
            <w:r w:rsidRPr="0063371B">
              <w:rPr>
                <w:sz w:val="20"/>
                <w:szCs w:val="20"/>
              </w:rPr>
              <w:t xml:space="preserve">(37) </w:t>
            </w:r>
            <w:r w:rsidR="00E214F6" w:rsidRPr="0063371B">
              <w:rPr>
                <w:b/>
                <w:bCs/>
                <w:sz w:val="20"/>
                <w:szCs w:val="20"/>
              </w:rPr>
              <w:t xml:space="preserve"> </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 </w:t>
            </w:r>
          </w:p>
        </w:tc>
      </w:tr>
      <w:tr w:rsidR="00FE14E8" w:rsidRPr="0063371B" w:rsidTr="00534A1D">
        <w:trPr>
          <w:trHeight w:val="170"/>
          <w:jc w:val="center"/>
        </w:trPr>
        <w:tc>
          <w:tcPr>
            <w:tcW w:w="7425" w:type="dxa"/>
            <w:tcBorders>
              <w:top w:val="nil"/>
              <w:left w:val="nil"/>
              <w:bottom w:val="nil"/>
              <w:right w:val="nil"/>
            </w:tcBorders>
            <w:shd w:val="clear" w:color="auto" w:fill="auto"/>
            <w:vAlign w:val="center"/>
            <w:hideMark/>
          </w:tcPr>
          <w:p w:rsidR="00FE14E8" w:rsidRPr="0063371B" w:rsidRDefault="00FE14E8" w:rsidP="00B64374">
            <w:pPr>
              <w:widowControl/>
              <w:jc w:val="left"/>
              <w:rPr>
                <w:b/>
                <w:bCs/>
                <w:sz w:val="20"/>
                <w:szCs w:val="20"/>
              </w:rPr>
            </w:pPr>
            <w:r w:rsidRPr="0063371B">
              <w:rPr>
                <w:b/>
                <w:bCs/>
                <w:sz w:val="20"/>
                <w:szCs w:val="20"/>
              </w:rPr>
              <w:t>Друг всеобхватен доход за годината, нетно от данъци</w:t>
            </w:r>
          </w:p>
        </w:tc>
        <w:tc>
          <w:tcPr>
            <w:tcW w:w="1360" w:type="dxa"/>
            <w:tcBorders>
              <w:top w:val="nil"/>
              <w:left w:val="nil"/>
              <w:bottom w:val="single" w:sz="4" w:space="0" w:color="auto"/>
              <w:right w:val="nil"/>
            </w:tcBorders>
            <w:shd w:val="clear" w:color="auto" w:fill="auto"/>
            <w:noWrap/>
            <w:vAlign w:val="center"/>
            <w:hideMark/>
          </w:tcPr>
          <w:p w:rsidR="00FE14E8" w:rsidRPr="0063371B" w:rsidRDefault="00FE14E8" w:rsidP="009A1913">
            <w:pPr>
              <w:widowControl/>
              <w:jc w:val="right"/>
              <w:rPr>
                <w:b/>
                <w:bCs/>
                <w:sz w:val="20"/>
                <w:szCs w:val="20"/>
              </w:rPr>
            </w:pPr>
            <w:r w:rsidRPr="0063371B">
              <w:rPr>
                <w:b/>
                <w:sz w:val="20"/>
                <w:szCs w:val="20"/>
              </w:rPr>
              <w:t xml:space="preserve">(37) </w:t>
            </w:r>
            <w:r w:rsidRPr="0063371B">
              <w:rPr>
                <w:b/>
                <w:bCs/>
                <w:sz w:val="20"/>
                <w:szCs w:val="20"/>
              </w:rPr>
              <w:t xml:space="preserve"> </w:t>
            </w:r>
          </w:p>
        </w:tc>
        <w:tc>
          <w:tcPr>
            <w:tcW w:w="1781" w:type="dxa"/>
            <w:tcBorders>
              <w:top w:val="nil"/>
              <w:left w:val="nil"/>
              <w:bottom w:val="single" w:sz="4" w:space="0" w:color="auto"/>
              <w:right w:val="nil"/>
            </w:tcBorders>
            <w:shd w:val="clear" w:color="auto" w:fill="auto"/>
            <w:noWrap/>
            <w:vAlign w:val="center"/>
            <w:hideMark/>
          </w:tcPr>
          <w:p w:rsidR="00FE14E8" w:rsidRPr="0063371B" w:rsidRDefault="00FE14E8" w:rsidP="009A1913">
            <w:pPr>
              <w:widowControl/>
              <w:jc w:val="right"/>
              <w:rPr>
                <w:b/>
                <w:bCs/>
                <w:sz w:val="20"/>
                <w:szCs w:val="20"/>
              </w:rPr>
            </w:pPr>
            <w:r w:rsidRPr="0063371B">
              <w:rPr>
                <w:b/>
                <w:bCs/>
                <w:sz w:val="20"/>
                <w:szCs w:val="20"/>
              </w:rPr>
              <w:t xml:space="preserve"> - </w:t>
            </w: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b/>
                <w:bCs/>
                <w:sz w:val="20"/>
                <w:szCs w:val="20"/>
              </w:rPr>
            </w:pPr>
            <w:r w:rsidRPr="0063371B">
              <w:rPr>
                <w:b/>
                <w:bCs/>
                <w:sz w:val="20"/>
                <w:szCs w:val="20"/>
              </w:rPr>
              <w:t>ОБЩО ВСЕОБХВАТЕН ДОХОД ЗА ГОДИНАТА</w:t>
            </w:r>
          </w:p>
        </w:tc>
        <w:tc>
          <w:tcPr>
            <w:tcW w:w="1360" w:type="dxa"/>
            <w:tcBorders>
              <w:top w:val="single" w:sz="4" w:space="0" w:color="auto"/>
              <w:left w:val="nil"/>
              <w:bottom w:val="double" w:sz="6" w:space="0" w:color="auto"/>
              <w:right w:val="nil"/>
            </w:tcBorders>
            <w:shd w:val="clear" w:color="auto" w:fill="auto"/>
            <w:noWrap/>
            <w:vAlign w:val="center"/>
            <w:hideMark/>
          </w:tcPr>
          <w:p w:rsidR="00E214F6" w:rsidRPr="0063371B" w:rsidRDefault="00E214F6" w:rsidP="00FE14E8">
            <w:pPr>
              <w:widowControl/>
              <w:jc w:val="right"/>
              <w:rPr>
                <w:b/>
                <w:bCs/>
                <w:sz w:val="20"/>
                <w:szCs w:val="20"/>
              </w:rPr>
            </w:pPr>
            <w:r w:rsidRPr="0063371B">
              <w:rPr>
                <w:b/>
                <w:bCs/>
                <w:sz w:val="20"/>
                <w:szCs w:val="20"/>
              </w:rPr>
              <w:t xml:space="preserve"> 1 </w:t>
            </w:r>
            <w:r w:rsidR="00FE14E8" w:rsidRPr="0063371B">
              <w:rPr>
                <w:b/>
                <w:bCs/>
                <w:sz w:val="20"/>
                <w:szCs w:val="20"/>
              </w:rPr>
              <w:t>242</w:t>
            </w:r>
            <w:r w:rsidRPr="0063371B">
              <w:rPr>
                <w:b/>
                <w:bCs/>
                <w:sz w:val="20"/>
                <w:szCs w:val="20"/>
              </w:rPr>
              <w:t xml:space="preserve"> </w:t>
            </w:r>
          </w:p>
        </w:tc>
        <w:tc>
          <w:tcPr>
            <w:tcW w:w="1781" w:type="dxa"/>
            <w:tcBorders>
              <w:top w:val="single" w:sz="4" w:space="0" w:color="auto"/>
              <w:left w:val="nil"/>
              <w:bottom w:val="double" w:sz="6"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1 350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b/>
                <w:bCs/>
                <w:sz w:val="20"/>
                <w:szCs w:val="20"/>
              </w:rPr>
            </w:pPr>
            <w:r w:rsidRPr="0063371B">
              <w:rPr>
                <w:b/>
                <w:bCs/>
                <w:sz w:val="20"/>
                <w:szCs w:val="20"/>
              </w:rPr>
              <w:t xml:space="preserve">Нетна печалба за годината, отнасяща се към: </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r w:rsidRPr="0063371B">
              <w:rPr>
                <w:sz w:val="20"/>
                <w:szCs w:val="20"/>
              </w:rPr>
              <w:t>Притежателите на собствения капитал на дружеството-майка</w:t>
            </w:r>
          </w:p>
        </w:tc>
        <w:tc>
          <w:tcPr>
            <w:tcW w:w="1360" w:type="dxa"/>
            <w:tcBorders>
              <w:top w:val="nil"/>
              <w:left w:val="nil"/>
              <w:bottom w:val="single" w:sz="4" w:space="0" w:color="auto"/>
              <w:right w:val="nil"/>
            </w:tcBorders>
            <w:shd w:val="clear" w:color="auto" w:fill="auto"/>
            <w:noWrap/>
            <w:vAlign w:val="center"/>
            <w:hideMark/>
          </w:tcPr>
          <w:p w:rsidR="00E214F6" w:rsidRPr="0063371B" w:rsidRDefault="00E214F6" w:rsidP="00FE14E8">
            <w:pPr>
              <w:widowControl/>
              <w:jc w:val="right"/>
              <w:rPr>
                <w:b/>
                <w:bCs/>
                <w:sz w:val="20"/>
                <w:szCs w:val="20"/>
              </w:rPr>
            </w:pPr>
            <w:r w:rsidRPr="0063371B">
              <w:rPr>
                <w:b/>
                <w:bCs/>
                <w:sz w:val="20"/>
                <w:szCs w:val="20"/>
              </w:rPr>
              <w:t xml:space="preserve"> 1 </w:t>
            </w:r>
            <w:r w:rsidR="00FE14E8" w:rsidRPr="0063371B">
              <w:rPr>
                <w:b/>
                <w:bCs/>
                <w:sz w:val="20"/>
                <w:szCs w:val="20"/>
              </w:rPr>
              <w:t>279</w:t>
            </w:r>
            <w:r w:rsidRPr="0063371B">
              <w:rPr>
                <w:b/>
                <w:bCs/>
                <w:sz w:val="20"/>
                <w:szCs w:val="20"/>
              </w:rPr>
              <w:t xml:space="preserve"> </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1 350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left"/>
              <w:rPr>
                <w:b/>
                <w:bCs/>
                <w:sz w:val="20"/>
                <w:szCs w:val="20"/>
              </w:rPr>
            </w:pPr>
            <w:r w:rsidRPr="0063371B">
              <w:rPr>
                <w:b/>
                <w:bCs/>
                <w:sz w:val="20"/>
                <w:szCs w:val="20"/>
              </w:rPr>
              <w:t>Общ всеобхватен доход, отнасящ се към:</w:t>
            </w: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r w:rsidRPr="0063371B">
              <w:rPr>
                <w:sz w:val="20"/>
                <w:szCs w:val="20"/>
              </w:rPr>
              <w:t>Притежателите на собствения капитал на дружеството-майка</w:t>
            </w:r>
          </w:p>
        </w:tc>
        <w:tc>
          <w:tcPr>
            <w:tcW w:w="1360" w:type="dxa"/>
            <w:tcBorders>
              <w:top w:val="nil"/>
              <w:left w:val="nil"/>
              <w:bottom w:val="single" w:sz="4" w:space="0" w:color="auto"/>
              <w:right w:val="nil"/>
            </w:tcBorders>
            <w:shd w:val="clear" w:color="auto" w:fill="auto"/>
            <w:noWrap/>
            <w:vAlign w:val="center"/>
            <w:hideMark/>
          </w:tcPr>
          <w:p w:rsidR="00E214F6" w:rsidRPr="0063371B" w:rsidRDefault="00E214F6" w:rsidP="00FE14E8">
            <w:pPr>
              <w:widowControl/>
              <w:jc w:val="right"/>
              <w:rPr>
                <w:b/>
                <w:bCs/>
                <w:sz w:val="20"/>
                <w:szCs w:val="20"/>
              </w:rPr>
            </w:pPr>
            <w:r w:rsidRPr="0063371B">
              <w:rPr>
                <w:b/>
                <w:bCs/>
                <w:sz w:val="20"/>
                <w:szCs w:val="20"/>
              </w:rPr>
              <w:t xml:space="preserve"> 1 </w:t>
            </w:r>
            <w:r w:rsidR="00FE14E8" w:rsidRPr="0063371B">
              <w:rPr>
                <w:b/>
                <w:bCs/>
                <w:sz w:val="20"/>
                <w:szCs w:val="20"/>
              </w:rPr>
              <w:t>242</w:t>
            </w:r>
            <w:r w:rsidRPr="0063371B">
              <w:rPr>
                <w:b/>
                <w:bCs/>
                <w:sz w:val="20"/>
                <w:szCs w:val="20"/>
              </w:rPr>
              <w:t xml:space="preserve"> </w:t>
            </w:r>
          </w:p>
        </w:tc>
        <w:tc>
          <w:tcPr>
            <w:tcW w:w="1781" w:type="dxa"/>
            <w:tcBorders>
              <w:top w:val="nil"/>
              <w:left w:val="nil"/>
              <w:bottom w:val="single" w:sz="4" w:space="0" w:color="auto"/>
              <w:right w:val="nil"/>
            </w:tcBorders>
            <w:shd w:val="clear" w:color="auto" w:fill="auto"/>
            <w:noWrap/>
            <w:vAlign w:val="center"/>
            <w:hideMark/>
          </w:tcPr>
          <w:p w:rsidR="00E214F6" w:rsidRPr="0063371B" w:rsidRDefault="00E214F6" w:rsidP="00413000">
            <w:pPr>
              <w:widowControl/>
              <w:jc w:val="right"/>
              <w:rPr>
                <w:b/>
                <w:bCs/>
                <w:sz w:val="20"/>
                <w:szCs w:val="20"/>
              </w:rPr>
            </w:pPr>
            <w:r w:rsidRPr="0063371B">
              <w:rPr>
                <w:b/>
                <w:bCs/>
                <w:sz w:val="20"/>
                <w:szCs w:val="20"/>
              </w:rPr>
              <w:t xml:space="preserve"> 1 350 </w:t>
            </w:r>
          </w:p>
        </w:tc>
      </w:tr>
      <w:tr w:rsidR="00E214F6" w:rsidRPr="0063371B" w:rsidTr="00534A1D">
        <w:trPr>
          <w:trHeight w:val="170"/>
          <w:jc w:val="center"/>
        </w:trPr>
        <w:tc>
          <w:tcPr>
            <w:tcW w:w="7425"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b/>
                <w:bCs/>
                <w:sz w:val="20"/>
                <w:szCs w:val="20"/>
              </w:rPr>
            </w:pPr>
          </w:p>
        </w:tc>
        <w:tc>
          <w:tcPr>
            <w:tcW w:w="1360" w:type="dxa"/>
            <w:tcBorders>
              <w:top w:val="nil"/>
              <w:left w:val="nil"/>
              <w:bottom w:val="nil"/>
              <w:right w:val="nil"/>
            </w:tcBorders>
            <w:shd w:val="clear" w:color="auto" w:fill="auto"/>
            <w:noWrap/>
            <w:vAlign w:val="center"/>
            <w:hideMark/>
          </w:tcPr>
          <w:p w:rsidR="00E214F6" w:rsidRPr="0063371B" w:rsidRDefault="00E214F6" w:rsidP="00B64374">
            <w:pPr>
              <w:widowControl/>
              <w:jc w:val="right"/>
              <w:rPr>
                <w:sz w:val="20"/>
                <w:szCs w:val="20"/>
              </w:rPr>
            </w:pP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p>
        </w:tc>
      </w:tr>
      <w:tr w:rsidR="00E214F6" w:rsidRPr="0063371B" w:rsidTr="00534A1D">
        <w:trPr>
          <w:trHeight w:val="170"/>
          <w:jc w:val="center"/>
        </w:trPr>
        <w:tc>
          <w:tcPr>
            <w:tcW w:w="7425" w:type="dxa"/>
            <w:tcBorders>
              <w:top w:val="nil"/>
              <w:left w:val="nil"/>
              <w:bottom w:val="nil"/>
              <w:right w:val="nil"/>
            </w:tcBorders>
            <w:shd w:val="clear" w:color="auto" w:fill="auto"/>
            <w:vAlign w:val="center"/>
            <w:hideMark/>
          </w:tcPr>
          <w:p w:rsidR="00E214F6" w:rsidRPr="0063371B" w:rsidRDefault="00E214F6" w:rsidP="00B64374">
            <w:pPr>
              <w:widowControl/>
              <w:jc w:val="left"/>
              <w:rPr>
                <w:sz w:val="20"/>
                <w:szCs w:val="20"/>
              </w:rPr>
            </w:pPr>
            <w:r w:rsidRPr="0063371B">
              <w:rPr>
                <w:sz w:val="20"/>
                <w:szCs w:val="20"/>
              </w:rPr>
              <w:t>Доход на акция (BGN)</w:t>
            </w:r>
          </w:p>
        </w:tc>
        <w:tc>
          <w:tcPr>
            <w:tcW w:w="1360" w:type="dxa"/>
            <w:tcBorders>
              <w:top w:val="nil"/>
              <w:left w:val="nil"/>
              <w:bottom w:val="nil"/>
              <w:right w:val="nil"/>
            </w:tcBorders>
            <w:shd w:val="clear" w:color="auto" w:fill="auto"/>
            <w:noWrap/>
            <w:vAlign w:val="center"/>
            <w:hideMark/>
          </w:tcPr>
          <w:p w:rsidR="00E214F6" w:rsidRPr="0063371B" w:rsidRDefault="00E214F6" w:rsidP="00FE14E8">
            <w:pPr>
              <w:widowControl/>
              <w:jc w:val="right"/>
              <w:rPr>
                <w:sz w:val="20"/>
                <w:szCs w:val="20"/>
              </w:rPr>
            </w:pPr>
            <w:r w:rsidRPr="0063371B">
              <w:rPr>
                <w:sz w:val="20"/>
                <w:szCs w:val="20"/>
              </w:rPr>
              <w:t xml:space="preserve"> 0.1</w:t>
            </w:r>
            <w:r w:rsidR="00FE14E8" w:rsidRPr="0063371B">
              <w:rPr>
                <w:sz w:val="20"/>
                <w:szCs w:val="20"/>
              </w:rPr>
              <w:t>9</w:t>
            </w:r>
            <w:r w:rsidRPr="0063371B">
              <w:rPr>
                <w:sz w:val="20"/>
                <w:szCs w:val="20"/>
              </w:rPr>
              <w:t xml:space="preserve"> </w:t>
            </w:r>
          </w:p>
        </w:tc>
        <w:tc>
          <w:tcPr>
            <w:tcW w:w="1781" w:type="dxa"/>
            <w:tcBorders>
              <w:top w:val="nil"/>
              <w:left w:val="nil"/>
              <w:bottom w:val="nil"/>
              <w:right w:val="nil"/>
            </w:tcBorders>
            <w:shd w:val="clear" w:color="auto" w:fill="auto"/>
            <w:noWrap/>
            <w:vAlign w:val="center"/>
            <w:hideMark/>
          </w:tcPr>
          <w:p w:rsidR="00E214F6" w:rsidRPr="0063371B" w:rsidRDefault="00E214F6" w:rsidP="00413000">
            <w:pPr>
              <w:widowControl/>
              <w:jc w:val="right"/>
              <w:rPr>
                <w:sz w:val="20"/>
                <w:szCs w:val="20"/>
              </w:rPr>
            </w:pPr>
            <w:r w:rsidRPr="0063371B">
              <w:rPr>
                <w:sz w:val="20"/>
                <w:szCs w:val="20"/>
              </w:rPr>
              <w:t xml:space="preserve"> 0.21 </w:t>
            </w:r>
          </w:p>
        </w:tc>
      </w:tr>
    </w:tbl>
    <w:p w:rsidR="00E70C11" w:rsidRPr="0063371B" w:rsidRDefault="00E70C11">
      <w:pPr>
        <w:widowControl/>
        <w:jc w:val="left"/>
        <w:rPr>
          <w:rFonts w:cs="Calibri"/>
          <w:highlight w:val="yellow"/>
        </w:rPr>
      </w:pPr>
    </w:p>
    <w:p w:rsidR="00E70C11" w:rsidRPr="00E70C11" w:rsidRDefault="00E70C11" w:rsidP="00E70C11">
      <w:pPr>
        <w:rPr>
          <w:rFonts w:cs="Calibri"/>
          <w:sz w:val="20"/>
          <w:szCs w:val="20"/>
        </w:rPr>
      </w:pPr>
      <w:r w:rsidRPr="00E70C11">
        <w:rPr>
          <w:rFonts w:cs="Calibri"/>
          <w:sz w:val="20"/>
          <w:szCs w:val="20"/>
          <w:lang w:val="en-US"/>
        </w:rPr>
        <w:t xml:space="preserve">*   </w:t>
      </w:r>
      <w:r w:rsidRPr="00E70C11">
        <w:rPr>
          <w:rFonts w:cs="Calibri"/>
          <w:sz w:val="20"/>
          <w:szCs w:val="20"/>
        </w:rPr>
        <w:t>Преизчислен</w:t>
      </w:r>
      <w:r w:rsidRPr="00E70C11">
        <w:rPr>
          <w:rFonts w:cs="Calibri"/>
          <w:sz w:val="20"/>
          <w:szCs w:val="20"/>
          <w:lang w:val="en-US"/>
        </w:rPr>
        <w:t xml:space="preserve"> (</w:t>
      </w:r>
      <w:r w:rsidRPr="00E70C11">
        <w:rPr>
          <w:rFonts w:cs="Calibri"/>
          <w:sz w:val="20"/>
          <w:szCs w:val="20"/>
        </w:rPr>
        <w:t>Приложение №29</w:t>
      </w:r>
      <w:r w:rsidRPr="00E70C11">
        <w:rPr>
          <w:rFonts w:cs="Calibri"/>
          <w:sz w:val="20"/>
          <w:szCs w:val="20"/>
          <w:lang w:val="en-US"/>
        </w:rPr>
        <w:t>)</w:t>
      </w:r>
    </w:p>
    <w:p w:rsidR="00A164F7" w:rsidRPr="00F55B63" w:rsidRDefault="00E70C11" w:rsidP="00E70C11">
      <w:pPr>
        <w:widowControl/>
        <w:jc w:val="left"/>
        <w:rPr>
          <w:rFonts w:cs="Calibri"/>
          <w:b/>
          <w:highlight w:val="yellow"/>
        </w:rPr>
      </w:pPr>
      <w:r w:rsidRPr="00E70C11">
        <w:rPr>
          <w:rFonts w:cs="Calibri"/>
          <w:sz w:val="20"/>
          <w:szCs w:val="20"/>
          <w:lang w:val="en-US"/>
        </w:rPr>
        <w:t xml:space="preserve">** </w:t>
      </w:r>
      <w:r w:rsidRPr="00E70C11">
        <w:rPr>
          <w:rFonts w:cs="Calibri"/>
          <w:sz w:val="20"/>
          <w:szCs w:val="20"/>
        </w:rPr>
        <w:t xml:space="preserve">Модифицирано ретроспективно приложение на МСФО 16 </w:t>
      </w:r>
      <w:r w:rsidRPr="00E70C11">
        <w:rPr>
          <w:rFonts w:cs="Calibri"/>
          <w:sz w:val="20"/>
          <w:szCs w:val="20"/>
          <w:lang w:val="en-US"/>
        </w:rPr>
        <w:t>(</w:t>
      </w:r>
      <w:r w:rsidRPr="00E70C11">
        <w:rPr>
          <w:rFonts w:cs="Calibri"/>
          <w:sz w:val="20"/>
          <w:szCs w:val="20"/>
        </w:rPr>
        <w:t>Приложение №2.5</w:t>
      </w:r>
      <w:r w:rsidRPr="00E70C11">
        <w:rPr>
          <w:rFonts w:cs="Calibri"/>
          <w:sz w:val="20"/>
          <w:szCs w:val="20"/>
          <w:lang w:val="en-US"/>
        </w:rPr>
        <w:t>)</w:t>
      </w:r>
      <w:r w:rsidR="00A164F7" w:rsidRPr="00F55B63">
        <w:rPr>
          <w:rFonts w:cs="Calibri"/>
          <w:highlight w:val="yellow"/>
        </w:rPr>
        <w:br w:type="page"/>
      </w:r>
    </w:p>
    <w:tbl>
      <w:tblPr>
        <w:tblW w:w="9829" w:type="dxa"/>
        <w:jc w:val="center"/>
        <w:tblCellMar>
          <w:left w:w="70" w:type="dxa"/>
          <w:right w:w="70" w:type="dxa"/>
        </w:tblCellMar>
        <w:tblLook w:val="04A0"/>
      </w:tblPr>
      <w:tblGrid>
        <w:gridCol w:w="6844"/>
        <w:gridCol w:w="1107"/>
        <w:gridCol w:w="1878"/>
      </w:tblGrid>
      <w:tr w:rsidR="00C13EB0" w:rsidRPr="00F55B63" w:rsidTr="00EC232B">
        <w:trPr>
          <w:trHeight w:val="170"/>
          <w:jc w:val="center"/>
        </w:trPr>
        <w:tc>
          <w:tcPr>
            <w:tcW w:w="6844" w:type="dxa"/>
            <w:tcBorders>
              <w:top w:val="nil"/>
              <w:left w:val="nil"/>
              <w:bottom w:val="single" w:sz="4" w:space="0" w:color="auto"/>
              <w:right w:val="nil"/>
            </w:tcBorders>
            <w:shd w:val="clear" w:color="auto" w:fill="auto"/>
            <w:noWrap/>
            <w:vAlign w:val="center"/>
            <w:hideMark/>
          </w:tcPr>
          <w:p w:rsidR="00C13EB0" w:rsidRPr="00F3551F" w:rsidRDefault="00C13EB0" w:rsidP="00B64374">
            <w:pPr>
              <w:widowControl/>
              <w:jc w:val="left"/>
              <w:rPr>
                <w:b/>
                <w:bCs/>
                <w:sz w:val="20"/>
                <w:szCs w:val="20"/>
              </w:rPr>
            </w:pPr>
            <w:r w:rsidRPr="00F3551F">
              <w:rPr>
                <w:b/>
                <w:bCs/>
                <w:sz w:val="20"/>
                <w:szCs w:val="20"/>
              </w:rPr>
              <w:lastRenderedPageBreak/>
              <w:t xml:space="preserve">ГРУПА БЪЛГАРСКА ФОНДОВА БОРСА </w:t>
            </w:r>
          </w:p>
        </w:tc>
        <w:tc>
          <w:tcPr>
            <w:tcW w:w="1107"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878"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C13EB0" w:rsidRPr="00F55B63" w:rsidTr="00EC232B">
        <w:trPr>
          <w:trHeight w:val="170"/>
          <w:jc w:val="center"/>
        </w:trPr>
        <w:tc>
          <w:tcPr>
            <w:tcW w:w="6844" w:type="dxa"/>
            <w:tcBorders>
              <w:top w:val="nil"/>
              <w:left w:val="nil"/>
              <w:bottom w:val="nil"/>
              <w:right w:val="nil"/>
            </w:tcBorders>
            <w:shd w:val="clear" w:color="auto" w:fill="auto"/>
            <w:noWrap/>
            <w:vAlign w:val="center"/>
            <w:hideMark/>
          </w:tcPr>
          <w:p w:rsidR="00C13EB0" w:rsidRPr="00F3551F" w:rsidRDefault="00C13EB0" w:rsidP="00B64374">
            <w:pPr>
              <w:widowControl/>
              <w:jc w:val="left"/>
              <w:rPr>
                <w:b/>
                <w:bCs/>
                <w:sz w:val="20"/>
                <w:szCs w:val="20"/>
              </w:rPr>
            </w:pPr>
            <w:r w:rsidRPr="00F3551F">
              <w:rPr>
                <w:b/>
                <w:bCs/>
                <w:sz w:val="20"/>
                <w:szCs w:val="20"/>
              </w:rPr>
              <w:t xml:space="preserve">КОНСОЛИДИРАН ОТЧЕТ ЗА ПАРИЧНИТЕ ПОТОЦИ </w:t>
            </w:r>
          </w:p>
        </w:tc>
        <w:tc>
          <w:tcPr>
            <w:tcW w:w="1107"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878"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C13EB0" w:rsidRPr="00F55B63" w:rsidTr="00EC232B">
        <w:trPr>
          <w:trHeight w:val="170"/>
          <w:jc w:val="center"/>
        </w:trPr>
        <w:tc>
          <w:tcPr>
            <w:tcW w:w="6844" w:type="dxa"/>
            <w:tcBorders>
              <w:top w:val="nil"/>
              <w:left w:val="nil"/>
              <w:bottom w:val="nil"/>
              <w:right w:val="nil"/>
            </w:tcBorders>
            <w:shd w:val="clear" w:color="auto" w:fill="auto"/>
            <w:noWrap/>
            <w:vAlign w:val="center"/>
            <w:hideMark/>
          </w:tcPr>
          <w:p w:rsidR="00C13EB0" w:rsidRPr="00F3551F" w:rsidRDefault="00C13EB0" w:rsidP="00E214F6">
            <w:pPr>
              <w:widowControl/>
              <w:jc w:val="left"/>
              <w:rPr>
                <w:b/>
                <w:bCs/>
                <w:color w:val="000000"/>
                <w:sz w:val="20"/>
                <w:szCs w:val="20"/>
              </w:rPr>
            </w:pPr>
            <w:r w:rsidRPr="00F3551F">
              <w:rPr>
                <w:b/>
                <w:bCs/>
                <w:color w:val="000000"/>
                <w:sz w:val="20"/>
                <w:szCs w:val="20"/>
              </w:rPr>
              <w:t>за годината, завършваща на 31 март 20</w:t>
            </w:r>
            <w:r w:rsidR="00E214F6" w:rsidRPr="00F3551F">
              <w:rPr>
                <w:b/>
                <w:bCs/>
                <w:color w:val="000000"/>
                <w:sz w:val="20"/>
                <w:szCs w:val="20"/>
                <w:lang w:val="en-US"/>
              </w:rPr>
              <w:t>20</w:t>
            </w:r>
            <w:r w:rsidRPr="00F3551F">
              <w:rPr>
                <w:b/>
                <w:bCs/>
                <w:color w:val="000000"/>
                <w:sz w:val="20"/>
                <w:szCs w:val="20"/>
              </w:rPr>
              <w:t xml:space="preserve"> година</w:t>
            </w:r>
          </w:p>
        </w:tc>
        <w:tc>
          <w:tcPr>
            <w:tcW w:w="1107"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878"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r>
      <w:tr w:rsidR="00C13EB0" w:rsidRPr="00F55B63" w:rsidTr="00EC232B">
        <w:trPr>
          <w:trHeight w:val="170"/>
          <w:jc w:val="center"/>
        </w:trPr>
        <w:tc>
          <w:tcPr>
            <w:tcW w:w="6844" w:type="dxa"/>
            <w:tcBorders>
              <w:top w:val="nil"/>
              <w:left w:val="nil"/>
              <w:bottom w:val="nil"/>
              <w:right w:val="nil"/>
            </w:tcBorders>
            <w:shd w:val="clear" w:color="auto" w:fill="auto"/>
            <w:noWrap/>
            <w:vAlign w:val="center"/>
            <w:hideMark/>
          </w:tcPr>
          <w:p w:rsidR="00C13EB0" w:rsidRPr="00F55B63" w:rsidRDefault="00C13EB0" w:rsidP="00B64374">
            <w:pPr>
              <w:widowControl/>
              <w:jc w:val="left"/>
              <w:rPr>
                <w:sz w:val="20"/>
                <w:szCs w:val="20"/>
                <w:highlight w:val="yellow"/>
              </w:rPr>
            </w:pPr>
          </w:p>
        </w:tc>
        <w:tc>
          <w:tcPr>
            <w:tcW w:w="1107" w:type="dxa"/>
            <w:tcBorders>
              <w:top w:val="nil"/>
              <w:left w:val="nil"/>
              <w:bottom w:val="nil"/>
              <w:right w:val="nil"/>
            </w:tcBorders>
            <w:shd w:val="clear" w:color="auto" w:fill="auto"/>
            <w:noWrap/>
            <w:vAlign w:val="bottom"/>
            <w:hideMark/>
          </w:tcPr>
          <w:p w:rsidR="00C13EB0" w:rsidRPr="006648C7" w:rsidRDefault="00C13EB0" w:rsidP="00E214F6">
            <w:pPr>
              <w:widowControl/>
              <w:jc w:val="right"/>
              <w:rPr>
                <w:b/>
                <w:bCs/>
                <w:sz w:val="20"/>
                <w:szCs w:val="20"/>
                <w:lang w:val="en-US"/>
              </w:rPr>
            </w:pPr>
            <w:r w:rsidRPr="006648C7">
              <w:rPr>
                <w:b/>
                <w:bCs/>
                <w:sz w:val="20"/>
                <w:szCs w:val="20"/>
              </w:rPr>
              <w:t>31.03.20</w:t>
            </w:r>
            <w:r w:rsidR="00E214F6" w:rsidRPr="006648C7">
              <w:rPr>
                <w:b/>
                <w:bCs/>
                <w:sz w:val="20"/>
                <w:szCs w:val="20"/>
                <w:lang w:val="en-US"/>
              </w:rPr>
              <w:t>20</w:t>
            </w:r>
          </w:p>
        </w:tc>
        <w:tc>
          <w:tcPr>
            <w:tcW w:w="1878" w:type="dxa"/>
            <w:tcBorders>
              <w:top w:val="nil"/>
              <w:left w:val="nil"/>
              <w:bottom w:val="nil"/>
              <w:right w:val="nil"/>
            </w:tcBorders>
            <w:shd w:val="clear" w:color="auto" w:fill="auto"/>
            <w:noWrap/>
            <w:vAlign w:val="bottom"/>
            <w:hideMark/>
          </w:tcPr>
          <w:p w:rsidR="00C13EB0" w:rsidRPr="006648C7" w:rsidRDefault="00C13EB0" w:rsidP="00EC232B">
            <w:pPr>
              <w:widowControl/>
              <w:tabs>
                <w:tab w:val="left" w:pos="76"/>
              </w:tabs>
              <w:ind w:left="-73" w:firstLine="73"/>
              <w:jc w:val="right"/>
              <w:rPr>
                <w:b/>
                <w:bCs/>
                <w:sz w:val="20"/>
                <w:szCs w:val="20"/>
                <w:lang w:val="en-US"/>
              </w:rPr>
            </w:pPr>
            <w:r w:rsidRPr="006648C7">
              <w:rPr>
                <w:b/>
                <w:bCs/>
                <w:sz w:val="20"/>
                <w:szCs w:val="20"/>
              </w:rPr>
              <w:t>31.03.201</w:t>
            </w:r>
            <w:r w:rsidR="00E214F6" w:rsidRPr="006648C7">
              <w:rPr>
                <w:b/>
                <w:bCs/>
                <w:sz w:val="20"/>
                <w:szCs w:val="20"/>
                <w:lang w:val="en-US"/>
              </w:rPr>
              <w:t>9</w:t>
            </w:r>
            <w:r w:rsidR="00EC232B" w:rsidRPr="006648C7">
              <w:rPr>
                <w:b/>
                <w:bCs/>
                <w:sz w:val="20"/>
                <w:szCs w:val="20"/>
                <w:lang w:val="en-US"/>
              </w:rPr>
              <w:t>*</w:t>
            </w:r>
            <w:r w:rsidR="00EC232B" w:rsidRPr="006648C7">
              <w:rPr>
                <w:b/>
                <w:bCs/>
                <w:sz w:val="20"/>
                <w:szCs w:val="20"/>
              </w:rPr>
              <w:t>,</w:t>
            </w:r>
            <w:r w:rsidR="00EC232B" w:rsidRPr="006648C7">
              <w:rPr>
                <w:b/>
                <w:bCs/>
                <w:sz w:val="20"/>
                <w:szCs w:val="20"/>
                <w:lang w:val="en-US"/>
              </w:rPr>
              <w:t>**</w:t>
            </w:r>
          </w:p>
        </w:tc>
      </w:tr>
      <w:tr w:rsidR="00C13EB0" w:rsidRPr="00F55B63" w:rsidTr="00EC232B">
        <w:trPr>
          <w:trHeight w:val="170"/>
          <w:jc w:val="center"/>
        </w:trPr>
        <w:tc>
          <w:tcPr>
            <w:tcW w:w="6844" w:type="dxa"/>
            <w:tcBorders>
              <w:top w:val="nil"/>
              <w:left w:val="nil"/>
              <w:bottom w:val="nil"/>
              <w:right w:val="nil"/>
            </w:tcBorders>
            <w:shd w:val="clear" w:color="auto" w:fill="auto"/>
            <w:noWrap/>
            <w:vAlign w:val="center"/>
            <w:hideMark/>
          </w:tcPr>
          <w:p w:rsidR="00C13EB0" w:rsidRPr="00F55B63" w:rsidRDefault="00C13EB0" w:rsidP="00B64374">
            <w:pPr>
              <w:widowControl/>
              <w:jc w:val="right"/>
              <w:rPr>
                <w:b/>
                <w:bCs/>
                <w:sz w:val="20"/>
                <w:szCs w:val="20"/>
                <w:highlight w:val="yellow"/>
              </w:rPr>
            </w:pPr>
          </w:p>
        </w:tc>
        <w:tc>
          <w:tcPr>
            <w:tcW w:w="1107" w:type="dxa"/>
            <w:tcBorders>
              <w:top w:val="nil"/>
              <w:left w:val="nil"/>
              <w:bottom w:val="nil"/>
              <w:right w:val="nil"/>
            </w:tcBorders>
            <w:shd w:val="clear" w:color="auto" w:fill="auto"/>
            <w:noWrap/>
            <w:vAlign w:val="center"/>
            <w:hideMark/>
          </w:tcPr>
          <w:p w:rsidR="00C13EB0" w:rsidRPr="006648C7" w:rsidRDefault="00C13EB0" w:rsidP="00B64374">
            <w:pPr>
              <w:widowControl/>
              <w:jc w:val="right"/>
              <w:rPr>
                <w:b/>
                <w:bCs/>
                <w:sz w:val="20"/>
                <w:szCs w:val="20"/>
              </w:rPr>
            </w:pPr>
            <w:r w:rsidRPr="006648C7">
              <w:rPr>
                <w:b/>
                <w:bCs/>
                <w:sz w:val="20"/>
                <w:szCs w:val="20"/>
              </w:rPr>
              <w:t xml:space="preserve"> BGN'000</w:t>
            </w:r>
          </w:p>
        </w:tc>
        <w:tc>
          <w:tcPr>
            <w:tcW w:w="1878" w:type="dxa"/>
            <w:tcBorders>
              <w:top w:val="nil"/>
              <w:left w:val="nil"/>
              <w:bottom w:val="nil"/>
              <w:right w:val="nil"/>
            </w:tcBorders>
            <w:shd w:val="clear" w:color="auto" w:fill="auto"/>
            <w:noWrap/>
            <w:vAlign w:val="center"/>
            <w:hideMark/>
          </w:tcPr>
          <w:p w:rsidR="00C13EB0" w:rsidRPr="006648C7" w:rsidRDefault="00C13EB0" w:rsidP="00B64374">
            <w:pPr>
              <w:widowControl/>
              <w:jc w:val="right"/>
              <w:rPr>
                <w:b/>
                <w:bCs/>
                <w:sz w:val="20"/>
                <w:szCs w:val="20"/>
              </w:rPr>
            </w:pPr>
            <w:r w:rsidRPr="006648C7">
              <w:rPr>
                <w:b/>
                <w:bCs/>
                <w:sz w:val="20"/>
                <w:szCs w:val="20"/>
              </w:rPr>
              <w:t xml:space="preserve"> BGN'000</w:t>
            </w:r>
          </w:p>
        </w:tc>
      </w:tr>
      <w:tr w:rsidR="00C13EB0" w:rsidRPr="00F55B63" w:rsidTr="00EC232B">
        <w:trPr>
          <w:trHeight w:val="170"/>
          <w:jc w:val="center"/>
        </w:trPr>
        <w:tc>
          <w:tcPr>
            <w:tcW w:w="6844" w:type="dxa"/>
            <w:tcBorders>
              <w:top w:val="nil"/>
              <w:left w:val="nil"/>
              <w:bottom w:val="nil"/>
              <w:right w:val="nil"/>
            </w:tcBorders>
            <w:shd w:val="clear" w:color="auto" w:fill="auto"/>
            <w:noWrap/>
            <w:vAlign w:val="center"/>
            <w:hideMark/>
          </w:tcPr>
          <w:p w:rsidR="00C13EB0" w:rsidRPr="00F55B63" w:rsidRDefault="00C13EB0" w:rsidP="00B64374">
            <w:pPr>
              <w:widowControl/>
              <w:jc w:val="right"/>
              <w:rPr>
                <w:b/>
                <w:bCs/>
                <w:color w:val="000000"/>
                <w:sz w:val="20"/>
                <w:szCs w:val="20"/>
                <w:highlight w:val="yellow"/>
              </w:rPr>
            </w:pPr>
          </w:p>
        </w:tc>
        <w:tc>
          <w:tcPr>
            <w:tcW w:w="1107" w:type="dxa"/>
            <w:tcBorders>
              <w:top w:val="nil"/>
              <w:left w:val="nil"/>
              <w:bottom w:val="nil"/>
              <w:right w:val="nil"/>
            </w:tcBorders>
            <w:shd w:val="clear" w:color="auto" w:fill="auto"/>
            <w:noWrap/>
            <w:vAlign w:val="center"/>
            <w:hideMark/>
          </w:tcPr>
          <w:p w:rsidR="00C13EB0" w:rsidRPr="006648C7" w:rsidRDefault="00C13EB0" w:rsidP="00B64374">
            <w:pPr>
              <w:widowControl/>
              <w:jc w:val="right"/>
              <w:rPr>
                <w:sz w:val="20"/>
                <w:szCs w:val="20"/>
              </w:rPr>
            </w:pPr>
          </w:p>
        </w:tc>
        <w:tc>
          <w:tcPr>
            <w:tcW w:w="1878" w:type="dxa"/>
            <w:tcBorders>
              <w:top w:val="nil"/>
              <w:left w:val="nil"/>
              <w:bottom w:val="nil"/>
              <w:right w:val="nil"/>
            </w:tcBorders>
            <w:shd w:val="clear" w:color="auto" w:fill="auto"/>
            <w:noWrap/>
            <w:vAlign w:val="center"/>
            <w:hideMark/>
          </w:tcPr>
          <w:p w:rsidR="00C13EB0" w:rsidRPr="006648C7" w:rsidRDefault="00C13EB0" w:rsidP="00B64374">
            <w:pPr>
              <w:widowControl/>
              <w:jc w:val="right"/>
              <w:rPr>
                <w:sz w:val="20"/>
                <w:szCs w:val="20"/>
              </w:rPr>
            </w:pPr>
          </w:p>
        </w:tc>
      </w:tr>
      <w:tr w:rsidR="00C13EB0" w:rsidRPr="00F55B63" w:rsidTr="00EC232B">
        <w:trPr>
          <w:trHeight w:val="170"/>
          <w:jc w:val="center"/>
        </w:trPr>
        <w:tc>
          <w:tcPr>
            <w:tcW w:w="6844" w:type="dxa"/>
            <w:tcBorders>
              <w:top w:val="nil"/>
              <w:left w:val="nil"/>
              <w:bottom w:val="nil"/>
              <w:right w:val="nil"/>
            </w:tcBorders>
            <w:shd w:val="clear" w:color="auto" w:fill="auto"/>
            <w:noWrap/>
            <w:hideMark/>
          </w:tcPr>
          <w:p w:rsidR="00C13EB0" w:rsidRPr="006648C7" w:rsidRDefault="00C13EB0" w:rsidP="00B64374">
            <w:pPr>
              <w:widowControl/>
              <w:jc w:val="left"/>
              <w:rPr>
                <w:b/>
                <w:bCs/>
                <w:color w:val="000000"/>
                <w:sz w:val="20"/>
                <w:szCs w:val="20"/>
              </w:rPr>
            </w:pPr>
            <w:r w:rsidRPr="006648C7">
              <w:rPr>
                <w:b/>
                <w:bCs/>
                <w:color w:val="000000"/>
                <w:sz w:val="20"/>
                <w:szCs w:val="20"/>
              </w:rPr>
              <w:t>Парични потоци от оперативна дейност</w:t>
            </w:r>
          </w:p>
        </w:tc>
        <w:tc>
          <w:tcPr>
            <w:tcW w:w="1107" w:type="dxa"/>
            <w:tcBorders>
              <w:top w:val="nil"/>
              <w:left w:val="nil"/>
              <w:bottom w:val="nil"/>
              <w:right w:val="nil"/>
            </w:tcBorders>
            <w:shd w:val="clear" w:color="auto" w:fill="auto"/>
            <w:noWrap/>
            <w:vAlign w:val="bottom"/>
            <w:hideMark/>
          </w:tcPr>
          <w:p w:rsidR="00C13EB0" w:rsidRPr="006648C7" w:rsidRDefault="00C13EB0"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C13EB0" w:rsidRPr="006648C7" w:rsidRDefault="00C13EB0" w:rsidP="00B64374">
            <w:pPr>
              <w:widowControl/>
              <w:jc w:val="right"/>
              <w:rPr>
                <w:sz w:val="20"/>
                <w:szCs w:val="20"/>
              </w:rPr>
            </w:pP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6648C7" w:rsidRDefault="009234C0" w:rsidP="00B64374">
            <w:pPr>
              <w:widowControl/>
              <w:jc w:val="left"/>
              <w:rPr>
                <w:color w:val="000000"/>
                <w:sz w:val="20"/>
                <w:szCs w:val="20"/>
              </w:rPr>
            </w:pPr>
            <w:r w:rsidRPr="006648C7">
              <w:rPr>
                <w:color w:val="000000"/>
                <w:sz w:val="20"/>
                <w:szCs w:val="20"/>
              </w:rPr>
              <w:t>Постъпления от клиенти</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326 563 </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237 159 </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CE6C53">
            <w:pPr>
              <w:widowControl/>
              <w:jc w:val="left"/>
              <w:rPr>
                <w:color w:val="000000"/>
                <w:sz w:val="20"/>
                <w:szCs w:val="20"/>
              </w:rPr>
            </w:pPr>
            <w:r w:rsidRPr="00EE3DCE">
              <w:rPr>
                <w:color w:val="000000"/>
                <w:sz w:val="20"/>
                <w:szCs w:val="20"/>
              </w:rPr>
              <w:t>Постъпления от продажби на електрическа енергия</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32</w:t>
            </w:r>
            <w:r>
              <w:rPr>
                <w:sz w:val="20"/>
                <w:szCs w:val="20"/>
              </w:rPr>
              <w:t>2</w:t>
            </w:r>
            <w:r w:rsidRPr="006648C7">
              <w:rPr>
                <w:sz w:val="20"/>
                <w:szCs w:val="20"/>
              </w:rPr>
              <w:t xml:space="preserve"> </w:t>
            </w:r>
            <w:r>
              <w:rPr>
                <w:sz w:val="20"/>
                <w:szCs w:val="20"/>
              </w:rPr>
              <w:t>809</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22</w:t>
            </w:r>
            <w:r>
              <w:rPr>
                <w:sz w:val="20"/>
                <w:szCs w:val="20"/>
                <w:lang w:val="en-US"/>
              </w:rPr>
              <w:t>6 886</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DE6EF8">
            <w:pPr>
              <w:widowControl/>
              <w:jc w:val="left"/>
              <w:rPr>
                <w:sz w:val="20"/>
                <w:szCs w:val="20"/>
              </w:rPr>
            </w:pPr>
            <w:r w:rsidRPr="00EE3DCE">
              <w:rPr>
                <w:color w:val="000000"/>
                <w:sz w:val="20"/>
                <w:szCs w:val="20"/>
              </w:rPr>
              <w:t xml:space="preserve">Постъпления от </w:t>
            </w:r>
            <w:r w:rsidR="00DE6EF8" w:rsidRPr="00EE3DCE">
              <w:rPr>
                <w:color w:val="000000"/>
                <w:sz w:val="20"/>
                <w:szCs w:val="20"/>
              </w:rPr>
              <w:t>такси</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Pr>
                <w:sz w:val="20"/>
                <w:szCs w:val="20"/>
              </w:rPr>
              <w:t>2 642</w:t>
            </w:r>
          </w:p>
        </w:tc>
        <w:tc>
          <w:tcPr>
            <w:tcW w:w="1878" w:type="dxa"/>
            <w:tcBorders>
              <w:top w:val="nil"/>
              <w:left w:val="nil"/>
              <w:bottom w:val="nil"/>
              <w:right w:val="nil"/>
            </w:tcBorders>
            <w:shd w:val="clear" w:color="auto" w:fill="auto"/>
            <w:noWrap/>
            <w:vAlign w:val="bottom"/>
            <w:hideMark/>
          </w:tcPr>
          <w:p w:rsidR="009234C0" w:rsidRPr="00BE37CC" w:rsidRDefault="009234C0" w:rsidP="002A2DB4">
            <w:pPr>
              <w:widowControl/>
              <w:jc w:val="right"/>
              <w:rPr>
                <w:sz w:val="20"/>
                <w:szCs w:val="20"/>
                <w:lang w:val="en-US"/>
              </w:rPr>
            </w:pPr>
            <w:r>
              <w:rPr>
                <w:sz w:val="20"/>
                <w:szCs w:val="20"/>
                <w:lang w:val="en-US"/>
              </w:rPr>
              <w:t>2 150</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Плащания на доставчици в т.ч.</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w:t>
            </w:r>
            <w:r>
              <w:rPr>
                <w:sz w:val="20"/>
                <w:szCs w:val="20"/>
              </w:rPr>
              <w:t>346 076</w:t>
            </w:r>
            <w:r w:rsidRPr="006648C7">
              <w:rPr>
                <w:sz w:val="20"/>
                <w:szCs w:val="20"/>
              </w:rPr>
              <w:t>)</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(251 844)</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Плащания от контрагенти по сделки за покупко-продажба на електрическа енергия</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(345 080)</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(243 803)</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Плащания на персонала и за социалното осигуряване</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(580)</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(596)</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Възстановен/(платен) данък върху печалбата, нетно</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(77)</w:t>
            </w:r>
          </w:p>
        </w:tc>
      </w:tr>
      <w:tr w:rsidR="009234C0" w:rsidRPr="00F55B63"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Възстановен/(платени) данъци (без данъци върху печалбата), нетно</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2 643 </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5 441 </w:t>
            </w:r>
          </w:p>
        </w:tc>
      </w:tr>
      <w:tr w:rsidR="009234C0" w:rsidRPr="006648C7"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Други постъпления /(плащания), нетно</w:t>
            </w:r>
          </w:p>
        </w:tc>
        <w:tc>
          <w:tcPr>
            <w:tcW w:w="1107"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 xml:space="preserve"> (2 485)</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sidRPr="006648C7">
              <w:rPr>
                <w:sz w:val="20"/>
                <w:szCs w:val="20"/>
              </w:rPr>
              <w:t>600</w:t>
            </w:r>
          </w:p>
        </w:tc>
      </w:tr>
      <w:tr w:rsidR="009234C0" w:rsidRPr="006648C7"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rPr>
              <w:t xml:space="preserve">      Постъпления от депозити</w:t>
            </w:r>
          </w:p>
        </w:tc>
        <w:tc>
          <w:tcPr>
            <w:tcW w:w="1107" w:type="dxa"/>
            <w:tcBorders>
              <w:top w:val="nil"/>
              <w:left w:val="nil"/>
              <w:bottom w:val="nil"/>
              <w:right w:val="nil"/>
            </w:tcBorders>
            <w:shd w:val="clear" w:color="auto" w:fill="auto"/>
            <w:noWrap/>
            <w:vAlign w:val="bottom"/>
            <w:hideMark/>
          </w:tcPr>
          <w:p w:rsidR="009234C0" w:rsidRPr="00CE6C53" w:rsidRDefault="009234C0" w:rsidP="002A2DB4">
            <w:pPr>
              <w:widowControl/>
              <w:jc w:val="right"/>
              <w:rPr>
                <w:sz w:val="20"/>
                <w:szCs w:val="20"/>
                <w:lang w:val="en-US"/>
              </w:rPr>
            </w:pPr>
            <w:r>
              <w:rPr>
                <w:sz w:val="20"/>
                <w:szCs w:val="20"/>
                <w:lang w:val="en-US"/>
              </w:rPr>
              <w:t>4 490</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Pr>
                <w:sz w:val="20"/>
                <w:szCs w:val="20"/>
                <w:lang w:val="en-US"/>
              </w:rPr>
              <w:t>7 040</w:t>
            </w:r>
          </w:p>
        </w:tc>
      </w:tr>
      <w:tr w:rsidR="009234C0" w:rsidRPr="006648C7"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B64374">
            <w:pPr>
              <w:widowControl/>
              <w:jc w:val="left"/>
              <w:rPr>
                <w:sz w:val="20"/>
                <w:szCs w:val="20"/>
              </w:rPr>
            </w:pPr>
            <w:r w:rsidRPr="00EE3DCE">
              <w:rPr>
                <w:sz w:val="20"/>
                <w:szCs w:val="20"/>
                <w:lang w:val="en-US"/>
              </w:rPr>
              <w:t xml:space="preserve">      </w:t>
            </w:r>
            <w:r w:rsidRPr="00EE3DCE">
              <w:rPr>
                <w:sz w:val="20"/>
                <w:szCs w:val="20"/>
              </w:rPr>
              <w:t>Плащания по възстановени депозити</w:t>
            </w:r>
          </w:p>
        </w:tc>
        <w:tc>
          <w:tcPr>
            <w:tcW w:w="1107" w:type="dxa"/>
            <w:tcBorders>
              <w:top w:val="nil"/>
              <w:left w:val="nil"/>
              <w:bottom w:val="nil"/>
              <w:right w:val="nil"/>
            </w:tcBorders>
            <w:shd w:val="clear" w:color="auto" w:fill="auto"/>
            <w:noWrap/>
            <w:vAlign w:val="bottom"/>
            <w:hideMark/>
          </w:tcPr>
          <w:p w:rsidR="009234C0" w:rsidRPr="00CE6C53" w:rsidRDefault="009234C0" w:rsidP="002A2DB4">
            <w:pPr>
              <w:widowControl/>
              <w:jc w:val="right"/>
              <w:rPr>
                <w:sz w:val="20"/>
                <w:szCs w:val="20"/>
                <w:lang w:val="en-US"/>
              </w:rPr>
            </w:pPr>
            <w:r>
              <w:rPr>
                <w:sz w:val="20"/>
                <w:szCs w:val="20"/>
                <w:lang w:val="en-US"/>
              </w:rPr>
              <w:t>(6 949)</w:t>
            </w:r>
          </w:p>
        </w:tc>
        <w:tc>
          <w:tcPr>
            <w:tcW w:w="1878" w:type="dxa"/>
            <w:tcBorders>
              <w:top w:val="nil"/>
              <w:left w:val="nil"/>
              <w:bottom w:val="nil"/>
              <w:right w:val="nil"/>
            </w:tcBorders>
            <w:shd w:val="clear" w:color="auto" w:fill="auto"/>
            <w:noWrap/>
            <w:vAlign w:val="bottom"/>
            <w:hideMark/>
          </w:tcPr>
          <w:p w:rsidR="009234C0" w:rsidRPr="006648C7" w:rsidRDefault="009234C0" w:rsidP="002A2DB4">
            <w:pPr>
              <w:widowControl/>
              <w:jc w:val="right"/>
              <w:rPr>
                <w:sz w:val="20"/>
                <w:szCs w:val="20"/>
              </w:rPr>
            </w:pPr>
            <w:r>
              <w:rPr>
                <w:sz w:val="20"/>
                <w:szCs w:val="20"/>
                <w:lang w:val="en-US"/>
              </w:rPr>
              <w:t>(6 485)</w:t>
            </w:r>
          </w:p>
        </w:tc>
      </w:tr>
      <w:tr w:rsidR="009234C0" w:rsidRPr="006648C7" w:rsidTr="00EC232B">
        <w:trPr>
          <w:trHeight w:val="170"/>
          <w:jc w:val="center"/>
        </w:trPr>
        <w:tc>
          <w:tcPr>
            <w:tcW w:w="6844" w:type="dxa"/>
            <w:tcBorders>
              <w:top w:val="nil"/>
              <w:left w:val="nil"/>
              <w:bottom w:val="nil"/>
              <w:right w:val="nil"/>
            </w:tcBorders>
            <w:shd w:val="clear" w:color="auto" w:fill="auto"/>
            <w:hideMark/>
          </w:tcPr>
          <w:p w:rsidR="009234C0" w:rsidRPr="00EE3DCE" w:rsidRDefault="009234C0" w:rsidP="00DE6EF8">
            <w:pPr>
              <w:widowControl/>
              <w:jc w:val="left"/>
              <w:rPr>
                <w:sz w:val="20"/>
                <w:szCs w:val="20"/>
              </w:rPr>
            </w:pPr>
            <w:r w:rsidRPr="00EE3DCE">
              <w:rPr>
                <w:sz w:val="20"/>
                <w:szCs w:val="20"/>
              </w:rPr>
              <w:t xml:space="preserve">      Други постъпления(плащания)</w:t>
            </w:r>
            <w:r w:rsidR="00DE6EF8" w:rsidRPr="00EE3DCE">
              <w:rPr>
                <w:sz w:val="20"/>
                <w:szCs w:val="20"/>
              </w:rPr>
              <w:t xml:space="preserve"> за оперативна дейност</w:t>
            </w:r>
          </w:p>
        </w:tc>
        <w:tc>
          <w:tcPr>
            <w:tcW w:w="1107" w:type="dxa"/>
            <w:tcBorders>
              <w:top w:val="nil"/>
              <w:left w:val="nil"/>
              <w:bottom w:val="nil"/>
              <w:right w:val="nil"/>
            </w:tcBorders>
            <w:shd w:val="clear" w:color="auto" w:fill="auto"/>
            <w:noWrap/>
            <w:vAlign w:val="bottom"/>
            <w:hideMark/>
          </w:tcPr>
          <w:p w:rsidR="009234C0" w:rsidRPr="00CE6C53" w:rsidRDefault="00C57B7E" w:rsidP="002A2DB4">
            <w:pPr>
              <w:widowControl/>
              <w:jc w:val="right"/>
              <w:rPr>
                <w:sz w:val="20"/>
                <w:szCs w:val="20"/>
                <w:lang w:val="en-US"/>
              </w:rPr>
            </w:pPr>
            <w:r>
              <w:rPr>
                <w:sz w:val="20"/>
                <w:szCs w:val="20"/>
                <w:lang w:val="en-US"/>
              </w:rPr>
              <w:t>(5)</w:t>
            </w:r>
          </w:p>
        </w:tc>
        <w:tc>
          <w:tcPr>
            <w:tcW w:w="1878" w:type="dxa"/>
            <w:tcBorders>
              <w:top w:val="nil"/>
              <w:left w:val="nil"/>
              <w:bottom w:val="nil"/>
              <w:right w:val="nil"/>
            </w:tcBorders>
            <w:shd w:val="clear" w:color="auto" w:fill="auto"/>
            <w:noWrap/>
            <w:vAlign w:val="bottom"/>
            <w:hideMark/>
          </w:tcPr>
          <w:p w:rsidR="009234C0" w:rsidRPr="00CE6C53" w:rsidRDefault="009234C0" w:rsidP="002A2DB4">
            <w:pPr>
              <w:widowControl/>
              <w:jc w:val="right"/>
              <w:rPr>
                <w:sz w:val="20"/>
                <w:szCs w:val="20"/>
                <w:lang w:val="en-US"/>
              </w:rPr>
            </w:pPr>
            <w:r>
              <w:rPr>
                <w:sz w:val="20"/>
                <w:szCs w:val="20"/>
                <w:lang w:val="en-US"/>
              </w:rPr>
              <w:t>45</w:t>
            </w:r>
          </w:p>
        </w:tc>
      </w:tr>
      <w:tr w:rsidR="009234C0" w:rsidRPr="006648C7" w:rsidTr="00EC232B">
        <w:trPr>
          <w:trHeight w:val="170"/>
          <w:jc w:val="center"/>
        </w:trPr>
        <w:tc>
          <w:tcPr>
            <w:tcW w:w="6844" w:type="dxa"/>
            <w:tcBorders>
              <w:top w:val="nil"/>
              <w:left w:val="nil"/>
              <w:bottom w:val="nil"/>
              <w:right w:val="nil"/>
            </w:tcBorders>
            <w:shd w:val="clear" w:color="auto" w:fill="auto"/>
            <w:hideMark/>
          </w:tcPr>
          <w:p w:rsidR="009234C0" w:rsidRPr="006648C7" w:rsidRDefault="009234C0" w:rsidP="00EE3DCE">
            <w:pPr>
              <w:widowControl/>
              <w:jc w:val="left"/>
              <w:rPr>
                <w:b/>
                <w:bCs/>
                <w:sz w:val="20"/>
                <w:szCs w:val="20"/>
              </w:rPr>
            </w:pPr>
            <w:r w:rsidRPr="006648C7">
              <w:rPr>
                <w:b/>
                <w:bCs/>
                <w:sz w:val="20"/>
                <w:szCs w:val="20"/>
              </w:rPr>
              <w:t xml:space="preserve">Нетни парични потоци </w:t>
            </w:r>
            <w:r w:rsidR="00EE3DCE">
              <w:rPr>
                <w:b/>
                <w:bCs/>
                <w:sz w:val="20"/>
                <w:szCs w:val="20"/>
              </w:rPr>
              <w:t>от</w:t>
            </w:r>
            <w:r w:rsidRPr="006648C7">
              <w:rPr>
                <w:b/>
                <w:bCs/>
                <w:sz w:val="20"/>
                <w:szCs w:val="20"/>
              </w:rPr>
              <w:t xml:space="preserve"> оперативна дейност</w:t>
            </w:r>
          </w:p>
        </w:tc>
        <w:tc>
          <w:tcPr>
            <w:tcW w:w="1107" w:type="dxa"/>
            <w:tcBorders>
              <w:top w:val="single" w:sz="4" w:space="0" w:color="auto"/>
              <w:left w:val="nil"/>
              <w:bottom w:val="single" w:sz="4" w:space="0" w:color="auto"/>
              <w:right w:val="nil"/>
            </w:tcBorders>
            <w:shd w:val="clear" w:color="auto" w:fill="auto"/>
            <w:noWrap/>
            <w:vAlign w:val="bottom"/>
            <w:hideMark/>
          </w:tcPr>
          <w:p w:rsidR="009234C0" w:rsidRPr="006648C7" w:rsidRDefault="009234C0" w:rsidP="00C57B7E">
            <w:pPr>
              <w:widowControl/>
              <w:jc w:val="right"/>
              <w:rPr>
                <w:b/>
                <w:bCs/>
                <w:sz w:val="20"/>
                <w:szCs w:val="20"/>
              </w:rPr>
            </w:pPr>
            <w:r w:rsidRPr="006648C7">
              <w:rPr>
                <w:b/>
                <w:bCs/>
                <w:sz w:val="20"/>
                <w:szCs w:val="20"/>
              </w:rPr>
              <w:t xml:space="preserve"> (19 9</w:t>
            </w:r>
            <w:r w:rsidR="00C57B7E">
              <w:rPr>
                <w:b/>
                <w:bCs/>
                <w:sz w:val="20"/>
                <w:szCs w:val="20"/>
                <w:lang w:val="en-US"/>
              </w:rPr>
              <w:t>40</w:t>
            </w:r>
            <w:r w:rsidRPr="006648C7">
              <w:rPr>
                <w:b/>
                <w:bCs/>
                <w:sz w:val="20"/>
                <w:szCs w:val="20"/>
              </w:rPr>
              <w:t>)</w:t>
            </w:r>
          </w:p>
        </w:tc>
        <w:tc>
          <w:tcPr>
            <w:tcW w:w="1878" w:type="dxa"/>
            <w:tcBorders>
              <w:top w:val="single" w:sz="4" w:space="0" w:color="auto"/>
              <w:left w:val="nil"/>
              <w:bottom w:val="single" w:sz="4" w:space="0" w:color="auto"/>
              <w:right w:val="nil"/>
            </w:tcBorders>
            <w:shd w:val="clear" w:color="auto" w:fill="auto"/>
            <w:noWrap/>
            <w:vAlign w:val="bottom"/>
            <w:hideMark/>
          </w:tcPr>
          <w:p w:rsidR="009234C0" w:rsidRPr="006648C7" w:rsidRDefault="009234C0" w:rsidP="002A2DB4">
            <w:pPr>
              <w:widowControl/>
              <w:jc w:val="right"/>
              <w:rPr>
                <w:b/>
                <w:bCs/>
                <w:sz w:val="20"/>
                <w:szCs w:val="20"/>
              </w:rPr>
            </w:pPr>
            <w:r w:rsidRPr="006648C7">
              <w:rPr>
                <w:b/>
                <w:bCs/>
                <w:sz w:val="20"/>
                <w:szCs w:val="20"/>
              </w:rPr>
              <w:t xml:space="preserve"> (9 272)</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F55B63" w:rsidRDefault="00BE37CC" w:rsidP="00B64374">
            <w:pPr>
              <w:widowControl/>
              <w:jc w:val="right"/>
              <w:rPr>
                <w:b/>
                <w:bCs/>
                <w:sz w:val="20"/>
                <w:szCs w:val="20"/>
                <w:highlight w:val="yellow"/>
              </w:rPr>
            </w:pP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highlight w:val="yellow"/>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highlight w:val="yellow"/>
              </w:rPr>
            </w:pP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b/>
                <w:bCs/>
                <w:sz w:val="20"/>
                <w:szCs w:val="20"/>
              </w:rPr>
            </w:pPr>
            <w:r w:rsidRPr="0058613A">
              <w:rPr>
                <w:b/>
                <w:bCs/>
                <w:sz w:val="20"/>
                <w:szCs w:val="20"/>
              </w:rPr>
              <w:t>Парични потоци от инвестиционна дейност</w:t>
            </w: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sz w:val="20"/>
                <w:szCs w:val="20"/>
              </w:rPr>
            </w:pPr>
            <w:r w:rsidRPr="0058613A">
              <w:rPr>
                <w:sz w:val="20"/>
                <w:szCs w:val="20"/>
              </w:rPr>
              <w:t>Покупки на машини и оборудване</w:t>
            </w:r>
          </w:p>
        </w:tc>
        <w:tc>
          <w:tcPr>
            <w:tcW w:w="1107" w:type="dxa"/>
            <w:tcBorders>
              <w:top w:val="nil"/>
              <w:left w:val="nil"/>
              <w:bottom w:val="nil"/>
              <w:right w:val="nil"/>
            </w:tcBorders>
            <w:shd w:val="clear" w:color="auto" w:fill="auto"/>
            <w:noWrap/>
            <w:vAlign w:val="bottom"/>
            <w:hideMark/>
          </w:tcPr>
          <w:p w:rsidR="00BE37CC" w:rsidRPr="0058613A" w:rsidRDefault="00BE37CC" w:rsidP="0058613A">
            <w:pPr>
              <w:widowControl/>
              <w:jc w:val="right"/>
              <w:rPr>
                <w:sz w:val="20"/>
                <w:szCs w:val="20"/>
              </w:rPr>
            </w:pPr>
            <w:r w:rsidRPr="0058613A">
              <w:rPr>
                <w:sz w:val="20"/>
                <w:szCs w:val="20"/>
              </w:rPr>
              <w:t xml:space="preserve"> (96)</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(2)</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sz w:val="20"/>
                <w:szCs w:val="20"/>
              </w:rPr>
            </w:pPr>
            <w:r w:rsidRPr="0058613A">
              <w:rPr>
                <w:sz w:val="20"/>
                <w:szCs w:val="20"/>
              </w:rPr>
              <w:t>Покупки на нематериални активи</w:t>
            </w:r>
          </w:p>
        </w:tc>
        <w:tc>
          <w:tcPr>
            <w:tcW w:w="1107" w:type="dxa"/>
            <w:tcBorders>
              <w:top w:val="nil"/>
              <w:left w:val="nil"/>
              <w:bottom w:val="nil"/>
              <w:right w:val="nil"/>
            </w:tcBorders>
            <w:shd w:val="clear" w:color="auto" w:fill="auto"/>
            <w:noWrap/>
            <w:vAlign w:val="bottom"/>
            <w:hideMark/>
          </w:tcPr>
          <w:p w:rsidR="00BE37CC" w:rsidRPr="0058613A" w:rsidRDefault="00BE37CC" w:rsidP="0058613A">
            <w:pPr>
              <w:widowControl/>
              <w:jc w:val="right"/>
              <w:rPr>
                <w:sz w:val="20"/>
                <w:szCs w:val="20"/>
              </w:rPr>
            </w:pPr>
            <w:r w:rsidRPr="0058613A">
              <w:rPr>
                <w:sz w:val="20"/>
                <w:szCs w:val="20"/>
              </w:rPr>
              <w:t xml:space="preserve">(5) </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58613A">
            <w:pPr>
              <w:widowControl/>
              <w:jc w:val="left"/>
              <w:rPr>
                <w:sz w:val="20"/>
                <w:szCs w:val="20"/>
              </w:rPr>
            </w:pPr>
            <w:r w:rsidRPr="0058613A">
              <w:rPr>
                <w:sz w:val="20"/>
                <w:szCs w:val="20"/>
              </w:rPr>
              <w:t>Плащания за придобиване на дъщерни дружества, нетно получени парични средства</w:t>
            </w:r>
          </w:p>
        </w:tc>
        <w:tc>
          <w:tcPr>
            <w:tcW w:w="1107" w:type="dxa"/>
            <w:tcBorders>
              <w:top w:val="nil"/>
              <w:left w:val="nil"/>
              <w:bottom w:val="nil"/>
              <w:right w:val="nil"/>
            </w:tcBorders>
            <w:shd w:val="clear" w:color="auto" w:fill="auto"/>
            <w:noWrap/>
            <w:vAlign w:val="bottom"/>
            <w:hideMark/>
          </w:tcPr>
          <w:p w:rsidR="00BE37CC" w:rsidRPr="0058613A" w:rsidRDefault="00BE37CC" w:rsidP="00C57B7E">
            <w:pPr>
              <w:widowControl/>
              <w:jc w:val="right"/>
              <w:rPr>
                <w:sz w:val="20"/>
                <w:szCs w:val="20"/>
              </w:rPr>
            </w:pPr>
            <w:r w:rsidRPr="0058613A">
              <w:rPr>
                <w:sz w:val="20"/>
                <w:szCs w:val="20"/>
              </w:rPr>
              <w:t xml:space="preserve"> 68 9</w:t>
            </w:r>
            <w:r w:rsidR="00C57B7E">
              <w:rPr>
                <w:sz w:val="20"/>
                <w:szCs w:val="20"/>
                <w:lang w:val="en-US"/>
              </w:rPr>
              <w:t>55</w:t>
            </w:r>
            <w:r w:rsidRPr="0058613A">
              <w:rPr>
                <w:sz w:val="20"/>
                <w:szCs w:val="20"/>
              </w:rPr>
              <w:t xml:space="preserve"> </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68 513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sz w:val="20"/>
                <w:szCs w:val="20"/>
              </w:rPr>
            </w:pPr>
            <w:r w:rsidRPr="0058613A">
              <w:rPr>
                <w:sz w:val="20"/>
                <w:szCs w:val="20"/>
              </w:rPr>
              <w:t>Постъпления от продажба и лихви от инвестиции във финансови активи оценявани по амортизирана стойност</w:t>
            </w: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r w:rsidRPr="0058613A">
              <w:rPr>
                <w:sz w:val="20"/>
                <w:szCs w:val="20"/>
              </w:rPr>
              <w:t xml:space="preserve"> - </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58613A">
            <w:pPr>
              <w:widowControl/>
              <w:jc w:val="left"/>
              <w:rPr>
                <w:sz w:val="20"/>
                <w:szCs w:val="20"/>
              </w:rPr>
            </w:pPr>
            <w:r w:rsidRPr="0058613A">
              <w:rPr>
                <w:sz w:val="20"/>
                <w:szCs w:val="20"/>
              </w:rPr>
              <w:t>Постъпления от лихви и дивиденти от инвестиции във финансови активи оценявани по справедлива стойност през ДВД</w:t>
            </w: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r w:rsidRPr="0058613A">
              <w:rPr>
                <w:sz w:val="20"/>
                <w:szCs w:val="20"/>
              </w:rPr>
              <w:t xml:space="preserve"> 42 </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42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b/>
                <w:bCs/>
                <w:sz w:val="20"/>
                <w:szCs w:val="20"/>
              </w:rPr>
            </w:pPr>
            <w:r w:rsidRPr="0058613A">
              <w:rPr>
                <w:b/>
                <w:bCs/>
                <w:sz w:val="20"/>
                <w:szCs w:val="20"/>
              </w:rPr>
              <w:t>Нетни парични потоци от инвестиционната дейност</w:t>
            </w:r>
          </w:p>
        </w:tc>
        <w:tc>
          <w:tcPr>
            <w:tcW w:w="1107"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C57B7E">
            <w:pPr>
              <w:widowControl/>
              <w:jc w:val="right"/>
              <w:rPr>
                <w:b/>
                <w:bCs/>
                <w:sz w:val="20"/>
                <w:szCs w:val="20"/>
              </w:rPr>
            </w:pPr>
            <w:r w:rsidRPr="0058613A">
              <w:rPr>
                <w:b/>
                <w:bCs/>
                <w:sz w:val="20"/>
                <w:szCs w:val="20"/>
              </w:rPr>
              <w:t xml:space="preserve"> 68 8</w:t>
            </w:r>
            <w:r w:rsidR="00C57B7E">
              <w:rPr>
                <w:b/>
                <w:bCs/>
                <w:sz w:val="20"/>
                <w:szCs w:val="20"/>
                <w:lang w:val="en-US"/>
              </w:rPr>
              <w:t>96</w:t>
            </w:r>
            <w:r w:rsidRPr="0058613A">
              <w:rPr>
                <w:b/>
                <w:bCs/>
                <w:sz w:val="20"/>
                <w:szCs w:val="20"/>
              </w:rPr>
              <w:t xml:space="preserve"> </w:t>
            </w:r>
          </w:p>
        </w:tc>
        <w:tc>
          <w:tcPr>
            <w:tcW w:w="1878"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413000">
            <w:pPr>
              <w:widowControl/>
              <w:jc w:val="right"/>
              <w:rPr>
                <w:b/>
                <w:bCs/>
                <w:sz w:val="20"/>
                <w:szCs w:val="20"/>
              </w:rPr>
            </w:pPr>
            <w:r w:rsidRPr="0058613A">
              <w:rPr>
                <w:b/>
                <w:bCs/>
                <w:sz w:val="20"/>
                <w:szCs w:val="20"/>
              </w:rPr>
              <w:t xml:space="preserve"> 68 553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right"/>
              <w:rPr>
                <w:b/>
                <w:bCs/>
                <w:sz w:val="20"/>
                <w:szCs w:val="20"/>
              </w:rPr>
            </w:pP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EC232B">
        <w:trPr>
          <w:trHeight w:val="170"/>
          <w:jc w:val="center"/>
        </w:trPr>
        <w:tc>
          <w:tcPr>
            <w:tcW w:w="6844" w:type="dxa"/>
            <w:tcBorders>
              <w:top w:val="nil"/>
              <w:left w:val="nil"/>
              <w:bottom w:val="nil"/>
              <w:right w:val="nil"/>
            </w:tcBorders>
            <w:shd w:val="clear" w:color="auto" w:fill="auto"/>
            <w:noWrap/>
            <w:hideMark/>
          </w:tcPr>
          <w:p w:rsidR="00BE37CC" w:rsidRPr="0058613A" w:rsidRDefault="00BE37CC" w:rsidP="00B64374">
            <w:pPr>
              <w:widowControl/>
              <w:jc w:val="left"/>
              <w:rPr>
                <w:b/>
                <w:bCs/>
                <w:color w:val="000000"/>
                <w:sz w:val="20"/>
                <w:szCs w:val="20"/>
              </w:rPr>
            </w:pPr>
            <w:r w:rsidRPr="0058613A">
              <w:rPr>
                <w:b/>
                <w:bCs/>
                <w:color w:val="000000"/>
                <w:sz w:val="20"/>
                <w:szCs w:val="20"/>
              </w:rPr>
              <w:t>Парични потоци от финансова дейност</w:t>
            </w: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EC232B">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left"/>
              <w:rPr>
                <w:sz w:val="20"/>
                <w:szCs w:val="20"/>
              </w:rPr>
            </w:pPr>
            <w:r w:rsidRPr="0058613A">
              <w:rPr>
                <w:sz w:val="20"/>
                <w:szCs w:val="20"/>
              </w:rPr>
              <w:t>Плащания на дивиденти</w:t>
            </w:r>
          </w:p>
        </w:tc>
        <w:tc>
          <w:tcPr>
            <w:tcW w:w="1107" w:type="dxa"/>
            <w:tcBorders>
              <w:top w:val="nil"/>
              <w:left w:val="nil"/>
              <w:bottom w:val="nil"/>
              <w:right w:val="nil"/>
            </w:tcBorders>
            <w:shd w:val="clear" w:color="auto" w:fill="auto"/>
            <w:noWrap/>
            <w:vAlign w:val="bottom"/>
            <w:hideMark/>
          </w:tcPr>
          <w:p w:rsidR="00BE37CC" w:rsidRPr="0058613A" w:rsidRDefault="00BE37CC" w:rsidP="0058613A">
            <w:pPr>
              <w:widowControl/>
              <w:jc w:val="right"/>
              <w:rPr>
                <w:sz w:val="20"/>
                <w:szCs w:val="20"/>
              </w:rPr>
            </w:pPr>
            <w:r w:rsidRPr="0058613A">
              <w:rPr>
                <w:sz w:val="20"/>
                <w:szCs w:val="20"/>
              </w:rPr>
              <w:t xml:space="preserve">(1)  </w:t>
            </w: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58613A">
            <w:pPr>
              <w:widowControl/>
              <w:jc w:val="left"/>
              <w:rPr>
                <w:b/>
                <w:bCs/>
                <w:color w:val="000000"/>
                <w:sz w:val="20"/>
                <w:szCs w:val="20"/>
              </w:rPr>
            </w:pPr>
            <w:r w:rsidRPr="0058613A">
              <w:rPr>
                <w:sz w:val="20"/>
                <w:szCs w:val="20"/>
              </w:rPr>
              <w:t>Плащания по лизинг</w:t>
            </w:r>
          </w:p>
        </w:tc>
        <w:tc>
          <w:tcPr>
            <w:tcW w:w="1107"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9A1913">
            <w:pPr>
              <w:widowControl/>
              <w:jc w:val="right"/>
              <w:rPr>
                <w:sz w:val="20"/>
                <w:szCs w:val="20"/>
              </w:rPr>
            </w:pPr>
            <w:r w:rsidRPr="0058613A">
              <w:rPr>
                <w:sz w:val="20"/>
                <w:szCs w:val="20"/>
              </w:rPr>
              <w:t xml:space="preserve">(1)  </w:t>
            </w:r>
          </w:p>
        </w:tc>
        <w:tc>
          <w:tcPr>
            <w:tcW w:w="1878"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9A1913">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bCs/>
                <w:color w:val="000000"/>
                <w:sz w:val="20"/>
                <w:szCs w:val="20"/>
              </w:rPr>
            </w:pPr>
            <w:r w:rsidRPr="0058613A">
              <w:rPr>
                <w:bCs/>
                <w:color w:val="000000"/>
                <w:sz w:val="20"/>
                <w:szCs w:val="20"/>
              </w:rPr>
              <w:t>Получени финансирания</w:t>
            </w:r>
          </w:p>
        </w:tc>
        <w:tc>
          <w:tcPr>
            <w:tcW w:w="1107"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9A1913">
            <w:pPr>
              <w:widowControl/>
              <w:jc w:val="right"/>
              <w:rPr>
                <w:sz w:val="20"/>
                <w:szCs w:val="20"/>
              </w:rPr>
            </w:pPr>
            <w:r w:rsidRPr="0058613A">
              <w:rPr>
                <w:sz w:val="20"/>
                <w:szCs w:val="20"/>
              </w:rPr>
              <w:t xml:space="preserve">(1)  </w:t>
            </w:r>
          </w:p>
        </w:tc>
        <w:tc>
          <w:tcPr>
            <w:tcW w:w="1878"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9A1913">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hideMark/>
          </w:tcPr>
          <w:p w:rsidR="00BE37CC" w:rsidRPr="0058613A" w:rsidRDefault="00BE37CC" w:rsidP="00B64374">
            <w:pPr>
              <w:widowControl/>
              <w:jc w:val="left"/>
              <w:rPr>
                <w:b/>
                <w:bCs/>
                <w:color w:val="000000"/>
                <w:sz w:val="20"/>
                <w:szCs w:val="20"/>
              </w:rPr>
            </w:pPr>
            <w:r w:rsidRPr="0058613A">
              <w:rPr>
                <w:b/>
                <w:bCs/>
                <w:color w:val="000000"/>
                <w:sz w:val="20"/>
                <w:szCs w:val="20"/>
              </w:rPr>
              <w:t>Нетни парични потоци използвани във финансовата дейност</w:t>
            </w:r>
          </w:p>
        </w:tc>
        <w:tc>
          <w:tcPr>
            <w:tcW w:w="1107"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58613A">
            <w:pPr>
              <w:widowControl/>
              <w:jc w:val="right"/>
              <w:rPr>
                <w:b/>
                <w:sz w:val="20"/>
                <w:szCs w:val="20"/>
              </w:rPr>
            </w:pPr>
            <w:r w:rsidRPr="0058613A">
              <w:rPr>
                <w:b/>
                <w:sz w:val="20"/>
                <w:szCs w:val="20"/>
              </w:rPr>
              <w:t xml:space="preserve">(3)  </w:t>
            </w:r>
          </w:p>
        </w:tc>
        <w:tc>
          <w:tcPr>
            <w:tcW w:w="1878"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9A1913">
            <w:pPr>
              <w:widowControl/>
              <w:jc w:val="right"/>
              <w:rPr>
                <w:b/>
                <w:sz w:val="20"/>
                <w:szCs w:val="20"/>
              </w:rPr>
            </w:pPr>
            <w:r w:rsidRPr="0058613A">
              <w:rPr>
                <w:b/>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b/>
                <w:bCs/>
                <w:sz w:val="20"/>
                <w:szCs w:val="20"/>
              </w:rPr>
            </w:pP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EC232B">
        <w:trPr>
          <w:trHeight w:val="170"/>
          <w:jc w:val="center"/>
        </w:trPr>
        <w:tc>
          <w:tcPr>
            <w:tcW w:w="6844" w:type="dxa"/>
            <w:tcBorders>
              <w:top w:val="nil"/>
              <w:left w:val="nil"/>
              <w:bottom w:val="nil"/>
              <w:right w:val="nil"/>
            </w:tcBorders>
            <w:shd w:val="clear" w:color="auto" w:fill="auto"/>
            <w:vAlign w:val="bottom"/>
            <w:hideMark/>
          </w:tcPr>
          <w:p w:rsidR="00BE37CC" w:rsidRPr="0058613A" w:rsidRDefault="00BE37CC" w:rsidP="00B64374">
            <w:pPr>
              <w:widowControl/>
              <w:jc w:val="left"/>
              <w:rPr>
                <w:b/>
                <w:bCs/>
                <w:sz w:val="20"/>
                <w:szCs w:val="20"/>
              </w:rPr>
            </w:pPr>
            <w:r w:rsidRPr="0058613A">
              <w:rPr>
                <w:b/>
                <w:bCs/>
                <w:sz w:val="20"/>
                <w:szCs w:val="20"/>
              </w:rPr>
              <w:t>Нетно увеличение на паричните средства и паричните еквиваленти</w:t>
            </w:r>
          </w:p>
        </w:tc>
        <w:tc>
          <w:tcPr>
            <w:tcW w:w="1107"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C57B7E">
            <w:pPr>
              <w:widowControl/>
              <w:jc w:val="right"/>
              <w:rPr>
                <w:b/>
                <w:bCs/>
                <w:sz w:val="20"/>
                <w:szCs w:val="20"/>
              </w:rPr>
            </w:pPr>
            <w:r w:rsidRPr="0058613A">
              <w:rPr>
                <w:b/>
                <w:bCs/>
                <w:sz w:val="20"/>
                <w:szCs w:val="20"/>
              </w:rPr>
              <w:t xml:space="preserve"> 48 9</w:t>
            </w:r>
            <w:r w:rsidR="00C57B7E">
              <w:rPr>
                <w:b/>
                <w:bCs/>
                <w:sz w:val="20"/>
                <w:szCs w:val="20"/>
                <w:lang w:val="en-US"/>
              </w:rPr>
              <w:t>53</w:t>
            </w:r>
            <w:r w:rsidRPr="0058613A">
              <w:rPr>
                <w:b/>
                <w:bCs/>
                <w:sz w:val="20"/>
                <w:szCs w:val="20"/>
              </w:rPr>
              <w:t xml:space="preserve"> </w:t>
            </w:r>
          </w:p>
        </w:tc>
        <w:tc>
          <w:tcPr>
            <w:tcW w:w="1878" w:type="dxa"/>
            <w:tcBorders>
              <w:top w:val="single" w:sz="4" w:space="0" w:color="auto"/>
              <w:left w:val="nil"/>
              <w:bottom w:val="single" w:sz="4" w:space="0" w:color="auto"/>
              <w:right w:val="nil"/>
            </w:tcBorders>
            <w:shd w:val="clear" w:color="auto" w:fill="auto"/>
            <w:noWrap/>
            <w:vAlign w:val="bottom"/>
            <w:hideMark/>
          </w:tcPr>
          <w:p w:rsidR="00BE37CC" w:rsidRPr="0058613A" w:rsidRDefault="00BE37CC" w:rsidP="00413000">
            <w:pPr>
              <w:widowControl/>
              <w:jc w:val="right"/>
              <w:rPr>
                <w:b/>
                <w:bCs/>
                <w:sz w:val="20"/>
                <w:szCs w:val="20"/>
              </w:rPr>
            </w:pPr>
            <w:r w:rsidRPr="0058613A">
              <w:rPr>
                <w:b/>
                <w:bCs/>
                <w:sz w:val="20"/>
                <w:szCs w:val="20"/>
              </w:rPr>
              <w:t xml:space="preserve"> 59 281 </w:t>
            </w:r>
          </w:p>
        </w:tc>
      </w:tr>
      <w:tr w:rsidR="00BE37CC" w:rsidRPr="00F55B63" w:rsidTr="00EC232B">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b/>
                <w:bCs/>
                <w:sz w:val="20"/>
                <w:szCs w:val="20"/>
              </w:rPr>
            </w:pP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58613A">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left"/>
              <w:rPr>
                <w:b/>
                <w:bCs/>
                <w:sz w:val="20"/>
                <w:szCs w:val="20"/>
              </w:rPr>
            </w:pPr>
            <w:r w:rsidRPr="0058613A">
              <w:rPr>
                <w:b/>
                <w:bCs/>
                <w:sz w:val="20"/>
                <w:szCs w:val="20"/>
              </w:rPr>
              <w:t>Парични средства и парични еквиваленти на 1 януари</w:t>
            </w:r>
          </w:p>
        </w:tc>
        <w:tc>
          <w:tcPr>
            <w:tcW w:w="1107" w:type="dxa"/>
            <w:tcBorders>
              <w:top w:val="single" w:sz="4" w:space="0" w:color="auto"/>
              <w:left w:val="nil"/>
              <w:bottom w:val="double" w:sz="6" w:space="0" w:color="auto"/>
              <w:right w:val="nil"/>
            </w:tcBorders>
            <w:shd w:val="clear" w:color="auto" w:fill="auto"/>
            <w:noWrap/>
            <w:vAlign w:val="bottom"/>
            <w:hideMark/>
          </w:tcPr>
          <w:p w:rsidR="00BE37CC" w:rsidRPr="0058613A" w:rsidRDefault="00BE37CC" w:rsidP="00A4541F">
            <w:pPr>
              <w:widowControl/>
              <w:jc w:val="right"/>
              <w:rPr>
                <w:b/>
                <w:bCs/>
                <w:sz w:val="20"/>
                <w:szCs w:val="20"/>
              </w:rPr>
            </w:pPr>
            <w:r w:rsidRPr="0058613A">
              <w:rPr>
                <w:b/>
                <w:bCs/>
                <w:sz w:val="20"/>
                <w:szCs w:val="20"/>
              </w:rPr>
              <w:t>40 4</w:t>
            </w:r>
            <w:r w:rsidR="00C57B7E">
              <w:rPr>
                <w:b/>
                <w:bCs/>
                <w:sz w:val="20"/>
                <w:szCs w:val="20"/>
                <w:lang w:val="en-US"/>
              </w:rPr>
              <w:t>21</w:t>
            </w:r>
            <w:r w:rsidRPr="0058613A">
              <w:rPr>
                <w:b/>
                <w:bCs/>
                <w:sz w:val="20"/>
                <w:szCs w:val="20"/>
              </w:rPr>
              <w:t xml:space="preserve"> </w:t>
            </w:r>
          </w:p>
        </w:tc>
        <w:tc>
          <w:tcPr>
            <w:tcW w:w="1878" w:type="dxa"/>
            <w:tcBorders>
              <w:top w:val="single" w:sz="4" w:space="0" w:color="auto"/>
              <w:left w:val="nil"/>
              <w:bottom w:val="double" w:sz="6" w:space="0" w:color="auto"/>
              <w:right w:val="nil"/>
            </w:tcBorders>
            <w:shd w:val="clear" w:color="auto" w:fill="auto"/>
            <w:noWrap/>
            <w:vAlign w:val="bottom"/>
            <w:hideMark/>
          </w:tcPr>
          <w:p w:rsidR="00BE37CC" w:rsidRPr="0058613A" w:rsidRDefault="00BE37CC" w:rsidP="00413000">
            <w:pPr>
              <w:widowControl/>
              <w:jc w:val="right"/>
              <w:rPr>
                <w:b/>
                <w:bCs/>
                <w:sz w:val="20"/>
                <w:szCs w:val="20"/>
              </w:rPr>
            </w:pPr>
            <w:r w:rsidRPr="0058613A">
              <w:rPr>
                <w:b/>
                <w:bCs/>
                <w:sz w:val="20"/>
                <w:szCs w:val="20"/>
              </w:rPr>
              <w:t xml:space="preserve"> 2 060 </w:t>
            </w:r>
          </w:p>
        </w:tc>
      </w:tr>
      <w:tr w:rsidR="00BE37CC" w:rsidRPr="00F55B63" w:rsidTr="0058613A">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58613A">
            <w:pPr>
              <w:widowControl/>
              <w:jc w:val="left"/>
              <w:rPr>
                <w:sz w:val="20"/>
                <w:szCs w:val="20"/>
              </w:rPr>
            </w:pPr>
            <w:r w:rsidRPr="0058613A">
              <w:rPr>
                <w:b/>
                <w:bCs/>
                <w:sz w:val="20"/>
                <w:szCs w:val="20"/>
              </w:rPr>
              <w:t>Парични средства и парични еквиваленти на 31 март</w:t>
            </w:r>
          </w:p>
        </w:tc>
        <w:tc>
          <w:tcPr>
            <w:tcW w:w="1107" w:type="dxa"/>
            <w:tcBorders>
              <w:top w:val="double" w:sz="6" w:space="0" w:color="auto"/>
              <w:left w:val="nil"/>
              <w:bottom w:val="single" w:sz="4" w:space="0" w:color="auto"/>
              <w:right w:val="nil"/>
            </w:tcBorders>
            <w:shd w:val="clear" w:color="auto" w:fill="auto"/>
            <w:noWrap/>
            <w:vAlign w:val="bottom"/>
            <w:hideMark/>
          </w:tcPr>
          <w:p w:rsidR="00BE37CC" w:rsidRPr="00C57B7E" w:rsidRDefault="00BE37CC" w:rsidP="00C57B7E">
            <w:pPr>
              <w:widowControl/>
              <w:jc w:val="right"/>
              <w:rPr>
                <w:b/>
                <w:sz w:val="20"/>
                <w:szCs w:val="20"/>
                <w:lang w:val="en-US"/>
              </w:rPr>
            </w:pPr>
            <w:r w:rsidRPr="0058613A">
              <w:rPr>
                <w:b/>
                <w:sz w:val="20"/>
                <w:szCs w:val="20"/>
              </w:rPr>
              <w:t>89 3</w:t>
            </w:r>
            <w:r w:rsidR="00C57B7E">
              <w:rPr>
                <w:b/>
                <w:sz w:val="20"/>
                <w:szCs w:val="20"/>
                <w:lang w:val="en-US"/>
              </w:rPr>
              <w:t>74</w:t>
            </w:r>
          </w:p>
        </w:tc>
        <w:tc>
          <w:tcPr>
            <w:tcW w:w="1878" w:type="dxa"/>
            <w:tcBorders>
              <w:top w:val="double" w:sz="6" w:space="0" w:color="auto"/>
              <w:left w:val="nil"/>
              <w:bottom w:val="single" w:sz="4" w:space="0" w:color="auto"/>
              <w:right w:val="nil"/>
            </w:tcBorders>
            <w:shd w:val="clear" w:color="auto" w:fill="auto"/>
            <w:noWrap/>
            <w:vAlign w:val="bottom"/>
            <w:hideMark/>
          </w:tcPr>
          <w:p w:rsidR="00BE37CC" w:rsidRPr="0058613A" w:rsidRDefault="00BE37CC" w:rsidP="00413000">
            <w:pPr>
              <w:widowControl/>
              <w:jc w:val="right"/>
              <w:rPr>
                <w:b/>
                <w:sz w:val="20"/>
                <w:szCs w:val="20"/>
              </w:rPr>
            </w:pPr>
            <w:r w:rsidRPr="0058613A">
              <w:rPr>
                <w:b/>
                <w:sz w:val="20"/>
                <w:szCs w:val="20"/>
              </w:rPr>
              <w:t>61 341</w:t>
            </w:r>
          </w:p>
        </w:tc>
      </w:tr>
      <w:tr w:rsidR="00BE37CC" w:rsidRPr="00F55B63" w:rsidTr="0058613A">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left"/>
              <w:rPr>
                <w:sz w:val="20"/>
                <w:szCs w:val="20"/>
              </w:rPr>
            </w:pPr>
            <w:r w:rsidRPr="0058613A">
              <w:rPr>
                <w:sz w:val="20"/>
                <w:szCs w:val="20"/>
              </w:rPr>
              <w:t>Провизии за обезценка за очаквани кредитни загуби</w:t>
            </w:r>
          </w:p>
        </w:tc>
        <w:tc>
          <w:tcPr>
            <w:tcW w:w="1107" w:type="dxa"/>
            <w:tcBorders>
              <w:top w:val="single" w:sz="4" w:space="0" w:color="auto"/>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r w:rsidRPr="0058613A">
              <w:rPr>
                <w:sz w:val="20"/>
                <w:szCs w:val="20"/>
              </w:rPr>
              <w:t xml:space="preserve"> - </w:t>
            </w:r>
          </w:p>
        </w:tc>
        <w:tc>
          <w:tcPr>
            <w:tcW w:w="1878" w:type="dxa"/>
            <w:tcBorders>
              <w:top w:val="single" w:sz="4" w:space="0" w:color="auto"/>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r w:rsidRPr="0058613A">
              <w:rPr>
                <w:sz w:val="20"/>
                <w:szCs w:val="20"/>
              </w:rPr>
              <w:t xml:space="preserve"> - </w:t>
            </w:r>
          </w:p>
        </w:tc>
      </w:tr>
      <w:tr w:rsidR="00BE37CC" w:rsidRPr="00F55B63" w:rsidTr="00EC232B">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107" w:type="dxa"/>
            <w:tcBorders>
              <w:top w:val="nil"/>
              <w:left w:val="nil"/>
              <w:bottom w:val="nil"/>
              <w:right w:val="nil"/>
            </w:tcBorders>
            <w:shd w:val="clear" w:color="auto" w:fill="auto"/>
            <w:noWrap/>
            <w:vAlign w:val="bottom"/>
            <w:hideMark/>
          </w:tcPr>
          <w:p w:rsidR="00BE37CC" w:rsidRPr="0058613A" w:rsidRDefault="00BE37CC" w:rsidP="00B64374">
            <w:pPr>
              <w:widowControl/>
              <w:jc w:val="right"/>
              <w:rPr>
                <w:sz w:val="20"/>
                <w:szCs w:val="20"/>
              </w:rPr>
            </w:pPr>
          </w:p>
        </w:tc>
        <w:tc>
          <w:tcPr>
            <w:tcW w:w="1878" w:type="dxa"/>
            <w:tcBorders>
              <w:top w:val="nil"/>
              <w:left w:val="nil"/>
              <w:bottom w:val="nil"/>
              <w:right w:val="nil"/>
            </w:tcBorders>
            <w:shd w:val="clear" w:color="auto" w:fill="auto"/>
            <w:noWrap/>
            <w:vAlign w:val="bottom"/>
            <w:hideMark/>
          </w:tcPr>
          <w:p w:rsidR="00BE37CC" w:rsidRPr="0058613A" w:rsidRDefault="00BE37CC" w:rsidP="00413000">
            <w:pPr>
              <w:widowControl/>
              <w:jc w:val="right"/>
              <w:rPr>
                <w:sz w:val="20"/>
                <w:szCs w:val="20"/>
              </w:rPr>
            </w:pPr>
          </w:p>
        </w:tc>
      </w:tr>
      <w:tr w:rsidR="00BE37CC" w:rsidRPr="00F55B63" w:rsidTr="00EC232B">
        <w:trPr>
          <w:trHeight w:val="170"/>
          <w:jc w:val="center"/>
        </w:trPr>
        <w:tc>
          <w:tcPr>
            <w:tcW w:w="6844" w:type="dxa"/>
            <w:tcBorders>
              <w:top w:val="nil"/>
              <w:left w:val="nil"/>
              <w:bottom w:val="nil"/>
              <w:right w:val="nil"/>
            </w:tcBorders>
            <w:shd w:val="clear" w:color="auto" w:fill="auto"/>
            <w:noWrap/>
            <w:vAlign w:val="bottom"/>
            <w:hideMark/>
          </w:tcPr>
          <w:p w:rsidR="00BE37CC" w:rsidRPr="0058613A" w:rsidRDefault="00BE37CC" w:rsidP="00B64374">
            <w:pPr>
              <w:widowControl/>
              <w:jc w:val="left"/>
              <w:rPr>
                <w:b/>
                <w:bCs/>
                <w:sz w:val="20"/>
                <w:szCs w:val="20"/>
              </w:rPr>
            </w:pPr>
            <w:r w:rsidRPr="0058613A">
              <w:rPr>
                <w:b/>
                <w:bCs/>
                <w:sz w:val="20"/>
                <w:szCs w:val="20"/>
              </w:rPr>
              <w:t>Парични средства и парични еквиваленти на 31 март, нетно</w:t>
            </w:r>
          </w:p>
        </w:tc>
        <w:tc>
          <w:tcPr>
            <w:tcW w:w="1107" w:type="dxa"/>
            <w:tcBorders>
              <w:top w:val="single" w:sz="4" w:space="0" w:color="auto"/>
              <w:left w:val="nil"/>
              <w:bottom w:val="double" w:sz="6" w:space="0" w:color="auto"/>
              <w:right w:val="nil"/>
            </w:tcBorders>
            <w:shd w:val="clear" w:color="auto" w:fill="auto"/>
            <w:noWrap/>
            <w:vAlign w:val="bottom"/>
            <w:hideMark/>
          </w:tcPr>
          <w:p w:rsidR="00BE37CC" w:rsidRPr="00C57B7E" w:rsidRDefault="00BE37CC" w:rsidP="00C57B7E">
            <w:pPr>
              <w:widowControl/>
              <w:jc w:val="right"/>
              <w:rPr>
                <w:b/>
                <w:sz w:val="20"/>
                <w:szCs w:val="20"/>
                <w:lang w:val="en-US"/>
              </w:rPr>
            </w:pPr>
            <w:r w:rsidRPr="0058613A">
              <w:rPr>
                <w:b/>
                <w:sz w:val="20"/>
                <w:szCs w:val="20"/>
              </w:rPr>
              <w:t>89 3</w:t>
            </w:r>
            <w:r w:rsidR="00C57B7E">
              <w:rPr>
                <w:b/>
                <w:sz w:val="20"/>
                <w:szCs w:val="20"/>
                <w:lang w:val="en-US"/>
              </w:rPr>
              <w:t>74</w:t>
            </w:r>
          </w:p>
        </w:tc>
        <w:tc>
          <w:tcPr>
            <w:tcW w:w="1878" w:type="dxa"/>
            <w:tcBorders>
              <w:top w:val="single" w:sz="4" w:space="0" w:color="auto"/>
              <w:left w:val="nil"/>
              <w:bottom w:val="double" w:sz="6" w:space="0" w:color="auto"/>
              <w:right w:val="nil"/>
            </w:tcBorders>
            <w:shd w:val="clear" w:color="auto" w:fill="auto"/>
            <w:noWrap/>
            <w:vAlign w:val="bottom"/>
            <w:hideMark/>
          </w:tcPr>
          <w:p w:rsidR="00BE37CC" w:rsidRPr="0058613A" w:rsidRDefault="00BE37CC" w:rsidP="009A1913">
            <w:pPr>
              <w:widowControl/>
              <w:jc w:val="right"/>
              <w:rPr>
                <w:b/>
                <w:sz w:val="20"/>
                <w:szCs w:val="20"/>
              </w:rPr>
            </w:pPr>
            <w:r w:rsidRPr="0058613A">
              <w:rPr>
                <w:b/>
                <w:sz w:val="20"/>
                <w:szCs w:val="20"/>
              </w:rPr>
              <w:t>61 341</w:t>
            </w:r>
          </w:p>
        </w:tc>
      </w:tr>
    </w:tbl>
    <w:p w:rsidR="00DF7306" w:rsidRPr="00F55B63" w:rsidRDefault="00DF7306">
      <w:pPr>
        <w:widowControl/>
        <w:jc w:val="left"/>
        <w:rPr>
          <w:rFonts w:cs="Calibri"/>
          <w:highlight w:val="yellow"/>
        </w:rPr>
      </w:pPr>
    </w:p>
    <w:p w:rsidR="00EC232B" w:rsidRDefault="00EC232B">
      <w:pPr>
        <w:widowControl/>
        <w:jc w:val="left"/>
        <w:rPr>
          <w:rFonts w:cs="Calibri"/>
          <w:highlight w:val="yellow"/>
        </w:rPr>
      </w:pPr>
    </w:p>
    <w:p w:rsidR="00EC232B" w:rsidRDefault="00EC232B">
      <w:pPr>
        <w:widowControl/>
        <w:jc w:val="left"/>
        <w:rPr>
          <w:rFonts w:cs="Calibri"/>
          <w:highlight w:val="yellow"/>
        </w:rPr>
      </w:pPr>
    </w:p>
    <w:p w:rsidR="00EC232B" w:rsidRDefault="00EC232B">
      <w:pPr>
        <w:widowControl/>
        <w:jc w:val="left"/>
        <w:rPr>
          <w:rFonts w:cs="Calibri"/>
          <w:highlight w:val="yellow"/>
        </w:rPr>
      </w:pPr>
    </w:p>
    <w:p w:rsidR="00EC232B" w:rsidRPr="00E70C11" w:rsidRDefault="00EC232B" w:rsidP="00EC232B">
      <w:pPr>
        <w:rPr>
          <w:rFonts w:cs="Calibri"/>
          <w:sz w:val="20"/>
          <w:szCs w:val="20"/>
        </w:rPr>
      </w:pPr>
      <w:r w:rsidRPr="00E70C11">
        <w:rPr>
          <w:rFonts w:cs="Calibri"/>
          <w:sz w:val="20"/>
          <w:szCs w:val="20"/>
          <w:lang w:val="en-US"/>
        </w:rPr>
        <w:t xml:space="preserve">*   </w:t>
      </w:r>
      <w:r w:rsidRPr="00E70C11">
        <w:rPr>
          <w:rFonts w:cs="Calibri"/>
          <w:sz w:val="20"/>
          <w:szCs w:val="20"/>
        </w:rPr>
        <w:t>Преизчислен</w:t>
      </w:r>
      <w:r w:rsidRPr="00E70C11">
        <w:rPr>
          <w:rFonts w:cs="Calibri"/>
          <w:sz w:val="20"/>
          <w:szCs w:val="20"/>
          <w:lang w:val="en-US"/>
        </w:rPr>
        <w:t xml:space="preserve"> (</w:t>
      </w:r>
      <w:r w:rsidRPr="00E70C11">
        <w:rPr>
          <w:rFonts w:cs="Calibri"/>
          <w:sz w:val="20"/>
          <w:szCs w:val="20"/>
        </w:rPr>
        <w:t>Приложение №29</w:t>
      </w:r>
      <w:r w:rsidRPr="00E70C11">
        <w:rPr>
          <w:rFonts w:cs="Calibri"/>
          <w:sz w:val="20"/>
          <w:szCs w:val="20"/>
          <w:lang w:val="en-US"/>
        </w:rPr>
        <w:t>)</w:t>
      </w:r>
    </w:p>
    <w:p w:rsidR="003116F2" w:rsidRDefault="00EC232B" w:rsidP="00EC232B">
      <w:pPr>
        <w:widowControl/>
        <w:jc w:val="left"/>
        <w:rPr>
          <w:rFonts w:cs="Calibri"/>
          <w:sz w:val="20"/>
          <w:szCs w:val="20"/>
        </w:rPr>
      </w:pPr>
      <w:r w:rsidRPr="00E70C11">
        <w:rPr>
          <w:rFonts w:cs="Calibri"/>
          <w:sz w:val="20"/>
          <w:szCs w:val="20"/>
          <w:lang w:val="en-US"/>
        </w:rPr>
        <w:t xml:space="preserve">** </w:t>
      </w:r>
      <w:r w:rsidRPr="00E70C11">
        <w:rPr>
          <w:rFonts w:cs="Calibri"/>
          <w:sz w:val="20"/>
          <w:szCs w:val="20"/>
        </w:rPr>
        <w:t xml:space="preserve">Модифицирано ретроспективно приложение на МСФО 16 </w:t>
      </w:r>
      <w:r w:rsidRPr="00E70C11">
        <w:rPr>
          <w:rFonts w:cs="Calibri"/>
          <w:sz w:val="20"/>
          <w:szCs w:val="20"/>
          <w:lang w:val="en-US"/>
        </w:rPr>
        <w:t>(</w:t>
      </w:r>
      <w:r w:rsidRPr="00E70C11">
        <w:rPr>
          <w:rFonts w:cs="Calibri"/>
          <w:sz w:val="20"/>
          <w:szCs w:val="20"/>
        </w:rPr>
        <w:t>Приложение №2.5</w:t>
      </w:r>
      <w:r w:rsidRPr="00E70C11">
        <w:rPr>
          <w:rFonts w:cs="Calibri"/>
          <w:sz w:val="20"/>
          <w:szCs w:val="20"/>
          <w:lang w:val="en-US"/>
        </w:rPr>
        <w:t>)</w:t>
      </w:r>
    </w:p>
    <w:p w:rsidR="005C7298" w:rsidRPr="00F55B63" w:rsidRDefault="005C7298" w:rsidP="00EC232B">
      <w:pPr>
        <w:widowControl/>
        <w:jc w:val="left"/>
        <w:rPr>
          <w:rFonts w:cs="Calibri"/>
          <w:b/>
          <w:highlight w:val="yellow"/>
        </w:rPr>
      </w:pPr>
      <w:r w:rsidRPr="00F55B63">
        <w:rPr>
          <w:rFonts w:cs="Calibri"/>
          <w:highlight w:val="yellow"/>
        </w:rPr>
        <w:br w:type="page"/>
      </w:r>
    </w:p>
    <w:tbl>
      <w:tblPr>
        <w:tblW w:w="11676" w:type="dxa"/>
        <w:jc w:val="center"/>
        <w:tblInd w:w="42" w:type="dxa"/>
        <w:tblCellMar>
          <w:left w:w="70" w:type="dxa"/>
          <w:right w:w="70" w:type="dxa"/>
        </w:tblCellMar>
        <w:tblLook w:val="04A0"/>
      </w:tblPr>
      <w:tblGrid>
        <w:gridCol w:w="1092"/>
        <w:gridCol w:w="3089"/>
        <w:gridCol w:w="1091"/>
        <w:gridCol w:w="1092"/>
        <w:gridCol w:w="1092"/>
        <w:gridCol w:w="1657"/>
        <w:gridCol w:w="1320"/>
        <w:gridCol w:w="1243"/>
      </w:tblGrid>
      <w:tr w:rsidR="00CE232E" w:rsidRPr="00F55B63" w:rsidTr="00CE232E">
        <w:trPr>
          <w:trHeight w:val="170"/>
          <w:jc w:val="center"/>
        </w:trPr>
        <w:tc>
          <w:tcPr>
            <w:tcW w:w="1092" w:type="dxa"/>
            <w:tcBorders>
              <w:top w:val="nil"/>
              <w:left w:val="nil"/>
              <w:bottom w:val="single" w:sz="4" w:space="0" w:color="auto"/>
              <w:right w:val="nil"/>
            </w:tcBorders>
          </w:tcPr>
          <w:p w:rsidR="00CE232E" w:rsidRPr="00F3551F" w:rsidRDefault="00CE232E" w:rsidP="00C13EB0">
            <w:pPr>
              <w:widowControl/>
              <w:jc w:val="left"/>
              <w:rPr>
                <w:b/>
                <w:bCs/>
                <w:sz w:val="20"/>
                <w:szCs w:val="20"/>
              </w:rPr>
            </w:pPr>
          </w:p>
        </w:tc>
        <w:tc>
          <w:tcPr>
            <w:tcW w:w="10584" w:type="dxa"/>
            <w:gridSpan w:val="7"/>
            <w:tcBorders>
              <w:top w:val="nil"/>
              <w:left w:val="nil"/>
              <w:bottom w:val="single" w:sz="4" w:space="0" w:color="auto"/>
              <w:right w:val="nil"/>
            </w:tcBorders>
            <w:shd w:val="clear" w:color="auto" w:fill="auto"/>
            <w:noWrap/>
            <w:tcMar>
              <w:left w:w="28" w:type="dxa"/>
              <w:right w:w="28" w:type="dxa"/>
            </w:tcMar>
            <w:vAlign w:val="center"/>
            <w:hideMark/>
          </w:tcPr>
          <w:p w:rsidR="00CE232E" w:rsidRPr="00F3551F" w:rsidRDefault="00CE232E" w:rsidP="00C13EB0">
            <w:pPr>
              <w:widowControl/>
              <w:jc w:val="left"/>
              <w:rPr>
                <w:b/>
                <w:bCs/>
                <w:sz w:val="20"/>
                <w:szCs w:val="20"/>
              </w:rPr>
            </w:pPr>
            <w:r w:rsidRPr="00F3551F">
              <w:rPr>
                <w:b/>
                <w:bCs/>
                <w:sz w:val="20"/>
                <w:szCs w:val="20"/>
              </w:rPr>
              <w:t>ГРУПА БЪЛГАРСКА ФОНДОВА БОРСА</w:t>
            </w:r>
          </w:p>
        </w:tc>
      </w:tr>
      <w:tr w:rsidR="00CE232E" w:rsidRPr="00F55B63" w:rsidTr="00CE232E">
        <w:trPr>
          <w:trHeight w:val="170"/>
          <w:jc w:val="center"/>
        </w:trPr>
        <w:tc>
          <w:tcPr>
            <w:tcW w:w="1092" w:type="dxa"/>
            <w:tcBorders>
              <w:top w:val="nil"/>
              <w:left w:val="nil"/>
              <w:bottom w:val="nil"/>
              <w:right w:val="nil"/>
            </w:tcBorders>
          </w:tcPr>
          <w:p w:rsidR="00CE232E" w:rsidRPr="00F3551F" w:rsidRDefault="00CE232E" w:rsidP="00C13EB0">
            <w:pPr>
              <w:widowControl/>
              <w:jc w:val="left"/>
              <w:rPr>
                <w:b/>
                <w:bCs/>
                <w:sz w:val="20"/>
                <w:szCs w:val="20"/>
              </w:rPr>
            </w:pPr>
          </w:p>
        </w:tc>
        <w:tc>
          <w:tcPr>
            <w:tcW w:w="10584" w:type="dxa"/>
            <w:gridSpan w:val="7"/>
            <w:tcBorders>
              <w:top w:val="nil"/>
              <w:left w:val="nil"/>
              <w:bottom w:val="nil"/>
              <w:right w:val="nil"/>
            </w:tcBorders>
            <w:shd w:val="clear" w:color="auto" w:fill="auto"/>
            <w:noWrap/>
            <w:tcMar>
              <w:left w:w="28" w:type="dxa"/>
              <w:right w:w="28" w:type="dxa"/>
            </w:tcMar>
            <w:vAlign w:val="center"/>
            <w:hideMark/>
          </w:tcPr>
          <w:p w:rsidR="00CE232E" w:rsidRPr="00F3551F" w:rsidRDefault="00CE232E" w:rsidP="00C13EB0">
            <w:pPr>
              <w:widowControl/>
              <w:jc w:val="left"/>
              <w:rPr>
                <w:rFonts w:ascii="Times New Roman" w:hAnsi="Times New Roman"/>
                <w:sz w:val="20"/>
                <w:szCs w:val="20"/>
              </w:rPr>
            </w:pPr>
            <w:r w:rsidRPr="00F3551F">
              <w:rPr>
                <w:b/>
                <w:bCs/>
                <w:sz w:val="20"/>
                <w:szCs w:val="20"/>
              </w:rPr>
              <w:t xml:space="preserve">КОНСОЛИДИРАН ОТЧЕТ ЗА ПРОМЕНИТЕ В СОБСТВЕНИЯ КАПИТАЛ </w:t>
            </w:r>
          </w:p>
        </w:tc>
      </w:tr>
      <w:tr w:rsidR="00CE232E" w:rsidRPr="00F55B63" w:rsidTr="00CE232E">
        <w:trPr>
          <w:trHeight w:val="170"/>
          <w:jc w:val="center"/>
        </w:trPr>
        <w:tc>
          <w:tcPr>
            <w:tcW w:w="1092" w:type="dxa"/>
            <w:tcBorders>
              <w:top w:val="nil"/>
              <w:left w:val="nil"/>
              <w:bottom w:val="nil"/>
              <w:right w:val="nil"/>
            </w:tcBorders>
          </w:tcPr>
          <w:p w:rsidR="00CE232E" w:rsidRPr="00F3551F" w:rsidRDefault="00CE232E" w:rsidP="00E214F6">
            <w:pPr>
              <w:widowControl/>
              <w:jc w:val="left"/>
              <w:rPr>
                <w:b/>
                <w:bCs/>
                <w:color w:val="000000"/>
                <w:sz w:val="20"/>
                <w:szCs w:val="20"/>
              </w:rPr>
            </w:pPr>
          </w:p>
        </w:tc>
        <w:tc>
          <w:tcPr>
            <w:tcW w:w="10584" w:type="dxa"/>
            <w:gridSpan w:val="7"/>
            <w:tcBorders>
              <w:top w:val="nil"/>
              <w:left w:val="nil"/>
              <w:bottom w:val="nil"/>
              <w:right w:val="nil"/>
            </w:tcBorders>
            <w:shd w:val="clear" w:color="auto" w:fill="auto"/>
            <w:noWrap/>
            <w:tcMar>
              <w:left w:w="28" w:type="dxa"/>
              <w:right w:w="28" w:type="dxa"/>
            </w:tcMar>
            <w:vAlign w:val="center"/>
            <w:hideMark/>
          </w:tcPr>
          <w:p w:rsidR="00CE232E" w:rsidRPr="00F3551F" w:rsidRDefault="00CE232E" w:rsidP="00E214F6">
            <w:pPr>
              <w:widowControl/>
              <w:jc w:val="left"/>
              <w:rPr>
                <w:rFonts w:ascii="Times New Roman" w:hAnsi="Times New Roman"/>
                <w:sz w:val="20"/>
                <w:szCs w:val="20"/>
              </w:rPr>
            </w:pPr>
            <w:r w:rsidRPr="00F3551F">
              <w:rPr>
                <w:b/>
                <w:bCs/>
                <w:color w:val="000000"/>
                <w:sz w:val="20"/>
                <w:szCs w:val="20"/>
              </w:rPr>
              <w:t>за годината, завършваща на 31 март 20</w:t>
            </w:r>
            <w:r w:rsidRPr="00F3551F">
              <w:rPr>
                <w:b/>
                <w:bCs/>
                <w:color w:val="000000"/>
                <w:sz w:val="20"/>
                <w:szCs w:val="20"/>
                <w:lang w:val="en-US"/>
              </w:rPr>
              <w:t>20</w:t>
            </w:r>
            <w:r w:rsidRPr="00F3551F">
              <w:rPr>
                <w:b/>
                <w:bCs/>
                <w:color w:val="000000"/>
                <w:sz w:val="20"/>
                <w:szCs w:val="20"/>
              </w:rPr>
              <w:t xml:space="preserve"> година</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left"/>
              <w:rPr>
                <w:rFonts w:ascii="Times New Roman" w:hAnsi="Times New Roman"/>
                <w:sz w:val="20"/>
                <w:szCs w:val="20"/>
                <w:highlight w:val="yellow"/>
              </w:rPr>
            </w:pPr>
          </w:p>
        </w:tc>
        <w:tc>
          <w:tcPr>
            <w:tcW w:w="1091" w:type="dxa"/>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left"/>
              <w:rPr>
                <w:rFonts w:ascii="Times New Roman" w:hAnsi="Times New Roman"/>
                <w:sz w:val="20"/>
                <w:szCs w:val="20"/>
                <w:highlight w:val="yellow"/>
              </w:rPr>
            </w:pPr>
          </w:p>
        </w:tc>
        <w:tc>
          <w:tcPr>
            <w:tcW w:w="1092" w:type="dxa"/>
            <w:tcBorders>
              <w:top w:val="nil"/>
              <w:left w:val="nil"/>
              <w:bottom w:val="nil"/>
              <w:right w:val="nil"/>
            </w:tcBorders>
          </w:tcPr>
          <w:p w:rsidR="00CE232E" w:rsidRPr="00F55B63" w:rsidRDefault="00CE232E" w:rsidP="00C13EB0">
            <w:pPr>
              <w:widowControl/>
              <w:jc w:val="center"/>
              <w:rPr>
                <w:rFonts w:ascii="Times New Roman" w:hAnsi="Times New Roman"/>
                <w:sz w:val="20"/>
                <w:szCs w:val="20"/>
                <w:highlight w:val="yellow"/>
              </w:rPr>
            </w:pPr>
          </w:p>
        </w:tc>
        <w:tc>
          <w:tcPr>
            <w:tcW w:w="1092" w:type="dxa"/>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center"/>
              <w:rPr>
                <w:rFonts w:ascii="Times New Roman" w:hAnsi="Times New Roman"/>
                <w:sz w:val="20"/>
                <w:szCs w:val="20"/>
                <w:highlight w:val="yellow"/>
              </w:rPr>
            </w:pPr>
          </w:p>
        </w:tc>
        <w:tc>
          <w:tcPr>
            <w:tcW w:w="1657" w:type="dxa"/>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left"/>
              <w:rPr>
                <w:rFonts w:ascii="Times New Roman" w:hAnsi="Times New Roman"/>
                <w:sz w:val="20"/>
                <w:szCs w:val="20"/>
                <w:highlight w:val="yellow"/>
              </w:rPr>
            </w:pPr>
          </w:p>
        </w:tc>
        <w:tc>
          <w:tcPr>
            <w:tcW w:w="1320" w:type="dxa"/>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left"/>
              <w:rPr>
                <w:rFonts w:ascii="Times New Roman" w:hAnsi="Times New Roman"/>
                <w:sz w:val="20"/>
                <w:szCs w:val="20"/>
                <w:highlight w:val="yellow"/>
              </w:rPr>
            </w:pPr>
          </w:p>
        </w:tc>
        <w:tc>
          <w:tcPr>
            <w:tcW w:w="1243" w:type="dxa"/>
            <w:tcBorders>
              <w:top w:val="nil"/>
              <w:left w:val="nil"/>
              <w:bottom w:val="nil"/>
              <w:right w:val="nil"/>
            </w:tcBorders>
            <w:shd w:val="clear" w:color="auto" w:fill="auto"/>
            <w:noWrap/>
            <w:tcMar>
              <w:left w:w="28" w:type="dxa"/>
              <w:right w:w="28" w:type="dxa"/>
            </w:tcMar>
            <w:vAlign w:val="center"/>
            <w:hideMark/>
          </w:tcPr>
          <w:p w:rsidR="00CE232E" w:rsidRPr="00F55B63" w:rsidRDefault="00CE232E" w:rsidP="00C13EB0">
            <w:pPr>
              <w:widowControl/>
              <w:jc w:val="left"/>
              <w:rPr>
                <w:rFonts w:ascii="Times New Roman" w:hAnsi="Times New Roman"/>
                <w:sz w:val="20"/>
                <w:szCs w:val="20"/>
                <w:highlight w:val="yellow"/>
              </w:rPr>
            </w:pPr>
          </w:p>
        </w:tc>
      </w:tr>
      <w:tr w:rsidR="00CE232E" w:rsidRPr="00CE232E" w:rsidTr="00CE232E">
        <w:trPr>
          <w:trHeight w:val="170"/>
          <w:jc w:val="center"/>
        </w:trPr>
        <w:tc>
          <w:tcPr>
            <w:tcW w:w="1092" w:type="dxa"/>
            <w:tcBorders>
              <w:top w:val="nil"/>
              <w:left w:val="nil"/>
              <w:bottom w:val="nil"/>
              <w:right w:val="nil"/>
            </w:tcBorders>
          </w:tcPr>
          <w:p w:rsidR="00CE232E" w:rsidRPr="00F55B63" w:rsidRDefault="00CE232E" w:rsidP="00BE3033">
            <w:pPr>
              <w:widowControl/>
              <w:jc w:val="right"/>
              <w:rPr>
                <w:sz w:val="20"/>
                <w:szCs w:val="20"/>
                <w:highlight w:val="yellow"/>
              </w:rPr>
            </w:pPr>
          </w:p>
        </w:tc>
        <w:tc>
          <w:tcPr>
            <w:tcW w:w="10584" w:type="dxa"/>
            <w:gridSpan w:val="7"/>
            <w:tcBorders>
              <w:top w:val="nil"/>
              <w:left w:val="nil"/>
              <w:bottom w:val="nil"/>
              <w:right w:val="nil"/>
            </w:tcBorders>
            <w:shd w:val="clear" w:color="auto" w:fill="auto"/>
            <w:noWrap/>
            <w:tcMar>
              <w:left w:w="28" w:type="dxa"/>
              <w:right w:w="28" w:type="dxa"/>
            </w:tcMar>
            <w:vAlign w:val="center"/>
            <w:hideMark/>
          </w:tcPr>
          <w:p w:rsidR="00CE232E" w:rsidRPr="00CE232E" w:rsidRDefault="00CE232E" w:rsidP="00BE3033">
            <w:pPr>
              <w:widowControl/>
              <w:jc w:val="right"/>
              <w:rPr>
                <w:sz w:val="20"/>
                <w:szCs w:val="20"/>
              </w:rPr>
            </w:pPr>
            <w:r w:rsidRPr="00CE232E">
              <w:rPr>
                <w:sz w:val="20"/>
                <w:szCs w:val="20"/>
              </w:rPr>
              <w:t>Отнасящ се към притежателите на собствения капитал на дружеството-майка</w:t>
            </w:r>
          </w:p>
        </w:tc>
      </w:tr>
      <w:tr w:rsidR="00CE232E" w:rsidRPr="00CE232E"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sz w:val="18"/>
                <w:szCs w:val="18"/>
              </w:rPr>
            </w:pPr>
          </w:p>
        </w:tc>
        <w:tc>
          <w:tcPr>
            <w:tcW w:w="1091" w:type="dxa"/>
            <w:tcBorders>
              <w:top w:val="single" w:sz="4" w:space="0" w:color="auto"/>
              <w:left w:val="nil"/>
              <w:bottom w:val="double" w:sz="6" w:space="0" w:color="auto"/>
              <w:right w:val="nil"/>
            </w:tcBorders>
            <w:shd w:val="clear" w:color="auto" w:fill="auto"/>
            <w:tcMar>
              <w:left w:w="28" w:type="dxa"/>
              <w:right w:w="28" w:type="dxa"/>
            </w:tcMar>
            <w:hideMark/>
          </w:tcPr>
          <w:p w:rsidR="00CE232E" w:rsidRPr="00CE232E" w:rsidRDefault="00CE232E" w:rsidP="00BE3033">
            <w:pPr>
              <w:widowControl/>
              <w:jc w:val="center"/>
              <w:rPr>
                <w:b/>
                <w:bCs/>
                <w:sz w:val="18"/>
                <w:szCs w:val="18"/>
              </w:rPr>
            </w:pPr>
            <w:r w:rsidRPr="00CE232E">
              <w:rPr>
                <w:b/>
                <w:bCs/>
                <w:sz w:val="18"/>
                <w:szCs w:val="18"/>
              </w:rPr>
              <w:t>Основен акционерен капитал</w:t>
            </w:r>
          </w:p>
        </w:tc>
        <w:tc>
          <w:tcPr>
            <w:tcW w:w="1092" w:type="dxa"/>
            <w:tcBorders>
              <w:top w:val="single" w:sz="4" w:space="0" w:color="auto"/>
              <w:left w:val="nil"/>
              <w:bottom w:val="double" w:sz="6" w:space="0" w:color="auto"/>
              <w:right w:val="nil"/>
            </w:tcBorders>
          </w:tcPr>
          <w:p w:rsidR="00CE232E" w:rsidRPr="00CE232E" w:rsidRDefault="00CE232E" w:rsidP="00BE3033">
            <w:pPr>
              <w:widowControl/>
              <w:jc w:val="center"/>
              <w:rPr>
                <w:b/>
                <w:bCs/>
                <w:sz w:val="18"/>
                <w:szCs w:val="18"/>
              </w:rPr>
            </w:pPr>
            <w:r w:rsidRPr="00CE232E">
              <w:rPr>
                <w:b/>
                <w:bCs/>
                <w:sz w:val="18"/>
                <w:szCs w:val="18"/>
              </w:rPr>
              <w:t>Законови резерви</w:t>
            </w:r>
          </w:p>
        </w:tc>
        <w:tc>
          <w:tcPr>
            <w:tcW w:w="1092" w:type="dxa"/>
            <w:tcBorders>
              <w:top w:val="single" w:sz="4" w:space="0" w:color="auto"/>
              <w:left w:val="nil"/>
              <w:bottom w:val="double" w:sz="6" w:space="0" w:color="auto"/>
              <w:right w:val="nil"/>
            </w:tcBorders>
            <w:shd w:val="clear" w:color="auto" w:fill="auto"/>
            <w:tcMar>
              <w:left w:w="28" w:type="dxa"/>
              <w:right w:w="28" w:type="dxa"/>
            </w:tcMar>
            <w:hideMark/>
          </w:tcPr>
          <w:p w:rsidR="00CE232E" w:rsidRPr="00CE232E" w:rsidRDefault="00CE232E" w:rsidP="00BE3033">
            <w:pPr>
              <w:widowControl/>
              <w:jc w:val="center"/>
              <w:rPr>
                <w:b/>
                <w:bCs/>
                <w:sz w:val="18"/>
                <w:szCs w:val="18"/>
              </w:rPr>
            </w:pPr>
            <w:r w:rsidRPr="00CE232E">
              <w:rPr>
                <w:b/>
                <w:bCs/>
                <w:sz w:val="18"/>
                <w:szCs w:val="18"/>
              </w:rPr>
              <w:t>Други резерви</w:t>
            </w:r>
          </w:p>
        </w:tc>
        <w:tc>
          <w:tcPr>
            <w:tcW w:w="1657" w:type="dxa"/>
            <w:tcBorders>
              <w:top w:val="single" w:sz="4" w:space="0" w:color="auto"/>
              <w:left w:val="nil"/>
              <w:bottom w:val="double" w:sz="6" w:space="0" w:color="auto"/>
              <w:right w:val="nil"/>
            </w:tcBorders>
            <w:shd w:val="clear" w:color="auto" w:fill="auto"/>
            <w:tcMar>
              <w:left w:w="28" w:type="dxa"/>
              <w:right w:w="28" w:type="dxa"/>
            </w:tcMar>
            <w:hideMark/>
          </w:tcPr>
          <w:p w:rsidR="00CE232E" w:rsidRPr="00CE232E" w:rsidRDefault="00CE232E" w:rsidP="00BE3033">
            <w:pPr>
              <w:widowControl/>
              <w:jc w:val="center"/>
              <w:rPr>
                <w:b/>
                <w:bCs/>
                <w:sz w:val="18"/>
                <w:szCs w:val="18"/>
              </w:rPr>
            </w:pPr>
            <w:r w:rsidRPr="00CE232E">
              <w:rPr>
                <w:b/>
                <w:bCs/>
                <w:sz w:val="18"/>
                <w:szCs w:val="18"/>
              </w:rPr>
              <w:t>Резерв по финансови активи на разположение за продажба</w:t>
            </w:r>
          </w:p>
        </w:tc>
        <w:tc>
          <w:tcPr>
            <w:tcW w:w="1320" w:type="dxa"/>
            <w:tcBorders>
              <w:top w:val="single" w:sz="4" w:space="0" w:color="auto"/>
              <w:left w:val="nil"/>
              <w:bottom w:val="double" w:sz="6" w:space="0" w:color="auto"/>
              <w:right w:val="nil"/>
            </w:tcBorders>
            <w:shd w:val="clear" w:color="auto" w:fill="auto"/>
            <w:tcMar>
              <w:left w:w="28" w:type="dxa"/>
              <w:right w:w="28" w:type="dxa"/>
            </w:tcMar>
            <w:hideMark/>
          </w:tcPr>
          <w:p w:rsidR="00CE232E" w:rsidRPr="00CE232E" w:rsidRDefault="00CE232E" w:rsidP="00BE3033">
            <w:pPr>
              <w:widowControl/>
              <w:jc w:val="center"/>
              <w:rPr>
                <w:b/>
                <w:bCs/>
                <w:sz w:val="18"/>
                <w:szCs w:val="18"/>
              </w:rPr>
            </w:pPr>
            <w:r w:rsidRPr="00CE232E">
              <w:rPr>
                <w:b/>
                <w:bCs/>
                <w:sz w:val="18"/>
                <w:szCs w:val="18"/>
              </w:rPr>
              <w:t>Натрупани печалби и загуби</w:t>
            </w:r>
          </w:p>
        </w:tc>
        <w:tc>
          <w:tcPr>
            <w:tcW w:w="1243" w:type="dxa"/>
            <w:tcBorders>
              <w:top w:val="single" w:sz="4" w:space="0" w:color="auto"/>
              <w:left w:val="nil"/>
              <w:bottom w:val="double" w:sz="6" w:space="0" w:color="auto"/>
              <w:right w:val="nil"/>
            </w:tcBorders>
            <w:shd w:val="clear" w:color="auto" w:fill="auto"/>
            <w:tcMar>
              <w:left w:w="28" w:type="dxa"/>
              <w:right w:w="28" w:type="dxa"/>
            </w:tcMar>
            <w:hideMark/>
          </w:tcPr>
          <w:p w:rsidR="00CE232E" w:rsidRPr="00CE232E" w:rsidRDefault="00CE232E" w:rsidP="00BE3033">
            <w:pPr>
              <w:widowControl/>
              <w:jc w:val="center"/>
              <w:rPr>
                <w:b/>
                <w:bCs/>
                <w:sz w:val="18"/>
                <w:szCs w:val="18"/>
              </w:rPr>
            </w:pPr>
            <w:r w:rsidRPr="00CE232E">
              <w:rPr>
                <w:b/>
                <w:bCs/>
                <w:sz w:val="18"/>
                <w:szCs w:val="18"/>
              </w:rPr>
              <w:t>Общо собствен капитал</w:t>
            </w:r>
          </w:p>
        </w:tc>
      </w:tr>
      <w:tr w:rsidR="00CE232E" w:rsidRPr="00CE232E"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p>
        </w:tc>
        <w:tc>
          <w:tcPr>
            <w:tcW w:w="1091" w:type="dxa"/>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r w:rsidRPr="00CE232E">
              <w:rPr>
                <w:b/>
                <w:bCs/>
                <w:sz w:val="20"/>
                <w:szCs w:val="20"/>
              </w:rPr>
              <w:t>BGN'000</w:t>
            </w:r>
          </w:p>
        </w:tc>
        <w:tc>
          <w:tcPr>
            <w:tcW w:w="1092" w:type="dxa"/>
            <w:tcBorders>
              <w:top w:val="nil"/>
              <w:left w:val="nil"/>
              <w:bottom w:val="nil"/>
              <w:right w:val="nil"/>
            </w:tcBorders>
          </w:tcPr>
          <w:p w:rsidR="00CE232E" w:rsidRPr="00CE232E" w:rsidRDefault="00CE232E" w:rsidP="00BE3033">
            <w:pPr>
              <w:widowControl/>
              <w:jc w:val="center"/>
              <w:rPr>
                <w:b/>
                <w:bCs/>
                <w:sz w:val="20"/>
                <w:szCs w:val="20"/>
              </w:rPr>
            </w:pPr>
            <w:r w:rsidRPr="00CE232E">
              <w:rPr>
                <w:b/>
                <w:bCs/>
                <w:sz w:val="20"/>
                <w:szCs w:val="20"/>
              </w:rPr>
              <w:t>BGN'000</w:t>
            </w:r>
          </w:p>
        </w:tc>
        <w:tc>
          <w:tcPr>
            <w:tcW w:w="1092" w:type="dxa"/>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r w:rsidRPr="00CE232E">
              <w:rPr>
                <w:b/>
                <w:bCs/>
                <w:sz w:val="20"/>
                <w:szCs w:val="20"/>
              </w:rPr>
              <w:t>BGN'000</w:t>
            </w:r>
          </w:p>
        </w:tc>
        <w:tc>
          <w:tcPr>
            <w:tcW w:w="1657" w:type="dxa"/>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r w:rsidRPr="00CE232E">
              <w:rPr>
                <w:b/>
                <w:bCs/>
                <w:sz w:val="20"/>
                <w:szCs w:val="20"/>
              </w:rPr>
              <w:t>BGN'000</w:t>
            </w:r>
          </w:p>
        </w:tc>
        <w:tc>
          <w:tcPr>
            <w:tcW w:w="1320" w:type="dxa"/>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r w:rsidRPr="00CE232E">
              <w:rPr>
                <w:b/>
                <w:bCs/>
                <w:sz w:val="20"/>
                <w:szCs w:val="20"/>
              </w:rPr>
              <w:t>BGN'000</w:t>
            </w:r>
          </w:p>
        </w:tc>
        <w:tc>
          <w:tcPr>
            <w:tcW w:w="1243" w:type="dxa"/>
            <w:tcBorders>
              <w:top w:val="nil"/>
              <w:left w:val="nil"/>
              <w:bottom w:val="nil"/>
              <w:right w:val="nil"/>
            </w:tcBorders>
            <w:shd w:val="clear" w:color="auto" w:fill="auto"/>
            <w:noWrap/>
            <w:tcMar>
              <w:left w:w="28" w:type="dxa"/>
              <w:right w:w="28" w:type="dxa"/>
            </w:tcMar>
            <w:hideMark/>
          </w:tcPr>
          <w:p w:rsidR="00CE232E" w:rsidRPr="00CE232E" w:rsidRDefault="00CE232E" w:rsidP="00BE3033">
            <w:pPr>
              <w:widowControl/>
              <w:jc w:val="center"/>
              <w:rPr>
                <w:b/>
                <w:bCs/>
                <w:sz w:val="20"/>
                <w:szCs w:val="20"/>
              </w:rPr>
            </w:pPr>
            <w:r w:rsidRPr="00CE232E">
              <w:rPr>
                <w:b/>
                <w:bCs/>
                <w:sz w:val="20"/>
                <w:szCs w:val="20"/>
              </w:rPr>
              <w:t>BGN'000</w:t>
            </w:r>
          </w:p>
        </w:tc>
      </w:tr>
      <w:tr w:rsidR="00CE232E" w:rsidRPr="00CE232E"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CE232E" w:rsidRDefault="00CE232E" w:rsidP="00C13EB0">
            <w:pPr>
              <w:widowControl/>
              <w:jc w:val="right"/>
              <w:rPr>
                <w:rFonts w:ascii="Times New Roman" w:hAnsi="Times New Roman"/>
                <w:sz w:val="20"/>
                <w:szCs w:val="20"/>
              </w:rPr>
            </w:pP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r>
      <w:tr w:rsidR="00CE232E" w:rsidRPr="00CE232E"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CE232E" w:rsidRDefault="00CE232E" w:rsidP="00E214F6">
            <w:pPr>
              <w:widowControl/>
              <w:jc w:val="left"/>
              <w:rPr>
                <w:b/>
                <w:bCs/>
                <w:sz w:val="20"/>
                <w:szCs w:val="20"/>
              </w:rPr>
            </w:pPr>
            <w:r w:rsidRPr="00CE232E">
              <w:rPr>
                <w:b/>
                <w:bCs/>
                <w:sz w:val="20"/>
                <w:szCs w:val="20"/>
              </w:rPr>
              <w:t>Салдо на 1 януари 201</w:t>
            </w:r>
            <w:r w:rsidRPr="00CE232E">
              <w:rPr>
                <w:b/>
                <w:bCs/>
                <w:sz w:val="20"/>
                <w:szCs w:val="20"/>
                <w:lang w:val="en-US"/>
              </w:rPr>
              <w:t>9</w:t>
            </w:r>
            <w:r w:rsidRPr="00CE232E">
              <w:rPr>
                <w:b/>
                <w:bCs/>
                <w:sz w:val="20"/>
                <w:szCs w:val="20"/>
              </w:rPr>
              <w:t xml:space="preserve"> година</w:t>
            </w:r>
          </w:p>
        </w:tc>
        <w:tc>
          <w:tcPr>
            <w:tcW w:w="1091"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6 583 </w:t>
            </w:r>
          </w:p>
        </w:tc>
        <w:tc>
          <w:tcPr>
            <w:tcW w:w="1092" w:type="dxa"/>
            <w:tcBorders>
              <w:top w:val="single" w:sz="4" w:space="0" w:color="auto"/>
              <w:left w:val="nil"/>
              <w:bottom w:val="double" w:sz="6" w:space="0" w:color="auto"/>
              <w:right w:val="nil"/>
            </w:tcBorders>
          </w:tcPr>
          <w:p w:rsidR="00CE232E" w:rsidRPr="00CE232E" w:rsidRDefault="00CE232E" w:rsidP="00BE3033">
            <w:pPr>
              <w:widowControl/>
              <w:jc w:val="right"/>
              <w:rPr>
                <w:b/>
                <w:bCs/>
                <w:sz w:val="20"/>
                <w:szCs w:val="20"/>
              </w:rPr>
            </w:pPr>
            <w:r w:rsidRPr="00CE232E">
              <w:rPr>
                <w:b/>
                <w:bCs/>
                <w:sz w:val="20"/>
                <w:szCs w:val="20"/>
              </w:rPr>
              <w:t>658</w:t>
            </w:r>
          </w:p>
        </w:tc>
        <w:tc>
          <w:tcPr>
            <w:tcW w:w="1092"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2 487 </w:t>
            </w:r>
          </w:p>
        </w:tc>
        <w:tc>
          <w:tcPr>
            <w:tcW w:w="1657"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422 </w:t>
            </w:r>
          </w:p>
        </w:tc>
        <w:tc>
          <w:tcPr>
            <w:tcW w:w="1320"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6 442 </w:t>
            </w:r>
          </w:p>
        </w:tc>
        <w:tc>
          <w:tcPr>
            <w:tcW w:w="1243"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16 592 </w:t>
            </w:r>
          </w:p>
        </w:tc>
      </w:tr>
      <w:tr w:rsidR="00CE232E" w:rsidRPr="00CE232E"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CE232E" w:rsidRDefault="00CE232E" w:rsidP="00E214F6">
            <w:pPr>
              <w:widowControl/>
              <w:jc w:val="left"/>
              <w:rPr>
                <w:b/>
                <w:bCs/>
                <w:i/>
                <w:iCs/>
                <w:sz w:val="20"/>
                <w:szCs w:val="20"/>
              </w:rPr>
            </w:pPr>
            <w:r w:rsidRPr="00CE232E">
              <w:rPr>
                <w:b/>
                <w:bCs/>
                <w:i/>
                <w:iCs/>
                <w:sz w:val="20"/>
                <w:szCs w:val="20"/>
              </w:rPr>
              <w:t>Промени в собствения капитал за 201</w:t>
            </w:r>
            <w:r w:rsidRPr="00CE232E">
              <w:rPr>
                <w:b/>
                <w:bCs/>
                <w:i/>
                <w:iCs/>
                <w:sz w:val="20"/>
                <w:szCs w:val="20"/>
                <w:lang w:val="en-US"/>
              </w:rPr>
              <w:t xml:space="preserve">9 </w:t>
            </w:r>
            <w:r w:rsidRPr="00CE232E">
              <w:rPr>
                <w:b/>
                <w:bCs/>
                <w:i/>
                <w:iCs/>
                <w:sz w:val="20"/>
                <w:szCs w:val="20"/>
              </w:rPr>
              <w:t>година</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CE232E">
            <w:pPr>
              <w:widowControl/>
              <w:jc w:val="left"/>
              <w:rPr>
                <w:sz w:val="20"/>
                <w:szCs w:val="20"/>
              </w:rPr>
            </w:pPr>
            <w:r w:rsidRPr="00E214F6">
              <w:rPr>
                <w:sz w:val="20"/>
                <w:szCs w:val="20"/>
              </w:rPr>
              <w:t xml:space="preserve">Разпределение на </w:t>
            </w:r>
            <w:r>
              <w:rPr>
                <w:sz w:val="20"/>
                <w:szCs w:val="20"/>
              </w:rPr>
              <w:t>печалбата</w:t>
            </w:r>
            <w:r w:rsidRPr="00E214F6">
              <w:rPr>
                <w:sz w:val="20"/>
                <w:szCs w:val="20"/>
              </w:rPr>
              <w:t xml:space="preserve"> за: </w:t>
            </w:r>
          </w:p>
        </w:tc>
        <w:tc>
          <w:tcPr>
            <w:tcW w:w="1091"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single" w:sz="4" w:space="0" w:color="auto"/>
              <w:right w:val="nil"/>
            </w:tcBorders>
          </w:tcPr>
          <w:p w:rsidR="00CE232E" w:rsidRPr="00CE232E" w:rsidRDefault="00CE232E" w:rsidP="00BE3033">
            <w:pPr>
              <w:widowControl/>
              <w:jc w:val="right"/>
              <w:rPr>
                <w:sz w:val="20"/>
                <w:szCs w:val="20"/>
              </w:rPr>
            </w:pPr>
          </w:p>
        </w:tc>
        <w:tc>
          <w:tcPr>
            <w:tcW w:w="1092"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sz w:val="20"/>
                <w:szCs w:val="20"/>
              </w:rPr>
            </w:pPr>
            <w:r w:rsidRPr="00CE232E">
              <w:rPr>
                <w:sz w:val="20"/>
                <w:szCs w:val="20"/>
              </w:rPr>
              <w:t xml:space="preserve"> 208 </w:t>
            </w:r>
          </w:p>
        </w:tc>
        <w:tc>
          <w:tcPr>
            <w:tcW w:w="1657"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320"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sz w:val="20"/>
                <w:szCs w:val="20"/>
              </w:rPr>
            </w:pPr>
            <w:r w:rsidRPr="00CE232E">
              <w:rPr>
                <w:sz w:val="20"/>
                <w:szCs w:val="20"/>
              </w:rPr>
              <w:t xml:space="preserve"> (415)</w:t>
            </w:r>
          </w:p>
        </w:tc>
        <w:tc>
          <w:tcPr>
            <w:tcW w:w="1243"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sz w:val="20"/>
                <w:szCs w:val="20"/>
              </w:rPr>
            </w:pPr>
            <w:r w:rsidRPr="00CE232E">
              <w:rPr>
                <w:sz w:val="20"/>
                <w:szCs w:val="20"/>
              </w:rPr>
              <w:t xml:space="preserve"> (207)</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xml:space="preserve"> * дивиденти</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i/>
                <w:iCs/>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(207)</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sz w:val="20"/>
                <w:szCs w:val="20"/>
              </w:rPr>
            </w:pPr>
            <w:r w:rsidRPr="00CE232E">
              <w:rPr>
                <w:sz w:val="20"/>
                <w:szCs w:val="20"/>
              </w:rPr>
              <w:t xml:space="preserve"> (207)</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CE232E">
            <w:pPr>
              <w:widowControl/>
              <w:jc w:val="left"/>
              <w:rPr>
                <w:i/>
                <w:iCs/>
                <w:sz w:val="20"/>
                <w:szCs w:val="20"/>
              </w:rPr>
            </w:pPr>
            <w:r w:rsidRPr="00E214F6">
              <w:rPr>
                <w:i/>
                <w:iCs/>
                <w:sz w:val="20"/>
                <w:szCs w:val="20"/>
              </w:rPr>
              <w:t xml:space="preserve"> * допълнителен резерв</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tcPr>
          <w:p w:rsidR="00CE232E" w:rsidRPr="00CE232E" w:rsidRDefault="00CE232E" w:rsidP="00BE3033">
            <w:pPr>
              <w:widowControl/>
              <w:jc w:val="right"/>
              <w:rPr>
                <w:i/>
                <w:iCs/>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208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(208)</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b/>
                <w:bCs/>
                <w:sz w:val="20"/>
                <w:szCs w:val="20"/>
              </w:rPr>
            </w:pPr>
            <w:r w:rsidRPr="00E214F6">
              <w:rPr>
                <w:b/>
                <w:bCs/>
                <w:sz w:val="20"/>
                <w:szCs w:val="20"/>
              </w:rPr>
              <w:t xml:space="preserve">Общ всеобхватен доход за годината, в т.ч.: </w:t>
            </w:r>
          </w:p>
        </w:tc>
        <w:tc>
          <w:tcPr>
            <w:tcW w:w="1091"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 </w:t>
            </w:r>
          </w:p>
        </w:tc>
        <w:tc>
          <w:tcPr>
            <w:tcW w:w="1092" w:type="dxa"/>
            <w:tcBorders>
              <w:top w:val="nil"/>
              <w:left w:val="nil"/>
              <w:bottom w:val="single" w:sz="4" w:space="0" w:color="auto"/>
              <w:right w:val="nil"/>
            </w:tcBorders>
          </w:tcPr>
          <w:p w:rsidR="00CE232E" w:rsidRPr="00CE232E" w:rsidRDefault="00CE232E" w:rsidP="00BE3033">
            <w:pPr>
              <w:widowControl/>
              <w:jc w:val="right"/>
              <w:rPr>
                <w:b/>
                <w:bCs/>
                <w:sz w:val="20"/>
                <w:szCs w:val="20"/>
              </w:rPr>
            </w:pPr>
          </w:p>
        </w:tc>
        <w:tc>
          <w:tcPr>
            <w:tcW w:w="1092"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 </w:t>
            </w:r>
          </w:p>
        </w:tc>
        <w:tc>
          <w:tcPr>
            <w:tcW w:w="1657"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38</w:t>
            </w:r>
          </w:p>
        </w:tc>
        <w:tc>
          <w:tcPr>
            <w:tcW w:w="1320"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2 761 </w:t>
            </w:r>
          </w:p>
        </w:tc>
        <w:tc>
          <w:tcPr>
            <w:tcW w:w="1243"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2 799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нетна печалба за годината</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2 769 </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2 769 </w:t>
            </w:r>
          </w:p>
        </w:tc>
      </w:tr>
      <w:tr w:rsidR="00CE232E" w:rsidRPr="00F55B63" w:rsidTr="00CE232E">
        <w:trPr>
          <w:trHeight w:val="170"/>
          <w:jc w:val="center"/>
        </w:trPr>
        <w:tc>
          <w:tcPr>
            <w:tcW w:w="4181" w:type="dxa"/>
            <w:gridSpan w:val="2"/>
            <w:tcBorders>
              <w:top w:val="nil"/>
              <w:left w:val="nil"/>
              <w:bottom w:val="nil"/>
              <w:right w:val="nil"/>
            </w:tcBorders>
            <w:shd w:val="clear" w:color="auto" w:fill="auto"/>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други компоненти на всеобхватния доход, нетно от данъци</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38</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lang w:val="en-US"/>
              </w:rPr>
            </w:pPr>
            <w:r w:rsidRPr="00CE232E">
              <w:rPr>
                <w:i/>
                <w:iCs/>
                <w:sz w:val="20"/>
                <w:szCs w:val="20"/>
                <w:lang w:val="en-US"/>
              </w:rPr>
              <w:t>(8)</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lang w:val="en-US"/>
              </w:rPr>
            </w:pPr>
            <w:r w:rsidRPr="00CE232E">
              <w:rPr>
                <w:i/>
                <w:iCs/>
                <w:sz w:val="20"/>
                <w:szCs w:val="20"/>
                <w:lang w:val="en-US"/>
              </w:rPr>
              <w:t>30</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E214F6">
            <w:pPr>
              <w:widowControl/>
              <w:jc w:val="left"/>
              <w:rPr>
                <w:b/>
                <w:bCs/>
                <w:sz w:val="20"/>
                <w:szCs w:val="20"/>
              </w:rPr>
            </w:pPr>
            <w:r w:rsidRPr="00E214F6">
              <w:rPr>
                <w:b/>
                <w:bCs/>
                <w:sz w:val="20"/>
                <w:szCs w:val="20"/>
              </w:rPr>
              <w:t>Салдо на 31 декември 201</w:t>
            </w:r>
            <w:r w:rsidRPr="00E214F6">
              <w:rPr>
                <w:b/>
                <w:bCs/>
                <w:sz w:val="20"/>
                <w:szCs w:val="20"/>
                <w:lang w:val="en-US"/>
              </w:rPr>
              <w:t>9</w:t>
            </w:r>
            <w:r w:rsidRPr="00E214F6">
              <w:rPr>
                <w:b/>
                <w:bCs/>
                <w:sz w:val="20"/>
                <w:szCs w:val="20"/>
              </w:rPr>
              <w:t xml:space="preserve"> година</w:t>
            </w:r>
          </w:p>
        </w:tc>
        <w:tc>
          <w:tcPr>
            <w:tcW w:w="1091"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6 583 </w:t>
            </w:r>
          </w:p>
        </w:tc>
        <w:tc>
          <w:tcPr>
            <w:tcW w:w="1092" w:type="dxa"/>
            <w:tcBorders>
              <w:top w:val="single" w:sz="4" w:space="0" w:color="auto"/>
              <w:left w:val="nil"/>
              <w:bottom w:val="double" w:sz="6" w:space="0" w:color="auto"/>
              <w:right w:val="nil"/>
            </w:tcBorders>
          </w:tcPr>
          <w:p w:rsidR="00CE232E" w:rsidRPr="00CE232E" w:rsidRDefault="00CE232E" w:rsidP="00BE3033">
            <w:pPr>
              <w:widowControl/>
              <w:jc w:val="right"/>
              <w:rPr>
                <w:b/>
                <w:bCs/>
                <w:sz w:val="20"/>
                <w:szCs w:val="20"/>
                <w:lang w:val="en-US"/>
              </w:rPr>
            </w:pPr>
            <w:r w:rsidRPr="00CE232E">
              <w:rPr>
                <w:b/>
                <w:bCs/>
                <w:sz w:val="20"/>
                <w:szCs w:val="20"/>
                <w:lang w:val="en-US"/>
              </w:rPr>
              <w:t>658</w:t>
            </w:r>
          </w:p>
        </w:tc>
        <w:tc>
          <w:tcPr>
            <w:tcW w:w="1092"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w:t>
            </w:r>
            <w:r w:rsidRPr="00CE232E">
              <w:rPr>
                <w:b/>
                <w:bCs/>
                <w:sz w:val="20"/>
                <w:szCs w:val="20"/>
                <w:lang w:val="en-US"/>
              </w:rPr>
              <w:t>2 695</w:t>
            </w:r>
            <w:r w:rsidRPr="00CE232E">
              <w:rPr>
                <w:b/>
                <w:bCs/>
                <w:sz w:val="20"/>
                <w:szCs w:val="20"/>
              </w:rPr>
              <w:t xml:space="preserve"> </w:t>
            </w:r>
          </w:p>
        </w:tc>
        <w:tc>
          <w:tcPr>
            <w:tcW w:w="1657"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4</w:t>
            </w:r>
            <w:r w:rsidRPr="00CE232E">
              <w:rPr>
                <w:b/>
                <w:bCs/>
                <w:sz w:val="20"/>
                <w:szCs w:val="20"/>
                <w:lang w:val="en-US"/>
              </w:rPr>
              <w:t>60</w:t>
            </w:r>
            <w:r w:rsidRPr="00CE232E">
              <w:rPr>
                <w:b/>
                <w:bCs/>
                <w:sz w:val="20"/>
                <w:szCs w:val="20"/>
              </w:rPr>
              <w:t xml:space="preserve"> </w:t>
            </w:r>
          </w:p>
        </w:tc>
        <w:tc>
          <w:tcPr>
            <w:tcW w:w="1320"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w:t>
            </w:r>
            <w:r w:rsidRPr="00CE232E">
              <w:rPr>
                <w:b/>
                <w:bCs/>
                <w:sz w:val="20"/>
                <w:szCs w:val="20"/>
                <w:lang w:val="en-US"/>
              </w:rPr>
              <w:t>8 788</w:t>
            </w:r>
            <w:r w:rsidRPr="00CE232E">
              <w:rPr>
                <w:b/>
                <w:bCs/>
                <w:sz w:val="20"/>
                <w:szCs w:val="20"/>
              </w:rPr>
              <w:t xml:space="preserve"> </w:t>
            </w:r>
          </w:p>
        </w:tc>
        <w:tc>
          <w:tcPr>
            <w:tcW w:w="1243"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1</w:t>
            </w:r>
            <w:r w:rsidRPr="00CE232E">
              <w:rPr>
                <w:b/>
                <w:bCs/>
                <w:sz w:val="20"/>
                <w:szCs w:val="20"/>
                <w:lang w:val="en-US"/>
              </w:rPr>
              <w:t>9</w:t>
            </w:r>
            <w:r w:rsidRPr="00CE232E">
              <w:rPr>
                <w:b/>
                <w:bCs/>
                <w:sz w:val="20"/>
                <w:szCs w:val="20"/>
              </w:rPr>
              <w:t xml:space="preserve"> </w:t>
            </w:r>
            <w:r w:rsidRPr="00CE232E">
              <w:rPr>
                <w:b/>
                <w:bCs/>
                <w:sz w:val="20"/>
                <w:szCs w:val="20"/>
                <w:lang w:val="en-US"/>
              </w:rPr>
              <w:t>184</w:t>
            </w:r>
            <w:r w:rsidRPr="00CE232E">
              <w:rPr>
                <w:b/>
                <w:bCs/>
                <w:sz w:val="20"/>
                <w:szCs w:val="20"/>
              </w:rPr>
              <w:t xml:space="preserve">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b/>
                <w:bCs/>
                <w:sz w:val="20"/>
                <w:szCs w:val="20"/>
              </w:rPr>
            </w:pP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E214F6">
            <w:pPr>
              <w:widowControl/>
              <w:jc w:val="left"/>
              <w:rPr>
                <w:b/>
                <w:bCs/>
                <w:i/>
                <w:iCs/>
                <w:sz w:val="20"/>
                <w:szCs w:val="20"/>
              </w:rPr>
            </w:pPr>
            <w:r w:rsidRPr="00E214F6">
              <w:rPr>
                <w:b/>
                <w:bCs/>
                <w:i/>
                <w:iCs/>
                <w:sz w:val="20"/>
                <w:szCs w:val="20"/>
              </w:rPr>
              <w:t>Промени в собствения капитал за 20</w:t>
            </w:r>
            <w:r w:rsidRPr="00E214F6">
              <w:rPr>
                <w:b/>
                <w:bCs/>
                <w:i/>
                <w:iCs/>
                <w:sz w:val="20"/>
                <w:szCs w:val="20"/>
                <w:lang w:val="en-US"/>
              </w:rPr>
              <w:t>20</w:t>
            </w:r>
            <w:r w:rsidRPr="00E214F6">
              <w:rPr>
                <w:b/>
                <w:bCs/>
                <w:i/>
                <w:iCs/>
                <w:sz w:val="20"/>
                <w:szCs w:val="20"/>
              </w:rPr>
              <w:t xml:space="preserve"> година</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tcPr>
          <w:p w:rsidR="00CE232E" w:rsidRPr="00CE232E" w:rsidRDefault="00CE232E" w:rsidP="00BE3033">
            <w:pPr>
              <w:widowControl/>
              <w:jc w:val="right"/>
              <w:rPr>
                <w:rFonts w:ascii="Times New Roman" w:hAnsi="Times New Roman"/>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rPr>
            </w:pP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sz w:val="20"/>
                <w:szCs w:val="20"/>
              </w:rPr>
            </w:pPr>
            <w:r w:rsidRPr="00E214F6">
              <w:rPr>
                <w:sz w:val="20"/>
                <w:szCs w:val="20"/>
              </w:rPr>
              <w:t xml:space="preserve">Разпределение на печалбата за: </w:t>
            </w:r>
          </w:p>
        </w:tc>
        <w:tc>
          <w:tcPr>
            <w:tcW w:w="1091"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single" w:sz="4" w:space="0" w:color="auto"/>
              <w:right w:val="nil"/>
            </w:tcBorders>
          </w:tcPr>
          <w:p w:rsidR="00CE232E" w:rsidRPr="00CE232E" w:rsidRDefault="00CE232E" w:rsidP="00BE3033">
            <w:pPr>
              <w:widowControl/>
              <w:jc w:val="right"/>
              <w:rPr>
                <w:sz w:val="20"/>
                <w:szCs w:val="20"/>
              </w:rPr>
            </w:pPr>
            <w:r w:rsidRPr="00CE232E">
              <w:rPr>
                <w:sz w:val="20"/>
                <w:szCs w:val="20"/>
              </w:rPr>
              <w:t>-</w:t>
            </w:r>
          </w:p>
        </w:tc>
        <w:tc>
          <w:tcPr>
            <w:tcW w:w="1092"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657"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320"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243"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xml:space="preserve"> * дивиденти</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i/>
                <w:iCs/>
                <w:sz w:val="20"/>
                <w:szCs w:val="20"/>
              </w:rPr>
            </w:pPr>
            <w:r w:rsidRPr="00CE232E">
              <w:rPr>
                <w:i/>
                <w:iCs/>
                <w:sz w:val="20"/>
                <w:szCs w:val="20"/>
              </w:rPr>
              <w:t>-</w:t>
            </w: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lang w:val="en-US"/>
              </w:rPr>
            </w:pPr>
            <w:r w:rsidRPr="00CE232E">
              <w:rPr>
                <w:i/>
                <w:iCs/>
                <w:sz w:val="20"/>
                <w:szCs w:val="20"/>
                <w:lang w:val="en-US"/>
              </w:rPr>
              <w:t>-</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rFonts w:ascii="Times New Roman" w:hAnsi="Times New Roman"/>
                <w:sz w:val="20"/>
                <w:szCs w:val="20"/>
                <w:lang w:val="en-US"/>
              </w:rPr>
            </w:pPr>
            <w:r w:rsidRPr="00CE232E">
              <w:rPr>
                <w:rFonts w:ascii="Times New Roman" w:hAnsi="Times New Roman"/>
                <w:sz w:val="20"/>
                <w:szCs w:val="20"/>
                <w:lang w:val="en-US"/>
              </w:rPr>
              <w:t>-</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CE232E">
            <w:pPr>
              <w:widowControl/>
              <w:jc w:val="left"/>
              <w:rPr>
                <w:i/>
                <w:iCs/>
                <w:sz w:val="20"/>
                <w:szCs w:val="20"/>
              </w:rPr>
            </w:pPr>
            <w:r w:rsidRPr="00E214F6">
              <w:rPr>
                <w:i/>
                <w:iCs/>
                <w:sz w:val="20"/>
                <w:szCs w:val="20"/>
              </w:rPr>
              <w:t xml:space="preserve"> * допълнителен резерв</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i/>
                <w:iCs/>
                <w:sz w:val="20"/>
                <w:szCs w:val="20"/>
              </w:rPr>
            </w:pPr>
            <w:r w:rsidRPr="00CE232E">
              <w:rPr>
                <w:i/>
                <w:iCs/>
                <w:sz w:val="20"/>
                <w:szCs w:val="20"/>
              </w:rPr>
              <w:t>-</w:t>
            </w: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 xml:space="preserve"> -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rPr>
              <w:t>-</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3116F2" w:rsidRDefault="00CE232E" w:rsidP="00BE3033">
            <w:pPr>
              <w:widowControl/>
              <w:jc w:val="left"/>
              <w:rPr>
                <w:bCs/>
                <w:sz w:val="20"/>
                <w:szCs w:val="20"/>
              </w:rPr>
            </w:pPr>
            <w:r w:rsidRPr="003116F2">
              <w:rPr>
                <w:bCs/>
                <w:sz w:val="20"/>
                <w:szCs w:val="20"/>
              </w:rPr>
              <w:t>Ефект от придобити дейности</w:t>
            </w:r>
          </w:p>
        </w:tc>
        <w:tc>
          <w:tcPr>
            <w:tcW w:w="1091"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w:t>
            </w:r>
          </w:p>
        </w:tc>
        <w:tc>
          <w:tcPr>
            <w:tcW w:w="1092" w:type="dxa"/>
            <w:tcBorders>
              <w:top w:val="nil"/>
              <w:left w:val="nil"/>
              <w:bottom w:val="single" w:sz="4" w:space="0" w:color="auto"/>
              <w:right w:val="nil"/>
            </w:tcBorders>
          </w:tcPr>
          <w:p w:rsidR="00CE232E" w:rsidRPr="00CE232E" w:rsidRDefault="00CE232E" w:rsidP="00BE3033">
            <w:pPr>
              <w:widowControl/>
              <w:jc w:val="right"/>
              <w:rPr>
                <w:b/>
                <w:bCs/>
                <w:sz w:val="20"/>
                <w:szCs w:val="20"/>
              </w:rPr>
            </w:pPr>
            <w:r w:rsidRPr="00CE232E">
              <w:rPr>
                <w:b/>
                <w:bCs/>
                <w:sz w:val="20"/>
                <w:szCs w:val="20"/>
              </w:rPr>
              <w:t>-</w:t>
            </w:r>
          </w:p>
        </w:tc>
        <w:tc>
          <w:tcPr>
            <w:tcW w:w="1092"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w:t>
            </w:r>
          </w:p>
        </w:tc>
        <w:tc>
          <w:tcPr>
            <w:tcW w:w="1657"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w:t>
            </w:r>
          </w:p>
        </w:tc>
        <w:tc>
          <w:tcPr>
            <w:tcW w:w="1320"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w:t>
            </w:r>
          </w:p>
        </w:tc>
        <w:tc>
          <w:tcPr>
            <w:tcW w:w="1243"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b/>
                <w:bCs/>
                <w:sz w:val="20"/>
                <w:szCs w:val="20"/>
              </w:rPr>
            </w:pPr>
            <w:r w:rsidRPr="00E214F6">
              <w:rPr>
                <w:b/>
                <w:bCs/>
                <w:sz w:val="20"/>
                <w:szCs w:val="20"/>
              </w:rPr>
              <w:t xml:space="preserve">Общ всеобхватен доход за годината, в т.ч.: </w:t>
            </w:r>
          </w:p>
        </w:tc>
        <w:tc>
          <w:tcPr>
            <w:tcW w:w="1091"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 </w:t>
            </w:r>
          </w:p>
        </w:tc>
        <w:tc>
          <w:tcPr>
            <w:tcW w:w="1092" w:type="dxa"/>
            <w:tcBorders>
              <w:top w:val="nil"/>
              <w:left w:val="nil"/>
              <w:bottom w:val="single" w:sz="4" w:space="0" w:color="auto"/>
              <w:right w:val="nil"/>
            </w:tcBorders>
          </w:tcPr>
          <w:p w:rsidR="00CE232E" w:rsidRPr="00CE232E" w:rsidRDefault="00CE232E" w:rsidP="00BE3033">
            <w:pPr>
              <w:widowControl/>
              <w:jc w:val="right"/>
              <w:rPr>
                <w:b/>
                <w:bCs/>
                <w:sz w:val="20"/>
                <w:szCs w:val="20"/>
              </w:rPr>
            </w:pPr>
            <w:r w:rsidRPr="00CE232E">
              <w:rPr>
                <w:b/>
                <w:bCs/>
                <w:sz w:val="20"/>
                <w:szCs w:val="20"/>
              </w:rPr>
              <w:t>-</w:t>
            </w:r>
          </w:p>
        </w:tc>
        <w:tc>
          <w:tcPr>
            <w:tcW w:w="1092"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 </w:t>
            </w:r>
          </w:p>
        </w:tc>
        <w:tc>
          <w:tcPr>
            <w:tcW w:w="1657" w:type="dxa"/>
            <w:tcBorders>
              <w:top w:val="nil"/>
              <w:left w:val="nil"/>
              <w:bottom w:val="single" w:sz="4" w:space="0" w:color="auto"/>
              <w:right w:val="nil"/>
            </w:tcBorders>
            <w:shd w:val="clear" w:color="auto" w:fill="auto"/>
            <w:noWrap/>
            <w:tcMar>
              <w:left w:w="28" w:type="dxa"/>
              <w:right w:w="28" w:type="dxa"/>
            </w:tcMar>
            <w:vAlign w:val="bottom"/>
            <w:hideMark/>
          </w:tcPr>
          <w:p w:rsidR="00CE232E" w:rsidRPr="00DF0043" w:rsidRDefault="00CE232E" w:rsidP="00CE232E">
            <w:pPr>
              <w:widowControl/>
              <w:jc w:val="right"/>
              <w:rPr>
                <w:b/>
                <w:bCs/>
                <w:sz w:val="20"/>
                <w:szCs w:val="20"/>
              </w:rPr>
            </w:pPr>
            <w:r w:rsidRPr="00DF0043">
              <w:rPr>
                <w:b/>
                <w:i/>
                <w:iCs/>
                <w:sz w:val="20"/>
                <w:szCs w:val="20"/>
                <w:lang w:val="en-US"/>
              </w:rPr>
              <w:t>(</w:t>
            </w:r>
            <w:r w:rsidRPr="00DF0043">
              <w:rPr>
                <w:b/>
                <w:i/>
                <w:iCs/>
                <w:sz w:val="20"/>
                <w:szCs w:val="20"/>
              </w:rPr>
              <w:t>37</w:t>
            </w:r>
            <w:r w:rsidRPr="00DF0043">
              <w:rPr>
                <w:b/>
                <w:i/>
                <w:iCs/>
                <w:sz w:val="20"/>
                <w:szCs w:val="20"/>
                <w:lang w:val="en-US"/>
              </w:rPr>
              <w:t>)</w:t>
            </w:r>
            <w:r w:rsidRPr="00DF0043">
              <w:rPr>
                <w:b/>
                <w:bCs/>
                <w:sz w:val="20"/>
                <w:szCs w:val="20"/>
              </w:rPr>
              <w:t> </w:t>
            </w:r>
          </w:p>
        </w:tc>
        <w:tc>
          <w:tcPr>
            <w:tcW w:w="1320"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1 279 </w:t>
            </w:r>
          </w:p>
        </w:tc>
        <w:tc>
          <w:tcPr>
            <w:tcW w:w="1243" w:type="dxa"/>
            <w:tcBorders>
              <w:top w:val="nil"/>
              <w:left w:val="nil"/>
              <w:bottom w:val="single" w:sz="4"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1 242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нетна печалба за годината</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sz w:val="20"/>
                <w:szCs w:val="20"/>
              </w:rPr>
            </w:pPr>
            <w:r w:rsidRPr="00CE232E">
              <w:rPr>
                <w:sz w:val="20"/>
                <w:szCs w:val="20"/>
              </w:rPr>
              <w:t>-</w:t>
            </w: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1279 </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CE232E">
            <w:pPr>
              <w:widowControl/>
              <w:jc w:val="right"/>
              <w:rPr>
                <w:i/>
                <w:iCs/>
                <w:sz w:val="20"/>
                <w:szCs w:val="20"/>
              </w:rPr>
            </w:pPr>
            <w:r w:rsidRPr="00CE232E">
              <w:rPr>
                <w:i/>
                <w:iCs/>
                <w:sz w:val="20"/>
                <w:szCs w:val="20"/>
              </w:rPr>
              <w:t xml:space="preserve"> 1 279 </w:t>
            </w:r>
          </w:p>
        </w:tc>
      </w:tr>
      <w:tr w:rsidR="00CE232E" w:rsidRPr="00F55B63" w:rsidTr="00CE232E">
        <w:trPr>
          <w:trHeight w:val="170"/>
          <w:jc w:val="center"/>
        </w:trPr>
        <w:tc>
          <w:tcPr>
            <w:tcW w:w="4181" w:type="dxa"/>
            <w:gridSpan w:val="2"/>
            <w:tcBorders>
              <w:top w:val="nil"/>
              <w:left w:val="nil"/>
              <w:bottom w:val="nil"/>
              <w:right w:val="nil"/>
            </w:tcBorders>
            <w:shd w:val="clear" w:color="auto" w:fill="auto"/>
            <w:tcMar>
              <w:left w:w="28" w:type="dxa"/>
              <w:right w:w="28" w:type="dxa"/>
            </w:tcMar>
            <w:hideMark/>
          </w:tcPr>
          <w:p w:rsidR="00CE232E" w:rsidRPr="00E214F6" w:rsidRDefault="00CE232E" w:rsidP="00BE3033">
            <w:pPr>
              <w:widowControl/>
              <w:jc w:val="left"/>
              <w:rPr>
                <w:i/>
                <w:iCs/>
                <w:sz w:val="20"/>
                <w:szCs w:val="20"/>
              </w:rPr>
            </w:pPr>
            <w:r w:rsidRPr="00E214F6">
              <w:rPr>
                <w:i/>
                <w:iCs/>
                <w:sz w:val="20"/>
                <w:szCs w:val="20"/>
              </w:rPr>
              <w:t>* други компоненти на всеобхватния доход, нетно от данъци</w:t>
            </w:r>
          </w:p>
        </w:tc>
        <w:tc>
          <w:tcPr>
            <w:tcW w:w="1091"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092" w:type="dxa"/>
            <w:tcBorders>
              <w:top w:val="nil"/>
              <w:left w:val="nil"/>
              <w:bottom w:val="nil"/>
              <w:right w:val="nil"/>
            </w:tcBorders>
          </w:tcPr>
          <w:p w:rsidR="00CE232E" w:rsidRPr="00CE232E" w:rsidRDefault="00CE232E" w:rsidP="00BE3033">
            <w:pPr>
              <w:widowControl/>
              <w:jc w:val="right"/>
              <w:rPr>
                <w:sz w:val="20"/>
                <w:szCs w:val="20"/>
              </w:rPr>
            </w:pPr>
          </w:p>
        </w:tc>
        <w:tc>
          <w:tcPr>
            <w:tcW w:w="1092"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sz w:val="20"/>
                <w:szCs w:val="20"/>
              </w:rPr>
              <w:t xml:space="preserve"> - </w:t>
            </w:r>
          </w:p>
        </w:tc>
        <w:tc>
          <w:tcPr>
            <w:tcW w:w="1657"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sz w:val="20"/>
                <w:szCs w:val="20"/>
              </w:rPr>
            </w:pPr>
            <w:r w:rsidRPr="00CE232E">
              <w:rPr>
                <w:i/>
                <w:iCs/>
                <w:sz w:val="20"/>
                <w:szCs w:val="20"/>
                <w:lang w:val="en-US"/>
              </w:rPr>
              <w:t>(</w:t>
            </w:r>
            <w:r w:rsidRPr="00CE232E">
              <w:rPr>
                <w:i/>
                <w:iCs/>
                <w:sz w:val="20"/>
                <w:szCs w:val="20"/>
              </w:rPr>
              <w:t>37</w:t>
            </w:r>
            <w:r w:rsidRPr="00CE232E">
              <w:rPr>
                <w:i/>
                <w:iCs/>
                <w:sz w:val="20"/>
                <w:szCs w:val="20"/>
                <w:lang w:val="en-US"/>
              </w:rPr>
              <w:t>)</w:t>
            </w:r>
            <w:r w:rsidRPr="00CE232E">
              <w:rPr>
                <w:b/>
                <w:bCs/>
                <w:sz w:val="20"/>
                <w:szCs w:val="20"/>
              </w:rPr>
              <w:t> </w:t>
            </w:r>
          </w:p>
        </w:tc>
        <w:tc>
          <w:tcPr>
            <w:tcW w:w="1320" w:type="dxa"/>
            <w:tcBorders>
              <w:top w:val="nil"/>
              <w:left w:val="nil"/>
              <w:bottom w:val="nil"/>
              <w:right w:val="nil"/>
            </w:tcBorders>
            <w:shd w:val="clear" w:color="auto" w:fill="auto"/>
            <w:noWrap/>
            <w:tcMar>
              <w:left w:w="28" w:type="dxa"/>
              <w:right w:w="28" w:type="dxa"/>
            </w:tcMar>
            <w:vAlign w:val="bottom"/>
            <w:hideMark/>
          </w:tcPr>
          <w:p w:rsidR="00CE232E" w:rsidRPr="002C062A" w:rsidRDefault="002C062A" w:rsidP="00BE3033">
            <w:pPr>
              <w:widowControl/>
              <w:jc w:val="right"/>
              <w:rPr>
                <w:rFonts w:ascii="Times New Roman" w:hAnsi="Times New Roman"/>
                <w:sz w:val="20"/>
                <w:szCs w:val="20"/>
                <w:lang w:val="en-US"/>
              </w:rPr>
            </w:pPr>
            <w:r>
              <w:rPr>
                <w:rFonts w:ascii="Times New Roman" w:hAnsi="Times New Roman"/>
                <w:sz w:val="20"/>
                <w:szCs w:val="20"/>
                <w:lang w:val="en-US"/>
              </w:rPr>
              <w:t>-</w:t>
            </w:r>
          </w:p>
        </w:tc>
        <w:tc>
          <w:tcPr>
            <w:tcW w:w="1243" w:type="dxa"/>
            <w:tcBorders>
              <w:top w:val="nil"/>
              <w:left w:val="nil"/>
              <w:bottom w:val="nil"/>
              <w:right w:val="nil"/>
            </w:tcBorders>
            <w:shd w:val="clear" w:color="auto" w:fill="auto"/>
            <w:noWrap/>
            <w:tcMar>
              <w:left w:w="28" w:type="dxa"/>
              <w:right w:w="28" w:type="dxa"/>
            </w:tcMar>
            <w:vAlign w:val="bottom"/>
            <w:hideMark/>
          </w:tcPr>
          <w:p w:rsidR="00CE232E" w:rsidRPr="00CE232E" w:rsidRDefault="00CE232E" w:rsidP="00BE3033">
            <w:pPr>
              <w:widowControl/>
              <w:jc w:val="right"/>
              <w:rPr>
                <w:i/>
                <w:iCs/>
                <w:sz w:val="20"/>
                <w:szCs w:val="20"/>
              </w:rPr>
            </w:pPr>
            <w:r w:rsidRPr="00CE232E">
              <w:rPr>
                <w:i/>
                <w:iCs/>
                <w:sz w:val="20"/>
                <w:szCs w:val="20"/>
                <w:lang w:val="en-US"/>
              </w:rPr>
              <w:t>(</w:t>
            </w:r>
            <w:r w:rsidRPr="00CE232E">
              <w:rPr>
                <w:i/>
                <w:iCs/>
                <w:sz w:val="20"/>
                <w:szCs w:val="20"/>
              </w:rPr>
              <w:t>37</w:t>
            </w:r>
            <w:r w:rsidRPr="00CE232E">
              <w:rPr>
                <w:i/>
                <w:iCs/>
                <w:sz w:val="20"/>
                <w:szCs w:val="20"/>
                <w:lang w:val="en-US"/>
              </w:rPr>
              <w:t>)</w:t>
            </w:r>
            <w:r w:rsidRPr="00CE232E">
              <w:rPr>
                <w:b/>
                <w:bCs/>
                <w:sz w:val="20"/>
                <w:szCs w:val="20"/>
              </w:rPr>
              <w:t> </w:t>
            </w:r>
          </w:p>
        </w:tc>
      </w:tr>
      <w:tr w:rsidR="00CE232E" w:rsidRPr="00F55B63" w:rsidTr="00CE232E">
        <w:trPr>
          <w:trHeight w:val="170"/>
          <w:jc w:val="center"/>
        </w:trPr>
        <w:tc>
          <w:tcPr>
            <w:tcW w:w="4181" w:type="dxa"/>
            <w:gridSpan w:val="2"/>
            <w:tcBorders>
              <w:top w:val="nil"/>
              <w:left w:val="nil"/>
              <w:bottom w:val="nil"/>
              <w:right w:val="nil"/>
            </w:tcBorders>
            <w:shd w:val="clear" w:color="auto" w:fill="auto"/>
            <w:noWrap/>
            <w:tcMar>
              <w:left w:w="28" w:type="dxa"/>
              <w:right w:w="28" w:type="dxa"/>
            </w:tcMar>
            <w:hideMark/>
          </w:tcPr>
          <w:p w:rsidR="00CE232E" w:rsidRPr="00E214F6" w:rsidRDefault="00CE232E" w:rsidP="00E214F6">
            <w:pPr>
              <w:widowControl/>
              <w:jc w:val="left"/>
              <w:rPr>
                <w:b/>
                <w:bCs/>
                <w:sz w:val="20"/>
                <w:szCs w:val="20"/>
              </w:rPr>
            </w:pPr>
            <w:r w:rsidRPr="00E214F6">
              <w:rPr>
                <w:b/>
                <w:bCs/>
                <w:sz w:val="20"/>
                <w:szCs w:val="20"/>
              </w:rPr>
              <w:t>Салдо на 31 март 20</w:t>
            </w:r>
            <w:r w:rsidRPr="00E214F6">
              <w:rPr>
                <w:b/>
                <w:bCs/>
                <w:sz w:val="20"/>
                <w:szCs w:val="20"/>
                <w:lang w:val="en-US"/>
              </w:rPr>
              <w:t>20</w:t>
            </w:r>
            <w:r w:rsidRPr="00E214F6">
              <w:rPr>
                <w:b/>
                <w:bCs/>
                <w:sz w:val="20"/>
                <w:szCs w:val="20"/>
              </w:rPr>
              <w:t xml:space="preserve"> година</w:t>
            </w:r>
          </w:p>
        </w:tc>
        <w:tc>
          <w:tcPr>
            <w:tcW w:w="1091"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 6 583 </w:t>
            </w:r>
          </w:p>
        </w:tc>
        <w:tc>
          <w:tcPr>
            <w:tcW w:w="1092" w:type="dxa"/>
            <w:tcBorders>
              <w:top w:val="single" w:sz="4" w:space="0" w:color="auto"/>
              <w:left w:val="nil"/>
              <w:bottom w:val="double" w:sz="6" w:space="0" w:color="auto"/>
              <w:right w:val="nil"/>
            </w:tcBorders>
          </w:tcPr>
          <w:p w:rsidR="00CE232E" w:rsidRPr="00CE232E" w:rsidRDefault="00CE232E" w:rsidP="00BE3033">
            <w:pPr>
              <w:widowControl/>
              <w:jc w:val="right"/>
              <w:rPr>
                <w:b/>
                <w:bCs/>
                <w:sz w:val="20"/>
                <w:szCs w:val="20"/>
              </w:rPr>
            </w:pPr>
            <w:r w:rsidRPr="00CE232E">
              <w:rPr>
                <w:b/>
                <w:bCs/>
                <w:sz w:val="20"/>
                <w:szCs w:val="20"/>
              </w:rPr>
              <w:t>658</w:t>
            </w:r>
          </w:p>
        </w:tc>
        <w:tc>
          <w:tcPr>
            <w:tcW w:w="1092"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2 695 </w:t>
            </w:r>
          </w:p>
        </w:tc>
        <w:tc>
          <w:tcPr>
            <w:tcW w:w="1657"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423 </w:t>
            </w:r>
          </w:p>
        </w:tc>
        <w:tc>
          <w:tcPr>
            <w:tcW w:w="1320"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BE3033">
            <w:pPr>
              <w:widowControl/>
              <w:jc w:val="right"/>
              <w:rPr>
                <w:b/>
                <w:bCs/>
                <w:sz w:val="20"/>
                <w:szCs w:val="20"/>
              </w:rPr>
            </w:pPr>
            <w:r w:rsidRPr="00CE232E">
              <w:rPr>
                <w:b/>
                <w:bCs/>
                <w:sz w:val="20"/>
                <w:szCs w:val="20"/>
              </w:rPr>
              <w:t xml:space="preserve">10 067 </w:t>
            </w:r>
          </w:p>
        </w:tc>
        <w:tc>
          <w:tcPr>
            <w:tcW w:w="1243"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CE232E" w:rsidRPr="00CE232E" w:rsidRDefault="00CE232E" w:rsidP="00CE232E">
            <w:pPr>
              <w:widowControl/>
              <w:jc w:val="right"/>
              <w:rPr>
                <w:b/>
                <w:bCs/>
                <w:sz w:val="20"/>
                <w:szCs w:val="20"/>
              </w:rPr>
            </w:pPr>
            <w:r w:rsidRPr="00CE232E">
              <w:rPr>
                <w:b/>
                <w:bCs/>
                <w:sz w:val="20"/>
                <w:szCs w:val="20"/>
              </w:rPr>
              <w:t xml:space="preserve"> 20 426 </w:t>
            </w:r>
          </w:p>
        </w:tc>
      </w:tr>
    </w:tbl>
    <w:p w:rsidR="007C1E73" w:rsidRPr="00F55B63" w:rsidRDefault="007C1E73" w:rsidP="00572CD0">
      <w:pPr>
        <w:tabs>
          <w:tab w:val="left" w:pos="360"/>
        </w:tabs>
        <w:rPr>
          <w:rStyle w:val="PageNumber"/>
          <w:rFonts w:cs="Calibri"/>
          <w:b/>
          <w:i/>
          <w:szCs w:val="22"/>
          <w:highlight w:val="yellow"/>
        </w:rPr>
      </w:pPr>
      <w:r w:rsidRPr="00F55B63">
        <w:rPr>
          <w:rStyle w:val="PageNumber"/>
          <w:rFonts w:cs="Calibri"/>
          <w:b/>
          <w:szCs w:val="22"/>
          <w:highlight w:val="yellow"/>
        </w:rPr>
        <w:br w:type="page"/>
      </w:r>
    </w:p>
    <w:p w:rsidR="00745C7D" w:rsidRPr="00F3551F" w:rsidRDefault="00745C7D" w:rsidP="008D1E64">
      <w:pPr>
        <w:tabs>
          <w:tab w:val="left" w:pos="360"/>
        </w:tabs>
        <w:rPr>
          <w:rFonts w:cs="Calibri"/>
          <w:b/>
          <w:sz w:val="20"/>
          <w:szCs w:val="20"/>
        </w:rPr>
      </w:pPr>
      <w:r w:rsidRPr="00F3551F">
        <w:rPr>
          <w:rFonts w:cs="Calibri"/>
          <w:b/>
          <w:sz w:val="20"/>
          <w:szCs w:val="20"/>
        </w:rPr>
        <w:lastRenderedPageBreak/>
        <w:t>Съдържание</w:t>
      </w:r>
    </w:p>
    <w:p w:rsidR="00C81FBA" w:rsidRPr="00DB5C96" w:rsidRDefault="003D57A5">
      <w:pPr>
        <w:pStyle w:val="TOC1"/>
        <w:rPr>
          <w:rFonts w:asciiTheme="minorHAnsi" w:eastAsiaTheme="minorEastAsia" w:hAnsiTheme="minorHAnsi" w:cstheme="minorBidi"/>
          <w:noProof/>
          <w:szCs w:val="22"/>
        </w:rPr>
      </w:pPr>
      <w:r w:rsidRPr="00E214F6">
        <w:rPr>
          <w:rFonts w:cs="Calibri"/>
          <w:sz w:val="20"/>
          <w:szCs w:val="20"/>
          <w:highlight w:val="yellow"/>
        </w:rPr>
        <w:fldChar w:fldCharType="begin"/>
      </w:r>
      <w:r w:rsidR="00C0372F" w:rsidRPr="00E214F6">
        <w:rPr>
          <w:rFonts w:cs="Calibri"/>
          <w:sz w:val="20"/>
          <w:szCs w:val="20"/>
          <w:highlight w:val="yellow"/>
        </w:rPr>
        <w:instrText xml:space="preserve"> TOC \o "1-3" \h \z \u </w:instrText>
      </w:r>
      <w:r w:rsidRPr="00E214F6">
        <w:rPr>
          <w:rFonts w:cs="Calibri"/>
          <w:sz w:val="20"/>
          <w:szCs w:val="20"/>
          <w:highlight w:val="yellow"/>
        </w:rPr>
        <w:fldChar w:fldCharType="separate"/>
      </w:r>
      <w:hyperlink w:anchor="_Toc42271139" w:history="1">
        <w:r w:rsidR="00C81FBA" w:rsidRPr="00DB5C96">
          <w:rPr>
            <w:rStyle w:val="Hyperlink"/>
            <w:noProof/>
          </w:rPr>
          <w:t>1.</w:t>
        </w:r>
        <w:r w:rsidR="00C81FBA" w:rsidRPr="00DB5C96">
          <w:rPr>
            <w:rFonts w:asciiTheme="minorHAnsi" w:eastAsiaTheme="minorEastAsia" w:hAnsiTheme="minorHAnsi" w:cstheme="minorBidi"/>
            <w:noProof/>
            <w:szCs w:val="22"/>
          </w:rPr>
          <w:tab/>
        </w:r>
        <w:r w:rsidR="00C81FBA" w:rsidRPr="00DB5C96">
          <w:rPr>
            <w:rStyle w:val="Hyperlink"/>
            <w:noProof/>
          </w:rPr>
          <w:t>Въведение</w:t>
        </w:r>
        <w:r w:rsidR="00C81FBA" w:rsidRPr="00DB5C96">
          <w:rPr>
            <w:noProof/>
            <w:webHidden/>
          </w:rPr>
          <w:tab/>
        </w:r>
        <w:r w:rsidRPr="00DB5C96">
          <w:rPr>
            <w:noProof/>
            <w:webHidden/>
          </w:rPr>
          <w:fldChar w:fldCharType="begin"/>
        </w:r>
        <w:r w:rsidR="00C81FBA" w:rsidRPr="00DB5C96">
          <w:rPr>
            <w:noProof/>
            <w:webHidden/>
          </w:rPr>
          <w:instrText xml:space="preserve"> PAGEREF _Toc42271139 \h </w:instrText>
        </w:r>
        <w:r w:rsidRPr="00DB5C96">
          <w:rPr>
            <w:noProof/>
            <w:webHidden/>
          </w:rPr>
        </w:r>
        <w:r w:rsidRPr="00DB5C96">
          <w:rPr>
            <w:noProof/>
            <w:webHidden/>
          </w:rPr>
          <w:fldChar w:fldCharType="separate"/>
        </w:r>
        <w:r w:rsidR="00C81FBA" w:rsidRPr="00DB5C96">
          <w:rPr>
            <w:noProof/>
            <w:webHidden/>
          </w:rPr>
          <w:t>8</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0" w:history="1">
        <w:r w:rsidR="00C81FBA" w:rsidRPr="00DB5C96">
          <w:rPr>
            <w:rStyle w:val="Hyperlink"/>
            <w:noProof/>
          </w:rPr>
          <w:t>2.</w:t>
        </w:r>
        <w:r w:rsidR="00C81FBA" w:rsidRPr="00DB5C96">
          <w:rPr>
            <w:rFonts w:asciiTheme="minorHAnsi" w:eastAsiaTheme="minorEastAsia" w:hAnsiTheme="minorHAnsi" w:cstheme="minorBidi"/>
            <w:noProof/>
            <w:szCs w:val="22"/>
          </w:rPr>
          <w:tab/>
        </w:r>
        <w:r w:rsidR="00C81FBA" w:rsidRPr="00DB5C96">
          <w:rPr>
            <w:rStyle w:val="Hyperlink"/>
            <w:noProof/>
          </w:rPr>
          <w:t>Данни за търговията на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_Toc42271140 \h </w:instrText>
        </w:r>
        <w:r w:rsidRPr="00DB5C96">
          <w:rPr>
            <w:noProof/>
            <w:webHidden/>
          </w:rPr>
        </w:r>
        <w:r w:rsidRPr="00DB5C96">
          <w:rPr>
            <w:noProof/>
            <w:webHidden/>
          </w:rPr>
          <w:fldChar w:fldCharType="separate"/>
        </w:r>
        <w:r w:rsidR="00C81FBA" w:rsidRPr="00DB5C96">
          <w:rPr>
            <w:noProof/>
            <w:webHidden/>
          </w:rPr>
          <w:t>9</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41" w:history="1">
        <w:r w:rsidR="00C81FBA" w:rsidRPr="00DB5C96">
          <w:rPr>
            <w:rStyle w:val="Hyperlink"/>
            <w:rFonts w:cs="Calibri"/>
            <w:noProof/>
          </w:rPr>
          <w:t>2.1.</w:t>
        </w:r>
        <w:r w:rsidR="00C81FBA" w:rsidRPr="00DB5C96">
          <w:rPr>
            <w:rFonts w:asciiTheme="minorHAnsi" w:eastAsiaTheme="minorEastAsia" w:hAnsiTheme="minorHAnsi" w:cstheme="minorBidi"/>
            <w:noProof/>
            <w:szCs w:val="22"/>
          </w:rPr>
          <w:tab/>
        </w:r>
        <w:r w:rsidR="00C81FBA" w:rsidRPr="00DB5C96">
          <w:rPr>
            <w:rStyle w:val="Hyperlink"/>
            <w:rFonts w:cs="Calibri"/>
            <w:noProof/>
          </w:rPr>
          <w:t>Оборот, брой сделки</w:t>
        </w:r>
        <w:r w:rsidR="00C81FBA" w:rsidRPr="00DB5C96">
          <w:rPr>
            <w:noProof/>
            <w:webHidden/>
          </w:rPr>
          <w:tab/>
        </w:r>
        <w:r w:rsidRPr="00DB5C96">
          <w:rPr>
            <w:noProof/>
            <w:webHidden/>
          </w:rPr>
          <w:fldChar w:fldCharType="begin"/>
        </w:r>
        <w:r w:rsidR="00C81FBA" w:rsidRPr="00DB5C96">
          <w:rPr>
            <w:noProof/>
            <w:webHidden/>
          </w:rPr>
          <w:instrText xml:space="preserve"> PAGEREF _Toc42271141 \h </w:instrText>
        </w:r>
        <w:r w:rsidRPr="00DB5C96">
          <w:rPr>
            <w:noProof/>
            <w:webHidden/>
          </w:rPr>
        </w:r>
        <w:r w:rsidRPr="00DB5C96">
          <w:rPr>
            <w:noProof/>
            <w:webHidden/>
          </w:rPr>
          <w:fldChar w:fldCharType="separate"/>
        </w:r>
        <w:r w:rsidR="00C81FBA" w:rsidRPr="00DB5C96">
          <w:rPr>
            <w:noProof/>
            <w:webHidden/>
          </w:rPr>
          <w:t>9</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44" w:history="1">
        <w:r w:rsidR="00C81FBA" w:rsidRPr="00DB5C96">
          <w:rPr>
            <w:rStyle w:val="Hyperlink"/>
            <w:rFonts w:cs="Calibri"/>
            <w:noProof/>
          </w:rPr>
          <w:t>2.2.</w:t>
        </w:r>
        <w:r w:rsidR="00C81FBA" w:rsidRPr="00DB5C96">
          <w:rPr>
            <w:rFonts w:asciiTheme="minorHAnsi" w:eastAsiaTheme="minorEastAsia" w:hAnsiTheme="minorHAnsi" w:cstheme="minorBidi"/>
            <w:noProof/>
            <w:szCs w:val="22"/>
          </w:rPr>
          <w:tab/>
        </w:r>
        <w:r w:rsidR="00C81FBA" w:rsidRPr="00DB5C96">
          <w:rPr>
            <w:rStyle w:val="Hyperlink"/>
            <w:rFonts w:cs="Calibri"/>
            <w:noProof/>
          </w:rPr>
          <w:t>Отраслова структура на търговията</w:t>
        </w:r>
        <w:r w:rsidR="00C81FBA" w:rsidRPr="00DB5C96">
          <w:rPr>
            <w:noProof/>
            <w:webHidden/>
          </w:rPr>
          <w:tab/>
        </w:r>
        <w:r w:rsidRPr="00DB5C96">
          <w:rPr>
            <w:noProof/>
            <w:webHidden/>
          </w:rPr>
          <w:fldChar w:fldCharType="begin"/>
        </w:r>
        <w:r w:rsidR="00C81FBA" w:rsidRPr="00DB5C96">
          <w:rPr>
            <w:noProof/>
            <w:webHidden/>
          </w:rPr>
          <w:instrText xml:space="preserve"> PAGEREF _Toc42271144 \h </w:instrText>
        </w:r>
        <w:r w:rsidRPr="00DB5C96">
          <w:rPr>
            <w:noProof/>
            <w:webHidden/>
          </w:rPr>
        </w:r>
        <w:r w:rsidRPr="00DB5C96">
          <w:rPr>
            <w:noProof/>
            <w:webHidden/>
          </w:rPr>
          <w:fldChar w:fldCharType="separate"/>
        </w:r>
        <w:r w:rsidR="00C81FBA" w:rsidRPr="00DB5C96">
          <w:rPr>
            <w:noProof/>
            <w:webHidden/>
          </w:rPr>
          <w:t>12</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5" w:history="1">
        <w:r w:rsidR="00C81FBA" w:rsidRPr="00DB5C96">
          <w:rPr>
            <w:rStyle w:val="Hyperlink"/>
            <w:rFonts w:cs="Calibri"/>
            <w:noProof/>
          </w:rPr>
          <w:t>3.</w:t>
        </w:r>
        <w:r w:rsidR="00C81FBA" w:rsidRPr="00DB5C96">
          <w:rPr>
            <w:rFonts w:asciiTheme="minorHAnsi" w:eastAsiaTheme="minorEastAsia" w:hAnsiTheme="minorHAnsi" w:cstheme="minorBidi"/>
            <w:noProof/>
            <w:szCs w:val="22"/>
          </w:rPr>
          <w:tab/>
        </w:r>
        <w:r w:rsidR="00C81FBA" w:rsidRPr="00DB5C96">
          <w:rPr>
            <w:rStyle w:val="Hyperlink"/>
            <w:rFonts w:cs="Calibri"/>
            <w:noProof/>
          </w:rPr>
          <w:t>Регистрирани емисии финансови инструменти на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_Toc42271145 \h </w:instrText>
        </w:r>
        <w:r w:rsidRPr="00DB5C96">
          <w:rPr>
            <w:noProof/>
            <w:webHidden/>
          </w:rPr>
        </w:r>
        <w:r w:rsidRPr="00DB5C96">
          <w:rPr>
            <w:noProof/>
            <w:webHidden/>
          </w:rPr>
          <w:fldChar w:fldCharType="separate"/>
        </w:r>
        <w:r w:rsidR="00C81FBA" w:rsidRPr="00DB5C96">
          <w:rPr>
            <w:noProof/>
            <w:webHidden/>
          </w:rPr>
          <w:t>13</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6" w:history="1">
        <w:r w:rsidR="00C81FBA" w:rsidRPr="00DB5C96">
          <w:rPr>
            <w:rStyle w:val="Hyperlink"/>
            <w:noProof/>
          </w:rPr>
          <w:t>4.</w:t>
        </w:r>
        <w:r w:rsidR="00C81FBA" w:rsidRPr="00DB5C96">
          <w:rPr>
            <w:rFonts w:asciiTheme="minorHAnsi" w:eastAsiaTheme="minorEastAsia" w:hAnsiTheme="minorHAnsi" w:cstheme="minorBidi"/>
            <w:noProof/>
            <w:szCs w:val="22"/>
          </w:rPr>
          <w:tab/>
        </w:r>
        <w:r w:rsidR="00C81FBA" w:rsidRPr="00DB5C96">
          <w:rPr>
            <w:rStyle w:val="Hyperlink"/>
            <w:noProof/>
          </w:rPr>
          <w:t>Нови емитенти, отписани емисии и увеличения на капитал</w:t>
        </w:r>
        <w:r w:rsidR="00C81FBA" w:rsidRPr="00DB5C96">
          <w:rPr>
            <w:noProof/>
            <w:webHidden/>
          </w:rPr>
          <w:tab/>
        </w:r>
        <w:r w:rsidRPr="00DB5C96">
          <w:rPr>
            <w:noProof/>
            <w:webHidden/>
          </w:rPr>
          <w:fldChar w:fldCharType="begin"/>
        </w:r>
        <w:r w:rsidR="00C81FBA" w:rsidRPr="00DB5C96">
          <w:rPr>
            <w:noProof/>
            <w:webHidden/>
          </w:rPr>
          <w:instrText xml:space="preserve"> PAGEREF _Toc42271146 \h </w:instrText>
        </w:r>
        <w:r w:rsidRPr="00DB5C96">
          <w:rPr>
            <w:noProof/>
            <w:webHidden/>
          </w:rPr>
        </w:r>
        <w:r w:rsidRPr="00DB5C96">
          <w:rPr>
            <w:noProof/>
            <w:webHidden/>
          </w:rPr>
          <w:fldChar w:fldCharType="separate"/>
        </w:r>
        <w:r w:rsidR="00C81FBA" w:rsidRPr="00DB5C96">
          <w:rPr>
            <w:noProof/>
            <w:webHidden/>
          </w:rPr>
          <w:t>14</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7" w:history="1">
        <w:r w:rsidR="00C81FBA" w:rsidRPr="00DB5C96">
          <w:rPr>
            <w:rStyle w:val="Hyperlink"/>
            <w:rFonts w:cs="Calibri"/>
            <w:noProof/>
          </w:rPr>
          <w:t>5.</w:t>
        </w:r>
        <w:r w:rsidR="00C81FBA" w:rsidRPr="00DB5C96">
          <w:rPr>
            <w:rFonts w:asciiTheme="minorHAnsi" w:eastAsiaTheme="minorEastAsia" w:hAnsiTheme="minorHAnsi" w:cstheme="minorBidi"/>
            <w:noProof/>
            <w:szCs w:val="22"/>
          </w:rPr>
          <w:tab/>
        </w:r>
        <w:r w:rsidR="00C81FBA" w:rsidRPr="00DB5C96">
          <w:rPr>
            <w:rStyle w:val="Hyperlink"/>
            <w:rFonts w:cs="Calibri"/>
            <w:noProof/>
          </w:rPr>
          <w:t>Пазарна капитализация на Борсата</w:t>
        </w:r>
        <w:r w:rsidR="00C81FBA" w:rsidRPr="00DB5C96">
          <w:rPr>
            <w:noProof/>
            <w:webHidden/>
          </w:rPr>
          <w:tab/>
        </w:r>
        <w:r w:rsidRPr="00DB5C96">
          <w:rPr>
            <w:noProof/>
            <w:webHidden/>
          </w:rPr>
          <w:fldChar w:fldCharType="begin"/>
        </w:r>
        <w:r w:rsidR="00C81FBA" w:rsidRPr="00DB5C96">
          <w:rPr>
            <w:noProof/>
            <w:webHidden/>
          </w:rPr>
          <w:instrText xml:space="preserve"> PAGEREF _Toc42271147 \h </w:instrText>
        </w:r>
        <w:r w:rsidRPr="00DB5C96">
          <w:rPr>
            <w:noProof/>
            <w:webHidden/>
          </w:rPr>
        </w:r>
        <w:r w:rsidRPr="00DB5C96">
          <w:rPr>
            <w:noProof/>
            <w:webHidden/>
          </w:rPr>
          <w:fldChar w:fldCharType="separate"/>
        </w:r>
        <w:r w:rsidR="00C81FBA" w:rsidRPr="00DB5C96">
          <w:rPr>
            <w:noProof/>
            <w:webHidden/>
          </w:rPr>
          <w:t>14</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8" w:history="1">
        <w:r w:rsidR="00C81FBA" w:rsidRPr="00DB5C96">
          <w:rPr>
            <w:rStyle w:val="Hyperlink"/>
            <w:rFonts w:cs="Calibri"/>
            <w:noProof/>
          </w:rPr>
          <w:t>6.</w:t>
        </w:r>
        <w:r w:rsidR="00C81FBA" w:rsidRPr="00DB5C96">
          <w:rPr>
            <w:rFonts w:asciiTheme="minorHAnsi" w:eastAsiaTheme="minorEastAsia" w:hAnsiTheme="minorHAnsi" w:cstheme="minorBidi"/>
            <w:noProof/>
            <w:szCs w:val="22"/>
          </w:rPr>
          <w:tab/>
        </w:r>
        <w:r w:rsidR="00C81FBA" w:rsidRPr="00DB5C96">
          <w:rPr>
            <w:rStyle w:val="Hyperlink"/>
            <w:rFonts w:cs="Calibri"/>
            <w:noProof/>
          </w:rPr>
          <w:t>Индекси на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_Toc42271148 \h </w:instrText>
        </w:r>
        <w:r w:rsidRPr="00DB5C96">
          <w:rPr>
            <w:noProof/>
            <w:webHidden/>
          </w:rPr>
        </w:r>
        <w:r w:rsidRPr="00DB5C96">
          <w:rPr>
            <w:noProof/>
            <w:webHidden/>
          </w:rPr>
          <w:fldChar w:fldCharType="separate"/>
        </w:r>
        <w:r w:rsidR="00C81FBA" w:rsidRPr="00DB5C96">
          <w:rPr>
            <w:noProof/>
            <w:webHidden/>
          </w:rPr>
          <w:t>15</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49" w:history="1">
        <w:r w:rsidR="00C81FBA" w:rsidRPr="00DB5C96">
          <w:rPr>
            <w:rStyle w:val="Hyperlink"/>
            <w:rFonts w:cs="Calibri"/>
            <w:noProof/>
          </w:rPr>
          <w:t>7.</w:t>
        </w:r>
        <w:r w:rsidR="00C81FBA" w:rsidRPr="00DB5C96">
          <w:rPr>
            <w:rFonts w:asciiTheme="minorHAnsi" w:eastAsiaTheme="minorEastAsia" w:hAnsiTheme="minorHAnsi" w:cstheme="minorBidi"/>
            <w:noProof/>
            <w:szCs w:val="22"/>
          </w:rPr>
          <w:tab/>
        </w:r>
        <w:r w:rsidR="00C81FBA" w:rsidRPr="00DB5C96">
          <w:rPr>
            <w:rStyle w:val="Hyperlink"/>
            <w:rFonts w:cs="Calibri"/>
            <w:noProof/>
          </w:rPr>
          <w:t>Приватизация през Борсата</w:t>
        </w:r>
        <w:r w:rsidR="00C81FBA" w:rsidRPr="00DB5C96">
          <w:rPr>
            <w:noProof/>
            <w:webHidden/>
          </w:rPr>
          <w:tab/>
        </w:r>
        <w:r w:rsidRPr="00DB5C96">
          <w:rPr>
            <w:noProof/>
            <w:webHidden/>
          </w:rPr>
          <w:fldChar w:fldCharType="begin"/>
        </w:r>
        <w:r w:rsidR="00C81FBA" w:rsidRPr="00DB5C96">
          <w:rPr>
            <w:noProof/>
            <w:webHidden/>
          </w:rPr>
          <w:instrText xml:space="preserve"> PAGEREF _Toc42271149 \h </w:instrText>
        </w:r>
        <w:r w:rsidRPr="00DB5C96">
          <w:rPr>
            <w:noProof/>
            <w:webHidden/>
          </w:rPr>
        </w:r>
        <w:r w:rsidRPr="00DB5C96">
          <w:rPr>
            <w:noProof/>
            <w:webHidden/>
          </w:rPr>
          <w:fldChar w:fldCharType="separate"/>
        </w:r>
        <w:r w:rsidR="00C81FBA" w:rsidRPr="00DB5C96">
          <w:rPr>
            <w:noProof/>
            <w:webHidden/>
          </w:rPr>
          <w:t>16</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50" w:history="1">
        <w:r w:rsidR="00C81FBA" w:rsidRPr="00DB5C96">
          <w:rPr>
            <w:rStyle w:val="Hyperlink"/>
            <w:rFonts w:cs="Calibri"/>
            <w:noProof/>
          </w:rPr>
          <w:t>8.</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дейности и събития през отчетното тримесечие на 2020 г.</w:t>
        </w:r>
        <w:r w:rsidR="00C81FBA" w:rsidRPr="00DB5C96">
          <w:rPr>
            <w:noProof/>
            <w:webHidden/>
          </w:rPr>
          <w:tab/>
        </w:r>
        <w:r w:rsidRPr="00DB5C96">
          <w:rPr>
            <w:noProof/>
            <w:webHidden/>
          </w:rPr>
          <w:fldChar w:fldCharType="begin"/>
        </w:r>
        <w:r w:rsidR="00C81FBA" w:rsidRPr="00DB5C96">
          <w:rPr>
            <w:noProof/>
            <w:webHidden/>
          </w:rPr>
          <w:instrText xml:space="preserve"> PAGEREF _Toc42271150 \h </w:instrText>
        </w:r>
        <w:r w:rsidRPr="00DB5C96">
          <w:rPr>
            <w:noProof/>
            <w:webHidden/>
          </w:rPr>
        </w:r>
        <w:r w:rsidRPr="00DB5C96">
          <w:rPr>
            <w:noProof/>
            <w:webHidden/>
          </w:rPr>
          <w:fldChar w:fldCharType="separate"/>
        </w:r>
        <w:r w:rsidR="00C81FBA" w:rsidRPr="00DB5C96">
          <w:rPr>
            <w:noProof/>
            <w:webHidden/>
          </w:rPr>
          <w:t>16</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1" w:history="1">
        <w:r w:rsidR="00C81FBA" w:rsidRPr="00DB5C96">
          <w:rPr>
            <w:rStyle w:val="Hyperlink"/>
            <w:noProof/>
          </w:rPr>
          <w:t>8.1.</w:t>
        </w:r>
        <w:r w:rsidR="00C81FBA" w:rsidRPr="00DB5C96">
          <w:rPr>
            <w:rFonts w:asciiTheme="minorHAnsi" w:eastAsiaTheme="minorEastAsia" w:hAnsiTheme="minorHAnsi" w:cstheme="minorBidi"/>
            <w:noProof/>
            <w:szCs w:val="22"/>
          </w:rPr>
          <w:tab/>
        </w:r>
        <w:r w:rsidR="00C81FBA" w:rsidRPr="00DB5C96">
          <w:rPr>
            <w:rStyle w:val="Hyperlink"/>
            <w:noProof/>
          </w:rPr>
          <w:t>БФБ отличи посредниците с най-добри резултати през 2019 година</w:t>
        </w:r>
        <w:r w:rsidR="00C81FBA" w:rsidRPr="00DB5C96">
          <w:rPr>
            <w:noProof/>
            <w:webHidden/>
          </w:rPr>
          <w:tab/>
        </w:r>
        <w:r w:rsidRPr="00DB5C96">
          <w:rPr>
            <w:noProof/>
            <w:webHidden/>
          </w:rPr>
          <w:fldChar w:fldCharType="begin"/>
        </w:r>
        <w:r w:rsidR="00C81FBA" w:rsidRPr="00DB5C96">
          <w:rPr>
            <w:noProof/>
            <w:webHidden/>
          </w:rPr>
          <w:instrText xml:space="preserve"> PAGEREF _Toc42271151 \h </w:instrText>
        </w:r>
        <w:r w:rsidRPr="00DB5C96">
          <w:rPr>
            <w:noProof/>
            <w:webHidden/>
          </w:rPr>
        </w:r>
        <w:r w:rsidRPr="00DB5C96">
          <w:rPr>
            <w:noProof/>
            <w:webHidden/>
          </w:rPr>
          <w:fldChar w:fldCharType="separate"/>
        </w:r>
        <w:r w:rsidR="00C81FBA" w:rsidRPr="00DB5C96">
          <w:rPr>
            <w:noProof/>
            <w:webHidden/>
          </w:rPr>
          <w:t>16</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2" w:history="1">
        <w:r w:rsidR="00C81FBA" w:rsidRPr="00DB5C96">
          <w:rPr>
            <w:rStyle w:val="Hyperlink"/>
            <w:noProof/>
          </w:rPr>
          <w:t>8.2.</w:t>
        </w:r>
        <w:r w:rsidR="00C81FBA" w:rsidRPr="00DB5C96">
          <w:rPr>
            <w:rFonts w:asciiTheme="minorHAnsi" w:eastAsiaTheme="minorEastAsia" w:hAnsiTheme="minorHAnsi" w:cstheme="minorBidi"/>
            <w:noProof/>
            <w:szCs w:val="22"/>
          </w:rPr>
          <w:tab/>
        </w:r>
        <w:r w:rsidR="00C81FBA" w:rsidRPr="00DB5C96">
          <w:rPr>
            <w:rStyle w:val="Hyperlink"/>
            <w:noProof/>
          </w:rPr>
          <w:t>Стартира търговията с дялове от първия „къс” индексен фонд на БФБ</w:t>
        </w:r>
        <w:r w:rsidR="00C81FBA" w:rsidRPr="00DB5C96">
          <w:rPr>
            <w:noProof/>
            <w:webHidden/>
          </w:rPr>
          <w:tab/>
        </w:r>
        <w:r w:rsidRPr="00DB5C96">
          <w:rPr>
            <w:noProof/>
            <w:webHidden/>
          </w:rPr>
          <w:fldChar w:fldCharType="begin"/>
        </w:r>
        <w:r w:rsidR="00C81FBA" w:rsidRPr="00DB5C96">
          <w:rPr>
            <w:noProof/>
            <w:webHidden/>
          </w:rPr>
          <w:instrText xml:space="preserve"> PAGEREF _Toc42271152 \h </w:instrText>
        </w:r>
        <w:r w:rsidRPr="00DB5C96">
          <w:rPr>
            <w:noProof/>
            <w:webHidden/>
          </w:rPr>
        </w:r>
        <w:r w:rsidRPr="00DB5C96">
          <w:rPr>
            <w:noProof/>
            <w:webHidden/>
          </w:rPr>
          <w:fldChar w:fldCharType="separate"/>
        </w:r>
        <w:r w:rsidR="00C81FBA" w:rsidRPr="00DB5C96">
          <w:rPr>
            <w:noProof/>
            <w:webHidden/>
          </w:rPr>
          <w:t>17</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3" w:history="1">
        <w:r w:rsidR="00C81FBA" w:rsidRPr="00DB5C96">
          <w:rPr>
            <w:rStyle w:val="Hyperlink"/>
            <w:noProof/>
          </w:rPr>
          <w:t>8.3.</w:t>
        </w:r>
        <w:r w:rsidR="00C81FBA" w:rsidRPr="00DB5C96">
          <w:rPr>
            <w:rFonts w:asciiTheme="minorHAnsi" w:eastAsiaTheme="minorEastAsia" w:hAnsiTheme="minorHAnsi" w:cstheme="minorBidi"/>
            <w:noProof/>
            <w:szCs w:val="22"/>
          </w:rPr>
          <w:tab/>
        </w:r>
        <w:r w:rsidR="00C81FBA" w:rsidRPr="00DB5C96">
          <w:rPr>
            <w:rStyle w:val="Hyperlink"/>
            <w:noProof/>
          </w:rPr>
          <w:t xml:space="preserve">Приемане на нови съветници на пазар </w:t>
        </w:r>
        <w:r w:rsidR="00C81FBA" w:rsidRPr="00DB5C96">
          <w:rPr>
            <w:rStyle w:val="Hyperlink"/>
            <w:noProof/>
            <w:lang w:val="en-US"/>
          </w:rPr>
          <w:t>BEAM</w:t>
        </w:r>
        <w:r w:rsidR="00C81FBA" w:rsidRPr="00DB5C96">
          <w:rPr>
            <w:noProof/>
            <w:webHidden/>
          </w:rPr>
          <w:tab/>
        </w:r>
        <w:r w:rsidRPr="00DB5C96">
          <w:rPr>
            <w:noProof/>
            <w:webHidden/>
          </w:rPr>
          <w:fldChar w:fldCharType="begin"/>
        </w:r>
        <w:r w:rsidR="00C81FBA" w:rsidRPr="00DB5C96">
          <w:rPr>
            <w:noProof/>
            <w:webHidden/>
          </w:rPr>
          <w:instrText xml:space="preserve"> PAGEREF _Toc42271153 \h </w:instrText>
        </w:r>
        <w:r w:rsidRPr="00DB5C96">
          <w:rPr>
            <w:noProof/>
            <w:webHidden/>
          </w:rPr>
        </w:r>
        <w:r w:rsidRPr="00DB5C96">
          <w:rPr>
            <w:noProof/>
            <w:webHidden/>
          </w:rPr>
          <w:fldChar w:fldCharType="separate"/>
        </w:r>
        <w:r w:rsidR="00C81FBA" w:rsidRPr="00DB5C96">
          <w:rPr>
            <w:noProof/>
            <w:webHidden/>
          </w:rPr>
          <w:t>17</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4" w:history="1">
        <w:r w:rsidR="00C81FBA" w:rsidRPr="00DB5C96">
          <w:rPr>
            <w:rStyle w:val="Hyperlink"/>
            <w:noProof/>
          </w:rPr>
          <w:t>8.4.</w:t>
        </w:r>
        <w:r w:rsidR="00C81FBA" w:rsidRPr="00DB5C96">
          <w:rPr>
            <w:rFonts w:asciiTheme="minorHAnsi" w:eastAsiaTheme="minorEastAsia" w:hAnsiTheme="minorHAnsi" w:cstheme="minorBidi"/>
            <w:noProof/>
            <w:szCs w:val="22"/>
          </w:rPr>
          <w:tab/>
        </w:r>
        <w:r w:rsidR="00C81FBA" w:rsidRPr="00DB5C96">
          <w:rPr>
            <w:rStyle w:val="Hyperlink"/>
            <w:noProof/>
          </w:rPr>
          <w:t>БФБ организира представяне на резултатите на дружеството за четвъртото тримечесие на 2019 г.</w:t>
        </w:r>
        <w:r w:rsidR="00C81FBA" w:rsidRPr="00DB5C96">
          <w:rPr>
            <w:noProof/>
            <w:webHidden/>
          </w:rPr>
          <w:tab/>
        </w:r>
        <w:r w:rsidRPr="00DB5C96">
          <w:rPr>
            <w:noProof/>
            <w:webHidden/>
          </w:rPr>
          <w:fldChar w:fldCharType="begin"/>
        </w:r>
        <w:r w:rsidR="00C81FBA" w:rsidRPr="00DB5C96">
          <w:rPr>
            <w:noProof/>
            <w:webHidden/>
          </w:rPr>
          <w:instrText xml:space="preserve"> PAGEREF _Toc42271154 \h </w:instrText>
        </w:r>
        <w:r w:rsidRPr="00DB5C96">
          <w:rPr>
            <w:noProof/>
            <w:webHidden/>
          </w:rPr>
        </w:r>
        <w:r w:rsidRPr="00DB5C96">
          <w:rPr>
            <w:noProof/>
            <w:webHidden/>
          </w:rPr>
          <w:fldChar w:fldCharType="separate"/>
        </w:r>
        <w:r w:rsidR="00C81FBA" w:rsidRPr="00DB5C96">
          <w:rPr>
            <w:noProof/>
            <w:webHidden/>
          </w:rPr>
          <w:t>18</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7" w:history="1">
        <w:r w:rsidR="00C81FBA" w:rsidRPr="00DB5C96">
          <w:rPr>
            <w:rStyle w:val="Hyperlink"/>
            <w:noProof/>
          </w:rPr>
          <w:t>8.5.</w:t>
        </w:r>
        <w:r w:rsidR="00C81FBA" w:rsidRPr="00DB5C96">
          <w:rPr>
            <w:rFonts w:asciiTheme="minorHAnsi" w:eastAsiaTheme="minorEastAsia" w:hAnsiTheme="minorHAnsi" w:cstheme="minorBidi"/>
            <w:noProof/>
            <w:szCs w:val="22"/>
          </w:rPr>
          <w:tab/>
        </w:r>
        <w:r w:rsidR="00C81FBA" w:rsidRPr="00DB5C96">
          <w:rPr>
            <w:rStyle w:val="Hyperlink"/>
            <w:noProof/>
          </w:rPr>
          <w:t>Промяна в индексите, изчислявани от БФБ</w:t>
        </w:r>
        <w:r w:rsidR="00C81FBA" w:rsidRPr="00DB5C96">
          <w:rPr>
            <w:noProof/>
            <w:webHidden/>
          </w:rPr>
          <w:tab/>
        </w:r>
        <w:r w:rsidRPr="00DB5C96">
          <w:rPr>
            <w:noProof/>
            <w:webHidden/>
          </w:rPr>
          <w:fldChar w:fldCharType="begin"/>
        </w:r>
        <w:r w:rsidR="00C81FBA" w:rsidRPr="00DB5C96">
          <w:rPr>
            <w:noProof/>
            <w:webHidden/>
          </w:rPr>
          <w:instrText xml:space="preserve"> PAGEREF _Toc42271157 \h </w:instrText>
        </w:r>
        <w:r w:rsidRPr="00DB5C96">
          <w:rPr>
            <w:noProof/>
            <w:webHidden/>
          </w:rPr>
        </w:r>
        <w:r w:rsidRPr="00DB5C96">
          <w:rPr>
            <w:noProof/>
            <w:webHidden/>
          </w:rPr>
          <w:fldChar w:fldCharType="separate"/>
        </w:r>
        <w:r w:rsidR="00C81FBA" w:rsidRPr="00DB5C96">
          <w:rPr>
            <w:noProof/>
            <w:webHidden/>
          </w:rPr>
          <w:t>18</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8" w:history="1">
        <w:r w:rsidR="00C81FBA" w:rsidRPr="00DB5C96">
          <w:rPr>
            <w:rStyle w:val="Hyperlink"/>
            <w:noProof/>
          </w:rPr>
          <w:t>8.6.</w:t>
        </w:r>
        <w:r w:rsidR="00C81FBA" w:rsidRPr="00DB5C96">
          <w:rPr>
            <w:rFonts w:asciiTheme="minorHAnsi" w:eastAsiaTheme="minorEastAsia" w:hAnsiTheme="minorHAnsi" w:cstheme="minorBidi"/>
            <w:noProof/>
            <w:szCs w:val="22"/>
          </w:rPr>
          <w:tab/>
        </w:r>
        <w:r w:rsidR="00C81FBA" w:rsidRPr="00DB5C96">
          <w:rPr>
            <w:rStyle w:val="Hyperlink"/>
            <w:noProof/>
          </w:rPr>
          <w:t>Информация относно представяне на финансови отчети на БФБ в рамките на удължените срокове</w:t>
        </w:r>
        <w:r w:rsidR="00C81FBA" w:rsidRPr="00DB5C96">
          <w:rPr>
            <w:noProof/>
            <w:webHidden/>
          </w:rPr>
          <w:tab/>
        </w:r>
        <w:r w:rsidRPr="00DB5C96">
          <w:rPr>
            <w:noProof/>
            <w:webHidden/>
          </w:rPr>
          <w:fldChar w:fldCharType="begin"/>
        </w:r>
        <w:r w:rsidR="00C81FBA" w:rsidRPr="00DB5C96">
          <w:rPr>
            <w:noProof/>
            <w:webHidden/>
          </w:rPr>
          <w:instrText xml:space="preserve"> PAGEREF _Toc42271158 \h </w:instrText>
        </w:r>
        <w:r w:rsidRPr="00DB5C96">
          <w:rPr>
            <w:noProof/>
            <w:webHidden/>
          </w:rPr>
        </w:r>
        <w:r w:rsidRPr="00DB5C96">
          <w:rPr>
            <w:noProof/>
            <w:webHidden/>
          </w:rPr>
          <w:fldChar w:fldCharType="separate"/>
        </w:r>
        <w:r w:rsidR="00C81FBA" w:rsidRPr="00DB5C96">
          <w:rPr>
            <w:noProof/>
            <w:webHidden/>
          </w:rPr>
          <w:t>19</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59" w:history="1">
        <w:r w:rsidR="00C81FBA" w:rsidRPr="00DB5C96">
          <w:rPr>
            <w:rStyle w:val="Hyperlink"/>
            <w:rFonts w:cs="Calibri"/>
            <w:noProof/>
          </w:rPr>
          <w:t>8.7.</w:t>
        </w:r>
        <w:r w:rsidR="00C81FBA" w:rsidRPr="00DB5C96">
          <w:rPr>
            <w:rFonts w:asciiTheme="minorHAnsi" w:eastAsiaTheme="minorEastAsia" w:hAnsiTheme="minorHAnsi" w:cstheme="minorBidi"/>
            <w:noProof/>
            <w:szCs w:val="22"/>
          </w:rPr>
          <w:tab/>
        </w:r>
        <w:r w:rsidR="00C81FBA" w:rsidRPr="00DB5C96">
          <w:rPr>
            <w:rStyle w:val="Hyperlink"/>
            <w:rFonts w:cs="Calibri"/>
            <w:noProof/>
          </w:rPr>
          <w:t>Търговия със собствени акции на Борсата</w:t>
        </w:r>
        <w:r w:rsidR="00C81FBA" w:rsidRPr="00DB5C96">
          <w:rPr>
            <w:noProof/>
            <w:webHidden/>
          </w:rPr>
          <w:tab/>
        </w:r>
        <w:r w:rsidRPr="00DB5C96">
          <w:rPr>
            <w:noProof/>
            <w:webHidden/>
          </w:rPr>
          <w:fldChar w:fldCharType="begin"/>
        </w:r>
        <w:r w:rsidR="00C81FBA" w:rsidRPr="00DB5C96">
          <w:rPr>
            <w:noProof/>
            <w:webHidden/>
          </w:rPr>
          <w:instrText xml:space="preserve"> PAGEREF _Toc42271159 \h </w:instrText>
        </w:r>
        <w:r w:rsidRPr="00DB5C96">
          <w:rPr>
            <w:noProof/>
            <w:webHidden/>
          </w:rPr>
        </w:r>
        <w:r w:rsidRPr="00DB5C96">
          <w:rPr>
            <w:noProof/>
            <w:webHidden/>
          </w:rPr>
          <w:fldChar w:fldCharType="separate"/>
        </w:r>
        <w:r w:rsidR="00C81FBA" w:rsidRPr="00DB5C96">
          <w:rPr>
            <w:noProof/>
            <w:webHidden/>
          </w:rPr>
          <w:t>20</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0" w:history="1">
        <w:r w:rsidR="00C81FBA" w:rsidRPr="00DB5C96">
          <w:rPr>
            <w:rStyle w:val="Hyperlink"/>
            <w:rFonts w:cs="Calibri"/>
            <w:noProof/>
          </w:rPr>
          <w:t>8.8.</w:t>
        </w:r>
        <w:r w:rsidR="00C81FBA" w:rsidRPr="00DB5C96">
          <w:rPr>
            <w:rFonts w:asciiTheme="minorHAnsi" w:eastAsiaTheme="minorEastAsia" w:hAnsiTheme="minorHAnsi" w:cstheme="minorBidi"/>
            <w:noProof/>
            <w:szCs w:val="22"/>
          </w:rPr>
          <w:tab/>
        </w:r>
        <w:r w:rsidR="00C81FBA" w:rsidRPr="00DB5C96">
          <w:rPr>
            <w:rStyle w:val="Hyperlink"/>
            <w:rFonts w:cs="Calibri"/>
            <w:noProof/>
          </w:rPr>
          <w:t>Индекс CGIX</w:t>
        </w:r>
        <w:r w:rsidR="00C81FBA" w:rsidRPr="00DB5C96">
          <w:rPr>
            <w:noProof/>
            <w:webHidden/>
          </w:rPr>
          <w:tab/>
        </w:r>
        <w:r w:rsidRPr="00DB5C96">
          <w:rPr>
            <w:noProof/>
            <w:webHidden/>
          </w:rPr>
          <w:fldChar w:fldCharType="begin"/>
        </w:r>
        <w:r w:rsidR="00C81FBA" w:rsidRPr="00DB5C96">
          <w:rPr>
            <w:noProof/>
            <w:webHidden/>
          </w:rPr>
          <w:instrText xml:space="preserve"> PAGEREF _Toc42271160 \h </w:instrText>
        </w:r>
        <w:r w:rsidRPr="00DB5C96">
          <w:rPr>
            <w:noProof/>
            <w:webHidden/>
          </w:rPr>
        </w:r>
        <w:r w:rsidRPr="00DB5C96">
          <w:rPr>
            <w:noProof/>
            <w:webHidden/>
          </w:rPr>
          <w:fldChar w:fldCharType="separate"/>
        </w:r>
        <w:r w:rsidR="00C81FBA" w:rsidRPr="00DB5C96">
          <w:rPr>
            <w:noProof/>
            <w:webHidden/>
          </w:rPr>
          <w:t>21</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2" w:history="1">
        <w:r w:rsidR="00C81FBA" w:rsidRPr="00DB5C96">
          <w:rPr>
            <w:rStyle w:val="Hyperlink"/>
            <w:rFonts w:cs="Calibri"/>
            <w:noProof/>
          </w:rPr>
          <w:t>8.9.</w:t>
        </w:r>
        <w:r w:rsidR="00C81FBA" w:rsidRPr="00DB5C96">
          <w:rPr>
            <w:rFonts w:asciiTheme="minorHAnsi" w:eastAsiaTheme="minorEastAsia" w:hAnsiTheme="minorHAnsi" w:cstheme="minorBidi"/>
            <w:noProof/>
            <w:szCs w:val="22"/>
          </w:rPr>
          <w:tab/>
        </w:r>
        <w:r w:rsidR="00C81FBA" w:rsidRPr="00DB5C96">
          <w:rPr>
            <w:rStyle w:val="Hyperlink"/>
            <w:rFonts w:cs="Calibri"/>
            <w:noProof/>
          </w:rPr>
          <w:t>Корпоративно управление</w:t>
        </w:r>
        <w:r w:rsidR="00C81FBA" w:rsidRPr="00DB5C96">
          <w:rPr>
            <w:noProof/>
            <w:webHidden/>
          </w:rPr>
          <w:tab/>
        </w:r>
        <w:r w:rsidRPr="00DB5C96">
          <w:rPr>
            <w:noProof/>
            <w:webHidden/>
          </w:rPr>
          <w:fldChar w:fldCharType="begin"/>
        </w:r>
        <w:r w:rsidR="00C81FBA" w:rsidRPr="00DB5C96">
          <w:rPr>
            <w:noProof/>
            <w:webHidden/>
          </w:rPr>
          <w:instrText xml:space="preserve"> PAGEREF _Toc42271162 \h </w:instrText>
        </w:r>
        <w:r w:rsidRPr="00DB5C96">
          <w:rPr>
            <w:noProof/>
            <w:webHidden/>
          </w:rPr>
        </w:r>
        <w:r w:rsidRPr="00DB5C96">
          <w:rPr>
            <w:noProof/>
            <w:webHidden/>
          </w:rPr>
          <w:fldChar w:fldCharType="separate"/>
        </w:r>
        <w:r w:rsidR="00C81FBA" w:rsidRPr="00DB5C96">
          <w:rPr>
            <w:noProof/>
            <w:webHidden/>
          </w:rPr>
          <w:t>21</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3" w:history="1">
        <w:r w:rsidR="00C81FBA" w:rsidRPr="00DB5C96">
          <w:rPr>
            <w:rStyle w:val="Hyperlink"/>
            <w:rFonts w:cs="Calibri"/>
            <w:noProof/>
          </w:rPr>
          <w:t>8.10.</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характеристики на дейността на дъщерното дружество „Българска независима енергийна борса“ ЕАД</w:t>
        </w:r>
        <w:r w:rsidR="00C81FBA" w:rsidRPr="00DB5C96">
          <w:rPr>
            <w:noProof/>
            <w:webHidden/>
          </w:rPr>
          <w:tab/>
        </w:r>
        <w:r w:rsidRPr="00DB5C96">
          <w:rPr>
            <w:noProof/>
            <w:webHidden/>
          </w:rPr>
          <w:fldChar w:fldCharType="begin"/>
        </w:r>
        <w:r w:rsidR="00C81FBA" w:rsidRPr="00DB5C96">
          <w:rPr>
            <w:noProof/>
            <w:webHidden/>
          </w:rPr>
          <w:instrText xml:space="preserve"> PAGEREF _Toc42271163 \h </w:instrText>
        </w:r>
        <w:r w:rsidRPr="00DB5C96">
          <w:rPr>
            <w:noProof/>
            <w:webHidden/>
          </w:rPr>
        </w:r>
        <w:r w:rsidRPr="00DB5C96">
          <w:rPr>
            <w:noProof/>
            <w:webHidden/>
          </w:rPr>
          <w:fldChar w:fldCharType="separate"/>
        </w:r>
        <w:r w:rsidR="00C81FBA" w:rsidRPr="00DB5C96">
          <w:rPr>
            <w:noProof/>
            <w:webHidden/>
          </w:rPr>
          <w:t>22</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4" w:history="1">
        <w:r w:rsidR="00C81FBA" w:rsidRPr="00DB5C96">
          <w:rPr>
            <w:rStyle w:val="Hyperlink"/>
            <w:rFonts w:cs="Calibri"/>
            <w:noProof/>
          </w:rPr>
          <w:t>8.11.</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характеристики на дейността на дъщерното дружество „Сервиз финансови пазари“ ЕООД</w:t>
        </w:r>
        <w:r w:rsidR="00C81FBA" w:rsidRPr="00DB5C96">
          <w:rPr>
            <w:noProof/>
            <w:webHidden/>
          </w:rPr>
          <w:tab/>
        </w:r>
        <w:r w:rsidRPr="00DB5C96">
          <w:rPr>
            <w:noProof/>
            <w:webHidden/>
          </w:rPr>
          <w:fldChar w:fldCharType="begin"/>
        </w:r>
        <w:r w:rsidR="00C81FBA" w:rsidRPr="00DB5C96">
          <w:rPr>
            <w:noProof/>
            <w:webHidden/>
          </w:rPr>
          <w:instrText xml:space="preserve"> PAGEREF _Toc42271164 \h </w:instrText>
        </w:r>
        <w:r w:rsidRPr="00DB5C96">
          <w:rPr>
            <w:noProof/>
            <w:webHidden/>
          </w:rPr>
        </w:r>
        <w:r w:rsidRPr="00DB5C96">
          <w:rPr>
            <w:noProof/>
            <w:webHidden/>
          </w:rPr>
          <w:fldChar w:fldCharType="separate"/>
        </w:r>
        <w:r w:rsidR="00C81FBA" w:rsidRPr="00DB5C96">
          <w:rPr>
            <w:noProof/>
            <w:webHidden/>
          </w:rPr>
          <w:t>23</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65" w:history="1">
        <w:r w:rsidR="00C81FBA" w:rsidRPr="00DB5C96">
          <w:rPr>
            <w:rStyle w:val="Hyperlink"/>
            <w:rFonts w:cs="Calibri"/>
            <w:noProof/>
          </w:rPr>
          <w:t>9.</w:t>
        </w:r>
        <w:r w:rsidR="00C81FBA" w:rsidRPr="00DB5C96">
          <w:rPr>
            <w:rFonts w:asciiTheme="minorHAnsi" w:eastAsiaTheme="minorEastAsia" w:hAnsiTheme="minorHAnsi" w:cstheme="minorBidi"/>
            <w:noProof/>
            <w:szCs w:val="22"/>
          </w:rPr>
          <w:tab/>
        </w:r>
        <w:r w:rsidR="00C81FBA" w:rsidRPr="00DB5C96">
          <w:rPr>
            <w:rStyle w:val="Hyperlink"/>
            <w:rFonts w:cs="Calibri"/>
            <w:noProof/>
          </w:rPr>
          <w:t>Информационни технологии</w:t>
        </w:r>
        <w:r w:rsidR="00C81FBA" w:rsidRPr="00DB5C96">
          <w:rPr>
            <w:noProof/>
            <w:webHidden/>
          </w:rPr>
          <w:tab/>
        </w:r>
        <w:r w:rsidRPr="00DB5C96">
          <w:rPr>
            <w:noProof/>
            <w:webHidden/>
          </w:rPr>
          <w:fldChar w:fldCharType="begin"/>
        </w:r>
        <w:r w:rsidR="00C81FBA" w:rsidRPr="00DB5C96">
          <w:rPr>
            <w:noProof/>
            <w:webHidden/>
          </w:rPr>
          <w:instrText xml:space="preserve"> PAGEREF _Toc42271165 \h </w:instrText>
        </w:r>
        <w:r w:rsidRPr="00DB5C96">
          <w:rPr>
            <w:noProof/>
            <w:webHidden/>
          </w:rPr>
        </w:r>
        <w:r w:rsidRPr="00DB5C96">
          <w:rPr>
            <w:noProof/>
            <w:webHidden/>
          </w:rPr>
          <w:fldChar w:fldCharType="separate"/>
        </w:r>
        <w:r w:rsidR="00C81FBA" w:rsidRPr="00DB5C96">
          <w:rPr>
            <w:noProof/>
            <w:webHidden/>
          </w:rPr>
          <w:t>23</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66" w:history="1">
        <w:r w:rsidR="00C81FBA" w:rsidRPr="00DB5C96">
          <w:rPr>
            <w:rStyle w:val="Hyperlink"/>
            <w:rFonts w:cs="Calibri"/>
            <w:noProof/>
          </w:rPr>
          <w:t>10.</w:t>
        </w:r>
        <w:r w:rsidR="00C81FBA" w:rsidRPr="00DB5C96">
          <w:rPr>
            <w:rFonts w:asciiTheme="minorHAnsi" w:eastAsiaTheme="minorEastAsia" w:hAnsiTheme="minorHAnsi" w:cstheme="minorBidi"/>
            <w:noProof/>
            <w:szCs w:val="22"/>
          </w:rPr>
          <w:tab/>
        </w:r>
        <w:r w:rsidR="00C81FBA" w:rsidRPr="00DB5C96">
          <w:rPr>
            <w:rStyle w:val="Hyperlink"/>
            <w:rFonts w:cs="Calibri"/>
            <w:noProof/>
          </w:rPr>
          <w:t>Международна дейност</w:t>
        </w:r>
        <w:r w:rsidR="00C81FBA" w:rsidRPr="00DB5C96">
          <w:rPr>
            <w:noProof/>
            <w:webHidden/>
          </w:rPr>
          <w:tab/>
        </w:r>
        <w:r w:rsidRPr="00DB5C96">
          <w:rPr>
            <w:noProof/>
            <w:webHidden/>
          </w:rPr>
          <w:fldChar w:fldCharType="begin"/>
        </w:r>
        <w:r w:rsidR="00C81FBA" w:rsidRPr="00DB5C96">
          <w:rPr>
            <w:noProof/>
            <w:webHidden/>
          </w:rPr>
          <w:instrText xml:space="preserve"> PAGEREF _Toc42271166 \h </w:instrText>
        </w:r>
        <w:r w:rsidRPr="00DB5C96">
          <w:rPr>
            <w:noProof/>
            <w:webHidden/>
          </w:rPr>
        </w:r>
        <w:r w:rsidRPr="00DB5C96">
          <w:rPr>
            <w:noProof/>
            <w:webHidden/>
          </w:rPr>
          <w:fldChar w:fldCharType="separate"/>
        </w:r>
        <w:r w:rsidR="00C81FBA" w:rsidRPr="00DB5C96">
          <w:rPr>
            <w:noProof/>
            <w:webHidden/>
          </w:rPr>
          <w:t>24</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67" w:history="1">
        <w:r w:rsidR="00C81FBA" w:rsidRPr="00DB5C96">
          <w:rPr>
            <w:rStyle w:val="Hyperlink"/>
            <w:rFonts w:cs="Calibri"/>
            <w:noProof/>
          </w:rPr>
          <w:t>11.</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рискове и несигурности, пред които е изправена Група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_Toc42271167 \h </w:instrText>
        </w:r>
        <w:r w:rsidRPr="00DB5C96">
          <w:rPr>
            <w:noProof/>
            <w:webHidden/>
          </w:rPr>
        </w:r>
        <w:r w:rsidRPr="00DB5C96">
          <w:rPr>
            <w:noProof/>
            <w:webHidden/>
          </w:rPr>
          <w:fldChar w:fldCharType="separate"/>
        </w:r>
        <w:r w:rsidR="00C81FBA" w:rsidRPr="00DB5C96">
          <w:rPr>
            <w:noProof/>
            <w:webHidden/>
          </w:rPr>
          <w:t>24</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8" w:history="1">
        <w:r w:rsidR="00C81FBA" w:rsidRPr="00DB5C96">
          <w:rPr>
            <w:rStyle w:val="Hyperlink"/>
            <w:rFonts w:cs="Calibri"/>
            <w:noProof/>
          </w:rPr>
          <w:t>11.1.</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рискове, свързани с дейността на „Българска фондова борса“ АД – дружеството-майка</w:t>
        </w:r>
        <w:r w:rsidR="00C81FBA" w:rsidRPr="00DB5C96">
          <w:rPr>
            <w:noProof/>
            <w:webHidden/>
          </w:rPr>
          <w:tab/>
        </w:r>
        <w:r w:rsidRPr="00DB5C96">
          <w:rPr>
            <w:noProof/>
            <w:webHidden/>
          </w:rPr>
          <w:fldChar w:fldCharType="begin"/>
        </w:r>
        <w:r w:rsidR="00C81FBA" w:rsidRPr="00DB5C96">
          <w:rPr>
            <w:noProof/>
            <w:webHidden/>
          </w:rPr>
          <w:instrText xml:space="preserve"> PAGEREF _Toc42271168 \h </w:instrText>
        </w:r>
        <w:r w:rsidRPr="00DB5C96">
          <w:rPr>
            <w:noProof/>
            <w:webHidden/>
          </w:rPr>
        </w:r>
        <w:r w:rsidRPr="00DB5C96">
          <w:rPr>
            <w:noProof/>
            <w:webHidden/>
          </w:rPr>
          <w:fldChar w:fldCharType="separate"/>
        </w:r>
        <w:r w:rsidR="00C81FBA" w:rsidRPr="00DB5C96">
          <w:rPr>
            <w:noProof/>
            <w:webHidden/>
          </w:rPr>
          <w:t>24</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69" w:history="1">
        <w:r w:rsidR="00C81FBA" w:rsidRPr="00DB5C96">
          <w:rPr>
            <w:rStyle w:val="Hyperlink"/>
            <w:rFonts w:cs="Calibri"/>
            <w:noProof/>
          </w:rPr>
          <w:t>11.2.</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рискове, свързани с дейността на дъщерното дружество „Българска независима енергийна борса“ ЕАД</w:t>
        </w:r>
        <w:r w:rsidR="00C81FBA" w:rsidRPr="00DB5C96">
          <w:rPr>
            <w:noProof/>
            <w:webHidden/>
          </w:rPr>
          <w:tab/>
        </w:r>
        <w:r w:rsidRPr="00DB5C96">
          <w:rPr>
            <w:noProof/>
            <w:webHidden/>
          </w:rPr>
          <w:fldChar w:fldCharType="begin"/>
        </w:r>
        <w:r w:rsidR="00C81FBA" w:rsidRPr="00DB5C96">
          <w:rPr>
            <w:noProof/>
            <w:webHidden/>
          </w:rPr>
          <w:instrText xml:space="preserve"> PAGEREF _Toc42271169 \h </w:instrText>
        </w:r>
        <w:r w:rsidRPr="00DB5C96">
          <w:rPr>
            <w:noProof/>
            <w:webHidden/>
          </w:rPr>
        </w:r>
        <w:r w:rsidRPr="00DB5C96">
          <w:rPr>
            <w:noProof/>
            <w:webHidden/>
          </w:rPr>
          <w:fldChar w:fldCharType="separate"/>
        </w:r>
        <w:r w:rsidR="00C81FBA" w:rsidRPr="00DB5C96">
          <w:rPr>
            <w:noProof/>
            <w:webHidden/>
          </w:rPr>
          <w:t>26</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70" w:history="1">
        <w:r w:rsidR="00C81FBA" w:rsidRPr="00DB5C96">
          <w:rPr>
            <w:rStyle w:val="Hyperlink"/>
            <w:rFonts w:cs="Calibri"/>
            <w:noProof/>
          </w:rPr>
          <w:t>11.3.</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Основни рискове, свързани с дейността на дъщерното дружество „Сервиз Финансови Пазари“ ЕООД</w:t>
        </w:r>
        <w:r w:rsidR="00C81FBA" w:rsidRPr="00DB5C96">
          <w:rPr>
            <w:noProof/>
            <w:webHidden/>
          </w:rPr>
          <w:tab/>
        </w:r>
        <w:r w:rsidRPr="00DB5C96">
          <w:rPr>
            <w:noProof/>
            <w:webHidden/>
          </w:rPr>
          <w:fldChar w:fldCharType="begin"/>
        </w:r>
        <w:r w:rsidR="00C81FBA" w:rsidRPr="00DB5C96">
          <w:rPr>
            <w:noProof/>
            <w:webHidden/>
          </w:rPr>
          <w:instrText xml:space="preserve"> PAGEREF _Toc42271170 \h </w:instrText>
        </w:r>
        <w:r w:rsidRPr="00DB5C96">
          <w:rPr>
            <w:noProof/>
            <w:webHidden/>
          </w:rPr>
        </w:r>
        <w:r w:rsidRPr="00DB5C96">
          <w:rPr>
            <w:noProof/>
            <w:webHidden/>
          </w:rPr>
          <w:fldChar w:fldCharType="separate"/>
        </w:r>
        <w:r w:rsidR="00C81FBA" w:rsidRPr="00DB5C96">
          <w:rPr>
            <w:noProof/>
            <w:webHidden/>
          </w:rPr>
          <w:t>27</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71" w:history="1">
        <w:r w:rsidR="00C81FBA" w:rsidRPr="00DB5C96">
          <w:rPr>
            <w:rStyle w:val="Hyperlink"/>
            <w:rFonts w:cs="Calibri"/>
            <w:noProof/>
          </w:rPr>
          <w:t>12.</w:t>
        </w:r>
        <w:r w:rsidR="00C81FBA" w:rsidRPr="00DB5C96">
          <w:rPr>
            <w:rFonts w:asciiTheme="minorHAnsi" w:eastAsiaTheme="minorEastAsia" w:hAnsiTheme="minorHAnsi" w:cstheme="minorBidi"/>
            <w:noProof/>
            <w:szCs w:val="22"/>
          </w:rPr>
          <w:tab/>
        </w:r>
        <w:r w:rsidR="00C81FBA" w:rsidRPr="00DB5C96">
          <w:rPr>
            <w:rStyle w:val="Hyperlink"/>
            <w:rFonts w:cs="Calibri"/>
            <w:noProof/>
          </w:rPr>
          <w:t>Акционерна структура на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_Toc42271171 \h </w:instrText>
        </w:r>
        <w:r w:rsidRPr="00DB5C96">
          <w:rPr>
            <w:noProof/>
            <w:webHidden/>
          </w:rPr>
        </w:r>
        <w:r w:rsidRPr="00DB5C96">
          <w:rPr>
            <w:noProof/>
            <w:webHidden/>
          </w:rPr>
          <w:fldChar w:fldCharType="separate"/>
        </w:r>
        <w:r w:rsidR="00C81FBA" w:rsidRPr="00DB5C96">
          <w:rPr>
            <w:noProof/>
            <w:webHidden/>
          </w:rPr>
          <w:t>28</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72" w:history="1">
        <w:r w:rsidR="00C81FBA" w:rsidRPr="00DB5C96">
          <w:rPr>
            <w:rStyle w:val="Hyperlink"/>
            <w:rFonts w:cs="Calibri"/>
            <w:noProof/>
          </w:rPr>
          <w:t>13.</w:t>
        </w:r>
        <w:r w:rsidR="00C81FBA" w:rsidRPr="00DB5C96">
          <w:rPr>
            <w:rFonts w:asciiTheme="minorHAnsi" w:eastAsiaTheme="minorEastAsia" w:hAnsiTheme="minorHAnsi" w:cstheme="minorBidi"/>
            <w:noProof/>
            <w:szCs w:val="22"/>
          </w:rPr>
          <w:tab/>
        </w:r>
        <w:r w:rsidR="00C81FBA" w:rsidRPr="00DB5C96">
          <w:rPr>
            <w:rStyle w:val="Hyperlink"/>
            <w:rFonts w:cs="Calibri"/>
            <w:noProof/>
          </w:rPr>
          <w:t>Членове на 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_Toc42271172 \h </w:instrText>
        </w:r>
        <w:r w:rsidRPr="00DB5C96">
          <w:rPr>
            <w:noProof/>
            <w:webHidden/>
          </w:rPr>
        </w:r>
        <w:r w:rsidRPr="00DB5C96">
          <w:rPr>
            <w:noProof/>
            <w:webHidden/>
          </w:rPr>
          <w:fldChar w:fldCharType="separate"/>
        </w:r>
        <w:r w:rsidR="00C81FBA" w:rsidRPr="00DB5C96">
          <w:rPr>
            <w:noProof/>
            <w:webHidden/>
          </w:rPr>
          <w:t>29</w:t>
        </w:r>
        <w:r w:rsidRPr="00DB5C96">
          <w:rPr>
            <w:noProof/>
            <w:webHidden/>
          </w:rPr>
          <w:fldChar w:fldCharType="end"/>
        </w:r>
      </w:hyperlink>
    </w:p>
    <w:p w:rsidR="00C81FBA" w:rsidRPr="00DB5C96" w:rsidRDefault="003D57A5">
      <w:pPr>
        <w:pStyle w:val="TOC1"/>
        <w:rPr>
          <w:rFonts w:asciiTheme="minorHAnsi" w:eastAsiaTheme="minorEastAsia" w:hAnsiTheme="minorHAnsi" w:cstheme="minorBidi"/>
          <w:noProof/>
          <w:szCs w:val="22"/>
        </w:rPr>
      </w:pPr>
      <w:hyperlink w:anchor="_Toc42271173" w:history="1">
        <w:r w:rsidR="00C81FBA" w:rsidRPr="00DB5C96">
          <w:rPr>
            <w:rStyle w:val="Hyperlink"/>
            <w:rFonts w:cs="Calibri"/>
            <w:noProof/>
          </w:rPr>
          <w:t>14.</w:t>
        </w:r>
        <w:r w:rsidR="00C81FBA" w:rsidRPr="00DB5C96">
          <w:rPr>
            <w:rFonts w:asciiTheme="minorHAnsi" w:eastAsiaTheme="minorEastAsia" w:hAnsiTheme="minorHAnsi" w:cstheme="minorBidi"/>
            <w:noProof/>
            <w:szCs w:val="22"/>
          </w:rPr>
          <w:tab/>
        </w:r>
        <w:r w:rsidR="00C81FBA" w:rsidRPr="00DB5C96">
          <w:rPr>
            <w:rStyle w:val="Hyperlink"/>
            <w:rFonts w:cs="Calibri"/>
            <w:noProof/>
          </w:rPr>
          <w:t xml:space="preserve">Финансово състояние на Група </w:t>
        </w:r>
        <w:r w:rsidR="00C81FBA" w:rsidRPr="00DB5C96">
          <w:rPr>
            <w:rStyle w:val="Hyperlink"/>
            <w:rFonts w:cstheme="minorHAnsi"/>
            <w:noProof/>
          </w:rPr>
          <w:t>Българска фондова борса</w:t>
        </w:r>
        <w:r w:rsidR="00C81FBA" w:rsidRPr="00DB5C96">
          <w:rPr>
            <w:noProof/>
            <w:webHidden/>
          </w:rPr>
          <w:tab/>
        </w:r>
        <w:r w:rsidRPr="00DB5C96">
          <w:rPr>
            <w:noProof/>
            <w:webHidden/>
          </w:rPr>
          <w:fldChar w:fldCharType="begin"/>
        </w:r>
        <w:r w:rsidR="00C81FBA" w:rsidRPr="00DB5C96">
          <w:rPr>
            <w:noProof/>
            <w:webHidden/>
          </w:rPr>
          <w:instrText xml:space="preserve"> PAGEREF _Toc42271173 \h </w:instrText>
        </w:r>
        <w:r w:rsidRPr="00DB5C96">
          <w:rPr>
            <w:noProof/>
            <w:webHidden/>
          </w:rPr>
        </w:r>
        <w:r w:rsidRPr="00DB5C96">
          <w:rPr>
            <w:noProof/>
            <w:webHidden/>
          </w:rPr>
          <w:fldChar w:fldCharType="separate"/>
        </w:r>
        <w:r w:rsidR="00C81FBA" w:rsidRPr="00DB5C96">
          <w:rPr>
            <w:noProof/>
            <w:webHidden/>
          </w:rPr>
          <w:t>30</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74" w:history="1">
        <w:r w:rsidR="00C81FBA" w:rsidRPr="00DB5C96">
          <w:rPr>
            <w:rStyle w:val="Hyperlink"/>
            <w:rFonts w:cs="Calibri"/>
            <w:noProof/>
          </w:rPr>
          <w:t>14.1.</w:t>
        </w:r>
        <w:r w:rsidR="00C81FBA" w:rsidRPr="00DB5C96">
          <w:rPr>
            <w:rFonts w:asciiTheme="minorHAnsi" w:eastAsiaTheme="minorEastAsia" w:hAnsiTheme="minorHAnsi" w:cstheme="minorBidi"/>
            <w:noProof/>
            <w:szCs w:val="22"/>
          </w:rPr>
          <w:tab/>
        </w:r>
        <w:r w:rsidR="00C81FBA" w:rsidRPr="00DB5C96">
          <w:rPr>
            <w:rStyle w:val="Hyperlink"/>
            <w:rFonts w:cs="Calibri"/>
            <w:noProof/>
          </w:rPr>
          <w:t>Активи/пасиви</w:t>
        </w:r>
        <w:r w:rsidR="00C81FBA" w:rsidRPr="00DB5C96">
          <w:rPr>
            <w:noProof/>
            <w:webHidden/>
          </w:rPr>
          <w:tab/>
        </w:r>
        <w:r w:rsidRPr="00DB5C96">
          <w:rPr>
            <w:noProof/>
            <w:webHidden/>
          </w:rPr>
          <w:fldChar w:fldCharType="begin"/>
        </w:r>
        <w:r w:rsidR="00C81FBA" w:rsidRPr="00DB5C96">
          <w:rPr>
            <w:noProof/>
            <w:webHidden/>
          </w:rPr>
          <w:instrText xml:space="preserve"> PAGEREF _Toc42271174 \h </w:instrText>
        </w:r>
        <w:r w:rsidRPr="00DB5C96">
          <w:rPr>
            <w:noProof/>
            <w:webHidden/>
          </w:rPr>
        </w:r>
        <w:r w:rsidRPr="00DB5C96">
          <w:rPr>
            <w:noProof/>
            <w:webHidden/>
          </w:rPr>
          <w:fldChar w:fldCharType="separate"/>
        </w:r>
        <w:r w:rsidR="00C81FBA" w:rsidRPr="00DB5C96">
          <w:rPr>
            <w:noProof/>
            <w:webHidden/>
          </w:rPr>
          <w:t>30</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75" w:history="1">
        <w:r w:rsidR="00C81FBA" w:rsidRPr="00DB5C96">
          <w:rPr>
            <w:rStyle w:val="Hyperlink"/>
            <w:rFonts w:cs="Calibri"/>
            <w:noProof/>
          </w:rPr>
          <w:t>14.2.</w:t>
        </w:r>
        <w:r w:rsidR="00C81FBA" w:rsidRPr="00DB5C96">
          <w:rPr>
            <w:rFonts w:asciiTheme="minorHAnsi" w:eastAsiaTheme="minorEastAsia" w:hAnsiTheme="minorHAnsi" w:cstheme="minorBidi"/>
            <w:noProof/>
            <w:szCs w:val="22"/>
          </w:rPr>
          <w:tab/>
        </w:r>
        <w:r w:rsidR="00C81FBA" w:rsidRPr="00DB5C96">
          <w:rPr>
            <w:rStyle w:val="Hyperlink"/>
            <w:rFonts w:cs="Calibri"/>
            <w:noProof/>
          </w:rPr>
          <w:t>Приходи/разходи</w:t>
        </w:r>
        <w:r w:rsidR="00C81FBA" w:rsidRPr="00DB5C96">
          <w:rPr>
            <w:noProof/>
            <w:webHidden/>
          </w:rPr>
          <w:tab/>
        </w:r>
        <w:r w:rsidRPr="00DB5C96">
          <w:rPr>
            <w:noProof/>
            <w:webHidden/>
          </w:rPr>
          <w:fldChar w:fldCharType="begin"/>
        </w:r>
        <w:r w:rsidR="00C81FBA" w:rsidRPr="00DB5C96">
          <w:rPr>
            <w:noProof/>
            <w:webHidden/>
          </w:rPr>
          <w:instrText xml:space="preserve"> PAGEREF _Toc42271175 \h </w:instrText>
        </w:r>
        <w:r w:rsidRPr="00DB5C96">
          <w:rPr>
            <w:noProof/>
            <w:webHidden/>
          </w:rPr>
        </w:r>
        <w:r w:rsidRPr="00DB5C96">
          <w:rPr>
            <w:noProof/>
            <w:webHidden/>
          </w:rPr>
          <w:fldChar w:fldCharType="separate"/>
        </w:r>
        <w:r w:rsidR="00C81FBA" w:rsidRPr="00DB5C96">
          <w:rPr>
            <w:noProof/>
            <w:webHidden/>
          </w:rPr>
          <w:t>30</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76" w:history="1">
        <w:r w:rsidR="00C81FBA" w:rsidRPr="00DB5C96">
          <w:rPr>
            <w:rStyle w:val="Hyperlink"/>
            <w:rFonts w:cs="Calibri"/>
            <w:noProof/>
          </w:rPr>
          <w:t>14.3.</w:t>
        </w:r>
        <w:r w:rsidR="00C81FBA" w:rsidRPr="00DB5C96">
          <w:rPr>
            <w:rFonts w:asciiTheme="minorHAnsi" w:eastAsiaTheme="minorEastAsia" w:hAnsiTheme="minorHAnsi" w:cstheme="minorBidi"/>
            <w:noProof/>
            <w:szCs w:val="22"/>
          </w:rPr>
          <w:tab/>
        </w:r>
        <w:r w:rsidR="00C81FBA" w:rsidRPr="00DB5C96">
          <w:rPr>
            <w:rStyle w:val="Hyperlink"/>
            <w:rFonts w:cs="Calibri"/>
            <w:noProof/>
          </w:rPr>
          <w:t>Финансов резултат</w:t>
        </w:r>
        <w:r w:rsidR="00C81FBA" w:rsidRPr="00DB5C96">
          <w:rPr>
            <w:noProof/>
            <w:webHidden/>
          </w:rPr>
          <w:tab/>
        </w:r>
        <w:r w:rsidRPr="00DB5C96">
          <w:rPr>
            <w:noProof/>
            <w:webHidden/>
          </w:rPr>
          <w:fldChar w:fldCharType="begin"/>
        </w:r>
        <w:r w:rsidR="00C81FBA" w:rsidRPr="00DB5C96">
          <w:rPr>
            <w:noProof/>
            <w:webHidden/>
          </w:rPr>
          <w:instrText xml:space="preserve"> PAGEREF _Toc42271176 \h </w:instrText>
        </w:r>
        <w:r w:rsidRPr="00DB5C96">
          <w:rPr>
            <w:noProof/>
            <w:webHidden/>
          </w:rPr>
        </w:r>
        <w:r w:rsidRPr="00DB5C96">
          <w:rPr>
            <w:noProof/>
            <w:webHidden/>
          </w:rPr>
          <w:fldChar w:fldCharType="separate"/>
        </w:r>
        <w:r w:rsidR="00C81FBA" w:rsidRPr="00DB5C96">
          <w:rPr>
            <w:noProof/>
            <w:webHidden/>
          </w:rPr>
          <w:t>31</w:t>
        </w:r>
        <w:r w:rsidRPr="00DB5C96">
          <w:rPr>
            <w:noProof/>
            <w:webHidden/>
          </w:rPr>
          <w:fldChar w:fldCharType="end"/>
        </w:r>
      </w:hyperlink>
    </w:p>
    <w:p w:rsidR="00C81FBA" w:rsidRPr="00DB5C96" w:rsidRDefault="003D57A5">
      <w:pPr>
        <w:pStyle w:val="TOC2"/>
        <w:rPr>
          <w:rFonts w:asciiTheme="minorHAnsi" w:eastAsiaTheme="minorEastAsia" w:hAnsiTheme="minorHAnsi" w:cstheme="minorBidi"/>
          <w:noProof/>
          <w:szCs w:val="22"/>
        </w:rPr>
      </w:pPr>
      <w:hyperlink w:anchor="_Toc42271177" w:history="1">
        <w:r w:rsidR="00C81FBA" w:rsidRPr="00DB5C96">
          <w:rPr>
            <w:rStyle w:val="Hyperlink"/>
            <w:rFonts w:cs="Calibri"/>
            <w:noProof/>
          </w:rPr>
          <w:t>14.4.</w:t>
        </w:r>
        <w:r w:rsidR="00C81FBA" w:rsidRPr="00DB5C96">
          <w:rPr>
            <w:rFonts w:asciiTheme="minorHAnsi" w:eastAsiaTheme="minorEastAsia" w:hAnsiTheme="minorHAnsi" w:cstheme="minorBidi"/>
            <w:noProof/>
            <w:szCs w:val="22"/>
          </w:rPr>
          <w:tab/>
        </w:r>
        <w:r w:rsidR="00C81FBA" w:rsidRPr="00DB5C96">
          <w:rPr>
            <w:rStyle w:val="Hyperlink"/>
            <w:rFonts w:cs="Calibri"/>
            <w:noProof/>
          </w:rPr>
          <w:t>Сделки със свързани лица</w:t>
        </w:r>
        <w:r w:rsidR="00C81FBA" w:rsidRPr="00DB5C96">
          <w:rPr>
            <w:noProof/>
            <w:webHidden/>
          </w:rPr>
          <w:tab/>
        </w:r>
        <w:r w:rsidRPr="00DB5C96">
          <w:rPr>
            <w:noProof/>
            <w:webHidden/>
          </w:rPr>
          <w:fldChar w:fldCharType="begin"/>
        </w:r>
        <w:r w:rsidR="00C81FBA" w:rsidRPr="00DB5C96">
          <w:rPr>
            <w:noProof/>
            <w:webHidden/>
          </w:rPr>
          <w:instrText xml:space="preserve"> PAGEREF _Toc42271177 \h </w:instrText>
        </w:r>
        <w:r w:rsidRPr="00DB5C96">
          <w:rPr>
            <w:noProof/>
            <w:webHidden/>
          </w:rPr>
        </w:r>
        <w:r w:rsidRPr="00DB5C96">
          <w:rPr>
            <w:noProof/>
            <w:webHidden/>
          </w:rPr>
          <w:fldChar w:fldCharType="separate"/>
        </w:r>
        <w:r w:rsidR="00C81FBA" w:rsidRPr="00DB5C96">
          <w:rPr>
            <w:noProof/>
            <w:webHidden/>
          </w:rPr>
          <w:t>31</w:t>
        </w:r>
        <w:r w:rsidRPr="00DB5C96">
          <w:rPr>
            <w:noProof/>
            <w:webHidden/>
          </w:rPr>
          <w:fldChar w:fldCharType="end"/>
        </w:r>
      </w:hyperlink>
    </w:p>
    <w:p w:rsidR="00C81FBA" w:rsidRDefault="003D57A5">
      <w:pPr>
        <w:pStyle w:val="TOC2"/>
        <w:rPr>
          <w:rFonts w:asciiTheme="minorHAnsi" w:eastAsiaTheme="minorEastAsia" w:hAnsiTheme="minorHAnsi" w:cstheme="minorBidi"/>
          <w:noProof/>
          <w:szCs w:val="22"/>
        </w:rPr>
      </w:pPr>
      <w:hyperlink w:anchor="_Toc42271178" w:history="1">
        <w:r w:rsidR="00C81FBA" w:rsidRPr="00DB5C96">
          <w:rPr>
            <w:rStyle w:val="Hyperlink"/>
            <w:rFonts w:cs="Calibri"/>
            <w:noProof/>
          </w:rPr>
          <w:t>14.5.</w:t>
        </w:r>
        <w:r w:rsidR="00C81FBA" w:rsidRPr="00DB5C96">
          <w:rPr>
            <w:rFonts w:asciiTheme="minorHAnsi" w:eastAsiaTheme="minorEastAsia" w:hAnsiTheme="minorHAnsi" w:cstheme="minorBidi"/>
            <w:noProof/>
            <w:szCs w:val="22"/>
          </w:rPr>
          <w:tab/>
        </w:r>
        <w:r w:rsidR="00C81FBA" w:rsidRPr="00DB5C96">
          <w:rPr>
            <w:rStyle w:val="Hyperlink"/>
            <w:rFonts w:cs="Calibri"/>
            <w:noProof/>
          </w:rPr>
          <w:t>Основен доход на акция</w:t>
        </w:r>
        <w:r w:rsidR="00C81FBA" w:rsidRPr="00DB5C96">
          <w:rPr>
            <w:noProof/>
            <w:webHidden/>
          </w:rPr>
          <w:tab/>
        </w:r>
        <w:r w:rsidRPr="00DB5C96">
          <w:rPr>
            <w:noProof/>
            <w:webHidden/>
          </w:rPr>
          <w:fldChar w:fldCharType="begin"/>
        </w:r>
        <w:r w:rsidR="00C81FBA" w:rsidRPr="00DB5C96">
          <w:rPr>
            <w:noProof/>
            <w:webHidden/>
          </w:rPr>
          <w:instrText xml:space="preserve"> PAGEREF _Toc42271178 \h </w:instrText>
        </w:r>
        <w:r w:rsidRPr="00DB5C96">
          <w:rPr>
            <w:noProof/>
            <w:webHidden/>
          </w:rPr>
        </w:r>
        <w:r w:rsidRPr="00DB5C96">
          <w:rPr>
            <w:noProof/>
            <w:webHidden/>
          </w:rPr>
          <w:fldChar w:fldCharType="separate"/>
        </w:r>
        <w:r w:rsidR="00C81FBA" w:rsidRPr="00DB5C96">
          <w:rPr>
            <w:noProof/>
            <w:webHidden/>
          </w:rPr>
          <w:t>32</w:t>
        </w:r>
        <w:r w:rsidRPr="00DB5C96">
          <w:rPr>
            <w:noProof/>
            <w:webHidden/>
          </w:rPr>
          <w:fldChar w:fldCharType="end"/>
        </w:r>
      </w:hyperlink>
    </w:p>
    <w:p w:rsidR="00E214F6" w:rsidRDefault="003D57A5" w:rsidP="00BE3033">
      <w:pPr>
        <w:rPr>
          <w:rFonts w:cs="Calibri"/>
          <w:sz w:val="20"/>
          <w:szCs w:val="20"/>
          <w:highlight w:val="yellow"/>
        </w:rPr>
      </w:pPr>
      <w:r w:rsidRPr="00E214F6">
        <w:rPr>
          <w:rFonts w:cs="Calibri"/>
          <w:sz w:val="20"/>
          <w:szCs w:val="20"/>
          <w:highlight w:val="yellow"/>
        </w:rPr>
        <w:fldChar w:fldCharType="end"/>
      </w:r>
    </w:p>
    <w:p w:rsidR="00E214F6" w:rsidRDefault="00E214F6">
      <w:pPr>
        <w:widowControl/>
        <w:jc w:val="left"/>
        <w:rPr>
          <w:rFonts w:cs="Calibri"/>
          <w:sz w:val="20"/>
          <w:szCs w:val="20"/>
          <w:highlight w:val="yellow"/>
        </w:rPr>
      </w:pPr>
      <w:r>
        <w:rPr>
          <w:rFonts w:cs="Calibri"/>
          <w:sz w:val="20"/>
          <w:szCs w:val="20"/>
          <w:highlight w:val="yellow"/>
        </w:rPr>
        <w:br w:type="page"/>
      </w:r>
    </w:p>
    <w:p w:rsidR="001E6262" w:rsidRPr="00F55B63" w:rsidRDefault="001E6262" w:rsidP="00BE3033">
      <w:pPr>
        <w:rPr>
          <w:rFonts w:cs="Calibri"/>
          <w:sz w:val="20"/>
          <w:szCs w:val="20"/>
          <w:highlight w:val="yellow"/>
        </w:rPr>
      </w:pPr>
    </w:p>
    <w:p w:rsidR="00E00E9E" w:rsidRPr="00F55B63" w:rsidRDefault="00E00E9E" w:rsidP="00DC0EEA">
      <w:pPr>
        <w:pStyle w:val="Mainnumbers"/>
      </w:pPr>
      <w:bookmarkStart w:id="0" w:name="_Toc283112098"/>
      <w:bookmarkStart w:id="1" w:name="_Toc42271139"/>
      <w:r w:rsidRPr="00F55B63">
        <w:t>Въведение</w:t>
      </w:r>
      <w:bookmarkEnd w:id="0"/>
      <w:bookmarkEnd w:id="1"/>
    </w:p>
    <w:p w:rsidR="000B0412" w:rsidRPr="00F55B63" w:rsidRDefault="000B0412" w:rsidP="001F5BCF">
      <w:pPr>
        <w:tabs>
          <w:tab w:val="left" w:pos="360"/>
        </w:tabs>
        <w:spacing w:line="276" w:lineRule="auto"/>
        <w:rPr>
          <w:rFonts w:cs="Calibri"/>
          <w:szCs w:val="22"/>
        </w:rPr>
      </w:pPr>
      <w:r w:rsidRPr="00F55B63">
        <w:rPr>
          <w:rFonts w:cs="Calibri"/>
          <w:szCs w:val="22"/>
        </w:rPr>
        <w:t xml:space="preserve">Настоящият доклад е изготвен съгласно изискванията на </w:t>
      </w:r>
      <w:r w:rsidR="003A1A1E" w:rsidRPr="00F55B63">
        <w:rPr>
          <w:rFonts w:cs="Calibri"/>
          <w:szCs w:val="22"/>
        </w:rPr>
        <w:t>чл. 100о от Закона за публичното предлагане на ценни книжа</w:t>
      </w:r>
      <w:r w:rsidRPr="00F55B63">
        <w:rPr>
          <w:rFonts w:cs="Calibri"/>
          <w:szCs w:val="22"/>
        </w:rPr>
        <w:t xml:space="preserve"> и съдържа данни за дейността на </w:t>
      </w:r>
      <w:r w:rsidR="00B62E5A" w:rsidRPr="00F55B63">
        <w:rPr>
          <w:rFonts w:cs="Calibri"/>
          <w:szCs w:val="22"/>
        </w:rPr>
        <w:t xml:space="preserve">Група </w:t>
      </w:r>
      <w:r w:rsidR="00165C3F" w:rsidRPr="00F55B63">
        <w:rPr>
          <w:rFonts w:cs="Calibri"/>
          <w:szCs w:val="22"/>
        </w:rPr>
        <w:t>Българска фондова борса</w:t>
      </w:r>
      <w:r w:rsidRPr="00F55B63">
        <w:rPr>
          <w:rFonts w:cs="Calibri"/>
          <w:szCs w:val="22"/>
        </w:rPr>
        <w:t xml:space="preserve">, за акционерния състав и членовете й, както и консолидиран </w:t>
      </w:r>
      <w:r w:rsidR="00DC0EEA" w:rsidRPr="00F55B63">
        <w:rPr>
          <w:rFonts w:cs="Calibri"/>
          <w:szCs w:val="22"/>
        </w:rPr>
        <w:t>три</w:t>
      </w:r>
      <w:r w:rsidRPr="00F55B63">
        <w:rPr>
          <w:rFonts w:cs="Calibri"/>
          <w:szCs w:val="22"/>
        </w:rPr>
        <w:t xml:space="preserve">месечен финансов отчет за </w:t>
      </w:r>
      <w:r w:rsidR="00146699" w:rsidRPr="00F55B63">
        <w:rPr>
          <w:rFonts w:cs="Calibri"/>
          <w:szCs w:val="22"/>
        </w:rPr>
        <w:t>първото</w:t>
      </w:r>
      <w:r w:rsidR="00021140" w:rsidRPr="00F55B63">
        <w:rPr>
          <w:rFonts w:cs="Calibri"/>
          <w:szCs w:val="22"/>
        </w:rPr>
        <w:t xml:space="preserve"> тримесечие </w:t>
      </w:r>
      <w:r w:rsidRPr="00F55B63">
        <w:rPr>
          <w:rFonts w:cs="Calibri"/>
          <w:szCs w:val="22"/>
        </w:rPr>
        <w:t>на 20</w:t>
      </w:r>
      <w:r w:rsidR="00F60CCF">
        <w:rPr>
          <w:rFonts w:cs="Calibri"/>
          <w:szCs w:val="22"/>
        </w:rPr>
        <w:t>20</w:t>
      </w:r>
      <w:r w:rsidRPr="00F55B63">
        <w:rPr>
          <w:rFonts w:cs="Calibri"/>
          <w:szCs w:val="22"/>
        </w:rPr>
        <w:t xml:space="preserve"> г.</w:t>
      </w:r>
    </w:p>
    <w:p w:rsidR="000B0412" w:rsidRPr="00F55B63" w:rsidRDefault="000B0412" w:rsidP="001F5BCF">
      <w:pPr>
        <w:tabs>
          <w:tab w:val="left" w:pos="360"/>
        </w:tabs>
        <w:spacing w:line="276" w:lineRule="auto"/>
        <w:rPr>
          <w:rFonts w:cs="Calibri"/>
          <w:szCs w:val="22"/>
        </w:rPr>
      </w:pPr>
      <w:r w:rsidRPr="00F55B63">
        <w:rPr>
          <w:rFonts w:cs="Calibri"/>
          <w:szCs w:val="22"/>
        </w:rPr>
        <w:t xml:space="preserve">Докладът дава информация за важните събития, настъпили през </w:t>
      </w:r>
      <w:r w:rsidR="00146699" w:rsidRPr="00F55B63">
        <w:rPr>
          <w:rFonts w:cs="Calibri"/>
          <w:szCs w:val="22"/>
        </w:rPr>
        <w:t>първото</w:t>
      </w:r>
      <w:r w:rsidR="00021140" w:rsidRPr="00F55B63">
        <w:rPr>
          <w:rFonts w:cs="Calibri"/>
          <w:szCs w:val="22"/>
        </w:rPr>
        <w:t xml:space="preserve"> тримесечие</w:t>
      </w:r>
      <w:r w:rsidRPr="00F55B63">
        <w:rPr>
          <w:rFonts w:cs="Calibri"/>
          <w:szCs w:val="22"/>
        </w:rPr>
        <w:t xml:space="preserve"> на 20</w:t>
      </w:r>
      <w:r w:rsidR="00F55B63">
        <w:rPr>
          <w:rFonts w:cs="Calibri"/>
          <w:szCs w:val="22"/>
          <w:lang w:val="en-US"/>
        </w:rPr>
        <w:t>20</w:t>
      </w:r>
      <w:r w:rsidRPr="00F55B63">
        <w:rPr>
          <w:rFonts w:cs="Calibri"/>
          <w:szCs w:val="22"/>
        </w:rPr>
        <w:t xml:space="preserve"> г, като са взети под внимание основните показатели на дейността, съпроводени със съответните анализи и изводи. Очертани са основните тенденции в развитието на капиталовия пазар, описани са основните рискове и несигурности, пред които е изправена </w:t>
      </w:r>
      <w:r w:rsidR="00B62E5A" w:rsidRPr="00F55B63">
        <w:rPr>
          <w:rFonts w:cs="Calibri"/>
          <w:szCs w:val="22"/>
        </w:rPr>
        <w:t xml:space="preserve">Група </w:t>
      </w:r>
      <w:r w:rsidR="00165C3F" w:rsidRPr="00F55B63">
        <w:rPr>
          <w:rFonts w:cs="Calibri"/>
          <w:szCs w:val="22"/>
        </w:rPr>
        <w:t>Българска фондова борса</w:t>
      </w:r>
      <w:r w:rsidRPr="00F55B63">
        <w:rPr>
          <w:rFonts w:cs="Calibri"/>
          <w:szCs w:val="22"/>
        </w:rPr>
        <w:t>.</w:t>
      </w:r>
    </w:p>
    <w:p w:rsidR="00355B33" w:rsidRPr="00845BF8" w:rsidRDefault="00A916CF" w:rsidP="00DC0EEA">
      <w:pPr>
        <w:pStyle w:val="Mainnumbers"/>
        <w:spacing w:before="0"/>
      </w:pPr>
      <w:r w:rsidRPr="00F55B63">
        <w:rPr>
          <w:highlight w:val="yellow"/>
        </w:rPr>
        <w:br w:type="page"/>
      </w:r>
      <w:bookmarkStart w:id="2" w:name="_Toc283112099"/>
      <w:bookmarkStart w:id="3" w:name="_Toc42271140"/>
      <w:r w:rsidR="001A0C3E" w:rsidRPr="00845BF8">
        <w:lastRenderedPageBreak/>
        <w:t xml:space="preserve">Данни за търговията на </w:t>
      </w:r>
      <w:r w:rsidR="00165C3F" w:rsidRPr="00845BF8">
        <w:t>Българска фондова борса</w:t>
      </w:r>
      <w:bookmarkEnd w:id="2"/>
      <w:bookmarkEnd w:id="3"/>
    </w:p>
    <w:p w:rsidR="001524A4" w:rsidRPr="00845BF8" w:rsidRDefault="009A3F7B" w:rsidP="006724B5">
      <w:pPr>
        <w:pStyle w:val="SubNumbers"/>
        <w:spacing w:before="0"/>
        <w:ind w:left="1418" w:hanging="916"/>
        <w:rPr>
          <w:rFonts w:cs="Calibri"/>
        </w:rPr>
      </w:pPr>
      <w:bookmarkStart w:id="4" w:name="_Toc283112100"/>
      <w:bookmarkStart w:id="5" w:name="_Toc386535672"/>
      <w:bookmarkStart w:id="6" w:name="_Toc42271141"/>
      <w:r w:rsidRPr="00845BF8">
        <w:rPr>
          <w:rFonts w:cs="Calibri"/>
        </w:rPr>
        <w:t>Оборот, брой сделки</w:t>
      </w:r>
      <w:bookmarkEnd w:id="4"/>
      <w:bookmarkEnd w:id="5"/>
      <w:bookmarkEnd w:id="6"/>
    </w:p>
    <w:tbl>
      <w:tblPr>
        <w:tblStyle w:val="TableGrid"/>
        <w:tblpPr w:leftFromText="142" w:rightFromText="142" w:vertAnchor="text" w:horzAnchor="margin" w:tblpXSpec="right" w:tblpY="404"/>
        <w:tblOverlap w:val="never"/>
        <w:tblW w:w="5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211"/>
      </w:tblGrid>
      <w:tr w:rsidR="00CB1BD8" w:rsidRPr="00845BF8" w:rsidTr="00C11EC4">
        <w:tc>
          <w:tcPr>
            <w:tcW w:w="5211" w:type="dxa"/>
          </w:tcPr>
          <w:p w:rsidR="00CB1BD8" w:rsidRPr="00845BF8" w:rsidRDefault="00C11EC4" w:rsidP="00326DC6">
            <w:pPr>
              <w:tabs>
                <w:tab w:val="left" w:pos="360"/>
              </w:tabs>
              <w:contextualSpacing/>
              <w:rPr>
                <w:rFonts w:cs="Calibri"/>
                <w:b/>
                <w:sz w:val="20"/>
                <w:szCs w:val="20"/>
              </w:rPr>
            </w:pPr>
            <w:r w:rsidRPr="00845BF8">
              <w:rPr>
                <w:rFonts w:cs="Calibri"/>
                <w:b/>
                <w:sz w:val="20"/>
                <w:szCs w:val="20"/>
              </w:rPr>
              <w:t xml:space="preserve">Графика 1: </w:t>
            </w:r>
            <w:r w:rsidR="0011063E" w:rsidRPr="00845BF8">
              <w:rPr>
                <w:rFonts w:cs="Calibri"/>
                <w:b/>
                <w:sz w:val="20"/>
                <w:szCs w:val="20"/>
              </w:rPr>
              <w:t xml:space="preserve">Оборот за отчетното </w:t>
            </w:r>
            <w:r w:rsidR="00DC0EEA" w:rsidRPr="00845BF8">
              <w:rPr>
                <w:rFonts w:cs="Calibri"/>
                <w:b/>
                <w:sz w:val="20"/>
                <w:szCs w:val="20"/>
              </w:rPr>
              <w:t>три</w:t>
            </w:r>
            <w:r w:rsidR="0011063E" w:rsidRPr="00845BF8">
              <w:rPr>
                <w:rFonts w:cs="Calibri"/>
                <w:b/>
                <w:sz w:val="20"/>
                <w:szCs w:val="20"/>
              </w:rPr>
              <w:t xml:space="preserve">месечие и сравнение с </w:t>
            </w:r>
            <w:r w:rsidR="00DC0EEA" w:rsidRPr="00845BF8">
              <w:rPr>
                <w:rFonts w:cs="Calibri"/>
                <w:b/>
                <w:sz w:val="20"/>
                <w:szCs w:val="20"/>
              </w:rPr>
              <w:t xml:space="preserve">предходния </w:t>
            </w:r>
            <w:r w:rsidR="0011063E" w:rsidRPr="00845BF8">
              <w:rPr>
                <w:rFonts w:cs="Calibri"/>
                <w:b/>
                <w:sz w:val="20"/>
                <w:szCs w:val="20"/>
              </w:rPr>
              <w:t>период</w:t>
            </w:r>
          </w:p>
        </w:tc>
      </w:tr>
      <w:tr w:rsidR="00CB1BD8" w:rsidRPr="00845BF8" w:rsidTr="0011063E">
        <w:tblPrEx>
          <w:tblCellMar>
            <w:left w:w="70" w:type="dxa"/>
            <w:right w:w="70" w:type="dxa"/>
          </w:tblCellMar>
        </w:tblPrEx>
        <w:trPr>
          <w:trHeight w:val="3398"/>
        </w:trPr>
        <w:tc>
          <w:tcPr>
            <w:tcW w:w="5211" w:type="dxa"/>
          </w:tcPr>
          <w:p w:rsidR="00CB1BD8" w:rsidRPr="00845BF8" w:rsidRDefault="00845BF8" w:rsidP="00166E6C">
            <w:pPr>
              <w:tabs>
                <w:tab w:val="left" w:pos="360"/>
              </w:tabs>
              <w:contextualSpacing/>
              <w:rPr>
                <w:rFonts w:cs="Calibri"/>
                <w:sz w:val="20"/>
                <w:szCs w:val="20"/>
              </w:rPr>
            </w:pPr>
            <w:r w:rsidRPr="00845BF8">
              <w:rPr>
                <w:rFonts w:cs="Calibri"/>
                <w:noProof/>
                <w:sz w:val="20"/>
                <w:szCs w:val="20"/>
              </w:rPr>
              <w:drawing>
                <wp:inline distT="0" distB="0" distL="0" distR="0">
                  <wp:extent cx="3323646" cy="3053300"/>
                  <wp:effectExtent l="0" t="0" r="0" b="0"/>
                  <wp:docPr id="10" name="Chart 3">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bl>
    <w:p w:rsidR="00C64B7B" w:rsidRPr="00845BF8" w:rsidRDefault="00C64B7B" w:rsidP="006724B5">
      <w:pPr>
        <w:pStyle w:val="SubSubNumber"/>
        <w:spacing w:before="0"/>
        <w:outlineLvl w:val="9"/>
        <w:rPr>
          <w:rFonts w:cs="Calibri"/>
        </w:rPr>
      </w:pPr>
      <w:r w:rsidRPr="00845BF8">
        <w:rPr>
          <w:rFonts w:cs="Calibri"/>
        </w:rPr>
        <w:t>Оборот</w:t>
      </w:r>
    </w:p>
    <w:p w:rsidR="00845BF8" w:rsidRPr="00845BF8" w:rsidRDefault="00845BF8" w:rsidP="00845BF8">
      <w:pPr>
        <w:pStyle w:val="Mainnumbers"/>
        <w:numPr>
          <w:ilvl w:val="0"/>
          <w:numId w:val="0"/>
        </w:numPr>
        <w:spacing w:before="0" w:after="0" w:line="276" w:lineRule="auto"/>
        <w:rPr>
          <w:b w:val="0"/>
          <w:lang w:val="en-US"/>
        </w:rPr>
      </w:pPr>
      <w:bookmarkStart w:id="7" w:name="_Toc40954557"/>
      <w:bookmarkStart w:id="8" w:name="_Toc42271142"/>
      <w:r w:rsidRPr="00845BF8">
        <w:rPr>
          <w:b w:val="0"/>
        </w:rPr>
        <w:t>Оборотът на регулирания пазар на финансови инструменти през първото тримесечие на 20</w:t>
      </w:r>
      <w:r w:rsidRPr="00845BF8">
        <w:rPr>
          <w:b w:val="0"/>
          <w:lang w:val="en-US"/>
        </w:rPr>
        <w:t>20</w:t>
      </w:r>
      <w:r w:rsidRPr="00845BF8">
        <w:rPr>
          <w:b w:val="0"/>
        </w:rPr>
        <w:t xml:space="preserve"> година беше </w:t>
      </w:r>
      <w:r w:rsidRPr="00845BF8">
        <w:rPr>
          <w:b w:val="0"/>
          <w:lang w:val="en-US"/>
        </w:rPr>
        <w:t>88 408 463</w:t>
      </w:r>
      <w:r w:rsidRPr="00845BF8">
        <w:rPr>
          <w:b w:val="0"/>
        </w:rPr>
        <w:t xml:space="preserve"> лева. За сравнение, през четвъртото тримесечие той бе </w:t>
      </w:r>
      <w:r w:rsidRPr="00845BF8">
        <w:rPr>
          <w:b w:val="0"/>
          <w:lang w:val="en-US"/>
        </w:rPr>
        <w:t>97 751 658</w:t>
      </w:r>
      <w:r w:rsidRPr="00845BF8">
        <w:rPr>
          <w:b w:val="0"/>
        </w:rPr>
        <w:t xml:space="preserve"> лева, което представлява спад с </w:t>
      </w:r>
      <w:r w:rsidRPr="00845BF8">
        <w:rPr>
          <w:b w:val="0"/>
          <w:lang w:val="en-US"/>
        </w:rPr>
        <w:t>9.6</w:t>
      </w:r>
      <w:r w:rsidRPr="00845BF8">
        <w:rPr>
          <w:b w:val="0"/>
        </w:rPr>
        <w:t xml:space="preserve">%. Както става ясно от графиката, той се дължи на намаление в оборота с повечето основни групи финансови инструменти. Ръст има в оборота с акции на АДСИЦ с 9,10 млн. лв. </w:t>
      </w:r>
      <w:r w:rsidRPr="00845BF8">
        <w:rPr>
          <w:b w:val="0"/>
          <w:lang w:val="en-US"/>
        </w:rPr>
        <w:t xml:space="preserve">(115.15%), </w:t>
      </w:r>
      <w:r w:rsidRPr="00845BF8">
        <w:rPr>
          <w:b w:val="0"/>
        </w:rPr>
        <w:t xml:space="preserve">както и при компенсаторниге инструменти с 1,6 млн. лв. </w:t>
      </w:r>
      <w:r w:rsidRPr="00845BF8">
        <w:rPr>
          <w:b w:val="0"/>
          <w:lang w:val="en-US"/>
        </w:rPr>
        <w:t>(153%)</w:t>
      </w:r>
      <w:r w:rsidRPr="00845BF8">
        <w:rPr>
          <w:b w:val="0"/>
        </w:rPr>
        <w:t>. Оборотът на Борсово търгувани продукти е незначителен на фона на оборота на останалите групи инструменти. Най-значителен бе спадът от 11,5 милиона лева (-16,3%) в оборота с акции (без АДСИЦ), следван от оборота с облигации, намалял с близо 7 милиона лева (-47%). Най-нисък бе оборотът през февруари: 21 млн. лв., а най-висок - през март: 29,7 млн. лв.</w:t>
      </w:r>
      <w:bookmarkEnd w:id="7"/>
      <w:bookmarkEnd w:id="8"/>
    </w:p>
    <w:tbl>
      <w:tblPr>
        <w:tblStyle w:val="TableGrid"/>
        <w:tblpPr w:leftFromText="142" w:rightFromText="142" w:vertAnchor="text" w:horzAnchor="margin" w:tblpY="7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4928"/>
      </w:tblGrid>
      <w:tr w:rsidR="00E57439" w:rsidRPr="00F55B63" w:rsidTr="00312DA6">
        <w:trPr>
          <w:cantSplit/>
        </w:trPr>
        <w:tc>
          <w:tcPr>
            <w:tcW w:w="4928" w:type="dxa"/>
          </w:tcPr>
          <w:p w:rsidR="00E57439" w:rsidRPr="005B78DA" w:rsidRDefault="00C11EC4" w:rsidP="00A13143">
            <w:pPr>
              <w:tabs>
                <w:tab w:val="left" w:pos="360"/>
              </w:tabs>
              <w:jc w:val="left"/>
              <w:rPr>
                <w:rFonts w:cs="Calibri"/>
                <w:b/>
                <w:i/>
                <w:sz w:val="20"/>
                <w:szCs w:val="20"/>
              </w:rPr>
            </w:pPr>
            <w:r w:rsidRPr="005B78DA">
              <w:rPr>
                <w:rFonts w:cs="Calibri"/>
                <w:b/>
                <w:sz w:val="20"/>
                <w:szCs w:val="20"/>
              </w:rPr>
              <w:t xml:space="preserve">Графика 2: </w:t>
            </w:r>
            <w:r w:rsidR="004B44AD" w:rsidRPr="005B78DA">
              <w:rPr>
                <w:rFonts w:cs="Calibri"/>
                <w:b/>
                <w:sz w:val="20"/>
                <w:szCs w:val="20"/>
              </w:rPr>
              <w:t xml:space="preserve">Брой сделки за отчетното </w:t>
            </w:r>
            <w:r w:rsidR="00DC0EEA" w:rsidRPr="005B78DA">
              <w:rPr>
                <w:rFonts w:cs="Calibri"/>
                <w:b/>
                <w:sz w:val="20"/>
                <w:szCs w:val="20"/>
              </w:rPr>
              <w:t>тримесечие</w:t>
            </w:r>
            <w:r w:rsidR="004B44AD" w:rsidRPr="005B78DA">
              <w:rPr>
                <w:rFonts w:cs="Calibri"/>
                <w:b/>
                <w:sz w:val="20"/>
                <w:szCs w:val="20"/>
              </w:rPr>
              <w:t xml:space="preserve"> и сравнение с </w:t>
            </w:r>
            <w:r w:rsidR="00A13143" w:rsidRPr="005B78DA">
              <w:rPr>
                <w:rFonts w:cs="Calibri"/>
                <w:b/>
                <w:sz w:val="20"/>
                <w:szCs w:val="20"/>
              </w:rPr>
              <w:t>предходния</w:t>
            </w:r>
            <w:r w:rsidR="004B44AD" w:rsidRPr="005B78DA">
              <w:rPr>
                <w:rFonts w:cs="Calibri"/>
                <w:b/>
                <w:sz w:val="20"/>
                <w:szCs w:val="20"/>
              </w:rPr>
              <w:t xml:space="preserve"> период</w:t>
            </w:r>
          </w:p>
        </w:tc>
      </w:tr>
      <w:tr w:rsidR="00E57439" w:rsidRPr="00F55B63" w:rsidTr="00312DA6">
        <w:tblPrEx>
          <w:tblCellMar>
            <w:left w:w="70" w:type="dxa"/>
            <w:right w:w="70" w:type="dxa"/>
          </w:tblCellMar>
        </w:tblPrEx>
        <w:trPr>
          <w:cantSplit/>
        </w:trPr>
        <w:tc>
          <w:tcPr>
            <w:tcW w:w="4928" w:type="dxa"/>
          </w:tcPr>
          <w:p w:rsidR="00E57439" w:rsidRPr="005B78DA" w:rsidRDefault="005B78DA" w:rsidP="00DE4829">
            <w:pPr>
              <w:tabs>
                <w:tab w:val="left" w:pos="360"/>
              </w:tabs>
              <w:rPr>
                <w:rFonts w:cs="Calibri"/>
                <w:szCs w:val="22"/>
              </w:rPr>
            </w:pPr>
            <w:r w:rsidRPr="005B78DA">
              <w:rPr>
                <w:rFonts w:cs="Calibri"/>
                <w:noProof/>
                <w:szCs w:val="22"/>
              </w:rPr>
              <w:drawing>
                <wp:inline distT="0" distB="0" distL="0" distR="0">
                  <wp:extent cx="2978592" cy="2973788"/>
                  <wp:effectExtent l="19050" t="0" r="0" b="0"/>
                  <wp:docPr id="25" name="Chart 3">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1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491DEE" w:rsidRPr="005B78DA" w:rsidRDefault="00491DEE" w:rsidP="001E6262">
      <w:pPr>
        <w:pStyle w:val="SubSubNumber"/>
        <w:outlineLvl w:val="9"/>
        <w:rPr>
          <w:rFonts w:cs="Calibri"/>
        </w:rPr>
      </w:pPr>
      <w:r w:rsidRPr="005B78DA">
        <w:rPr>
          <w:rFonts w:cs="Calibri"/>
        </w:rPr>
        <w:t>Брой сделки</w:t>
      </w:r>
    </w:p>
    <w:p w:rsidR="005B78DA" w:rsidRPr="005B78DA" w:rsidRDefault="005B78DA" w:rsidP="005B78DA">
      <w:pPr>
        <w:pStyle w:val="Mainnumbers"/>
        <w:numPr>
          <w:ilvl w:val="0"/>
          <w:numId w:val="0"/>
        </w:numPr>
        <w:spacing w:before="0" w:after="0" w:line="276" w:lineRule="auto"/>
        <w:rPr>
          <w:b w:val="0"/>
          <w:lang w:val="en-US"/>
        </w:rPr>
      </w:pPr>
      <w:bookmarkStart w:id="9" w:name="_Toc42271143"/>
      <w:r w:rsidRPr="005B78DA">
        <w:rPr>
          <w:b w:val="0"/>
        </w:rPr>
        <w:t>Броят сделки на регулирания пазар на финансови инструменти през първото тримесечие на 2020 година достигна 21 480. За сравнение, през предходното тримесечие той беше 10 652, което представлява ръст от  102%. Това се дължи основно на нарастване в броя сделки с Акции (без АДСИЦ) с 9 242 сделки или 105%, в броя сделки с акции на АДСИЦ с 1 475 сделки или 118% и в броя сделки с борсово търгувани продукти с 215 или 157%. Сделките с облигации нараснаха незначително. Спад бе регистриран при броя сделки с останалите видове финансови инструменти. Броят сделки бе най-висок през март: 12 238, а най-нисък той беше през януари: 4 387 сделки.</w:t>
      </w:r>
      <w:bookmarkEnd w:id="9"/>
    </w:p>
    <w:p w:rsidR="00D111D2" w:rsidRPr="00F55B63" w:rsidRDefault="00D111D2" w:rsidP="00E75BF6">
      <w:pPr>
        <w:spacing w:line="276" w:lineRule="auto"/>
        <w:rPr>
          <w:rFonts w:cs="Calibri"/>
          <w:highlight w:val="yellow"/>
        </w:rPr>
      </w:pPr>
      <w:r w:rsidRPr="00F55B63">
        <w:rPr>
          <w:rFonts w:cs="Calibri"/>
          <w:highlight w:val="yellow"/>
        </w:rPr>
        <w:br w:type="page"/>
      </w:r>
    </w:p>
    <w:p w:rsidR="00146699" w:rsidRPr="001E7331" w:rsidRDefault="00FB3755" w:rsidP="00FB3755">
      <w:pPr>
        <w:tabs>
          <w:tab w:val="left" w:pos="360"/>
        </w:tabs>
        <w:jc w:val="left"/>
        <w:rPr>
          <w:rFonts w:cs="Calibri"/>
          <w:b/>
          <w:i/>
          <w:sz w:val="20"/>
          <w:szCs w:val="20"/>
        </w:rPr>
      </w:pPr>
      <w:bookmarkStart w:id="10" w:name="_Toc283112101"/>
      <w:bookmarkStart w:id="11" w:name="_Toc142469780"/>
      <w:bookmarkStart w:id="12" w:name="_Toc142469778"/>
      <w:r w:rsidRPr="001E7331">
        <w:rPr>
          <w:rFonts w:cs="Calibri"/>
          <w:b/>
          <w:sz w:val="20"/>
          <w:szCs w:val="20"/>
        </w:rPr>
        <w:lastRenderedPageBreak/>
        <w:t xml:space="preserve">Таблица 1. Структура на търговията по пазари за отчетното </w:t>
      </w:r>
      <w:r w:rsidR="00DC0EEA" w:rsidRPr="001E7331">
        <w:rPr>
          <w:rFonts w:cs="Calibri"/>
          <w:b/>
          <w:sz w:val="20"/>
          <w:szCs w:val="20"/>
        </w:rPr>
        <w:t>тримесечие</w:t>
      </w:r>
      <w:r w:rsidR="006854A3" w:rsidRPr="001E7331">
        <w:rPr>
          <w:rFonts w:cs="Calibri"/>
          <w:b/>
          <w:sz w:val="20"/>
          <w:szCs w:val="20"/>
        </w:rPr>
        <w:t xml:space="preserve"> </w:t>
      </w:r>
      <w:r w:rsidRPr="001E7331">
        <w:rPr>
          <w:rFonts w:cs="Calibri"/>
          <w:b/>
          <w:sz w:val="20"/>
          <w:szCs w:val="20"/>
        </w:rPr>
        <w:t>(оборот в лв.)</w:t>
      </w:r>
    </w:p>
    <w:tbl>
      <w:tblPr>
        <w:tblW w:w="7549" w:type="dxa"/>
        <w:jc w:val="center"/>
        <w:tblCellMar>
          <w:left w:w="70" w:type="dxa"/>
          <w:right w:w="70" w:type="dxa"/>
        </w:tblCellMar>
        <w:tblLook w:val="04A0"/>
      </w:tblPr>
      <w:tblGrid>
        <w:gridCol w:w="389"/>
        <w:gridCol w:w="5660"/>
        <w:gridCol w:w="1500"/>
      </w:tblGrid>
      <w:tr w:rsidR="00146699" w:rsidRPr="001E7331" w:rsidTr="00146699">
        <w:trPr>
          <w:trHeight w:val="170"/>
          <w:jc w:val="center"/>
        </w:trPr>
        <w:tc>
          <w:tcPr>
            <w:tcW w:w="389"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center"/>
              <w:rPr>
                <w:color w:val="FFFFFF"/>
                <w:sz w:val="20"/>
                <w:szCs w:val="20"/>
              </w:rPr>
            </w:pPr>
            <w:r w:rsidRPr="001E7331">
              <w:rPr>
                <w:color w:val="FFFFFF"/>
                <w:sz w:val="20"/>
                <w:szCs w:val="20"/>
              </w:rPr>
              <w:t>№</w:t>
            </w:r>
          </w:p>
        </w:tc>
        <w:tc>
          <w:tcPr>
            <w:tcW w:w="566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 w:val="20"/>
                <w:szCs w:val="20"/>
              </w:rPr>
            </w:pPr>
            <w:r w:rsidRPr="001E7331">
              <w:rPr>
                <w:color w:val="FFFFFF"/>
                <w:sz w:val="20"/>
                <w:szCs w:val="20"/>
              </w:rPr>
              <w:t>Пазарен сегмент</w:t>
            </w:r>
          </w:p>
        </w:tc>
        <w:tc>
          <w:tcPr>
            <w:tcW w:w="150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 w:val="20"/>
                <w:szCs w:val="20"/>
              </w:rPr>
            </w:pPr>
            <w:r w:rsidRPr="001E7331">
              <w:rPr>
                <w:color w:val="FFFFFF"/>
                <w:sz w:val="20"/>
                <w:szCs w:val="20"/>
              </w:rPr>
              <w:t>Оборот (лева)</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 w:val="20"/>
                <w:szCs w:val="20"/>
              </w:rPr>
            </w:pPr>
            <w:r w:rsidRPr="001E7331">
              <w:rPr>
                <w:b/>
                <w:bCs/>
                <w:color w:val="000000"/>
                <w:sz w:val="20"/>
                <w:szCs w:val="20"/>
              </w:rPr>
              <w:t>1</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 w:val="20"/>
                <w:szCs w:val="20"/>
              </w:rPr>
            </w:pPr>
            <w:r w:rsidRPr="001E7331">
              <w:rPr>
                <w:b/>
                <w:bCs/>
                <w:i/>
                <w:iCs/>
                <w:color w:val="000000"/>
                <w:sz w:val="20"/>
                <w:szCs w:val="20"/>
              </w:rPr>
              <w:t>Основен пазар BSE</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70 331 223</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a</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акции Premium</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14 361 276</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b</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акции Standard</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27 422 845</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c</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борсово търгувани продукти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1 157 139</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d</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дружества със специална инвестиционна цел</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16 044 406</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e</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държавни ценни книжа</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1 001 732</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f</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компенсаторни инструменти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2 613 837</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g</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облигации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7 710 553</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h</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права</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19 435</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i</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1E7331" w:rsidRPr="001E7331" w:rsidRDefault="001E7331" w:rsidP="00146699">
            <w:pPr>
              <w:widowControl/>
              <w:jc w:val="left"/>
              <w:rPr>
                <w:color w:val="000000"/>
                <w:sz w:val="20"/>
                <w:szCs w:val="20"/>
              </w:rPr>
            </w:pPr>
            <w:r w:rsidRPr="001E7331">
              <w:rPr>
                <w:color w:val="000000"/>
                <w:sz w:val="20"/>
                <w:szCs w:val="20"/>
              </w:rPr>
              <w:t>Сегмент за първично публично предлагане</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0</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 w:val="20"/>
                <w:szCs w:val="20"/>
              </w:rPr>
            </w:pPr>
            <w:r w:rsidRPr="001E7331">
              <w:rPr>
                <w:b/>
                <w:bCs/>
                <w:color w:val="000000"/>
                <w:sz w:val="20"/>
                <w:szCs w:val="20"/>
              </w:rPr>
              <w:t>2</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 w:val="20"/>
                <w:szCs w:val="20"/>
              </w:rPr>
            </w:pPr>
            <w:r w:rsidRPr="001E7331">
              <w:rPr>
                <w:b/>
                <w:bCs/>
                <w:i/>
                <w:iCs/>
                <w:color w:val="000000"/>
                <w:sz w:val="20"/>
                <w:szCs w:val="20"/>
              </w:rPr>
              <w:t>Алтернативен пазар BaSE</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18 077 240</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a</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акции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17 125 371</w:t>
            </w:r>
          </w:p>
        </w:tc>
      </w:tr>
      <w:tr w:rsidR="001E7331" w:rsidRPr="001E7331" w:rsidTr="00146699">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 w:val="20"/>
                <w:szCs w:val="20"/>
              </w:rPr>
            </w:pPr>
            <w:r w:rsidRPr="001E7331">
              <w:rPr>
                <w:color w:val="000000"/>
                <w:sz w:val="20"/>
                <w:szCs w:val="20"/>
              </w:rPr>
              <w:t>b</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 w:val="20"/>
                <w:szCs w:val="20"/>
              </w:rPr>
            </w:pPr>
            <w:r w:rsidRPr="001E7331">
              <w:rPr>
                <w:color w:val="000000"/>
                <w:sz w:val="20"/>
                <w:szCs w:val="20"/>
              </w:rPr>
              <w:t>Сегмент за дружества със специална инвестиционна цел</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951 869</w:t>
            </w:r>
          </w:p>
        </w:tc>
      </w:tr>
    </w:tbl>
    <w:p w:rsidR="00FB3755" w:rsidRPr="001E7331" w:rsidRDefault="00FB3755" w:rsidP="00FB3755">
      <w:pPr>
        <w:tabs>
          <w:tab w:val="left" w:pos="360"/>
        </w:tabs>
        <w:jc w:val="left"/>
        <w:rPr>
          <w:rFonts w:cs="Calibri"/>
          <w:b/>
          <w:szCs w:val="20"/>
        </w:rPr>
      </w:pPr>
    </w:p>
    <w:p w:rsidR="00A13143" w:rsidRPr="001E7331" w:rsidRDefault="00FB3755" w:rsidP="00FB3755">
      <w:pPr>
        <w:tabs>
          <w:tab w:val="left" w:pos="360"/>
        </w:tabs>
        <w:jc w:val="left"/>
        <w:rPr>
          <w:rFonts w:cs="Calibri"/>
          <w:b/>
          <w:i/>
          <w:sz w:val="20"/>
          <w:szCs w:val="20"/>
        </w:rPr>
      </w:pPr>
      <w:r w:rsidRPr="001E7331">
        <w:rPr>
          <w:rFonts w:cs="Calibri"/>
          <w:b/>
          <w:sz w:val="20"/>
          <w:szCs w:val="20"/>
        </w:rPr>
        <w:t xml:space="preserve">Таблица 2. Структура на търговията по пазари за отчетното </w:t>
      </w:r>
      <w:r w:rsidR="00DC0EEA" w:rsidRPr="001E7331">
        <w:rPr>
          <w:rFonts w:cs="Calibri"/>
          <w:b/>
          <w:sz w:val="20"/>
          <w:szCs w:val="20"/>
        </w:rPr>
        <w:t>тримесечие</w:t>
      </w:r>
      <w:r w:rsidR="006854A3" w:rsidRPr="001E7331">
        <w:rPr>
          <w:rFonts w:cs="Calibri"/>
          <w:b/>
          <w:sz w:val="20"/>
          <w:szCs w:val="20"/>
        </w:rPr>
        <w:t xml:space="preserve"> </w:t>
      </w:r>
      <w:r w:rsidRPr="001E7331">
        <w:rPr>
          <w:rFonts w:cs="Calibri"/>
          <w:b/>
          <w:sz w:val="20"/>
          <w:szCs w:val="20"/>
        </w:rPr>
        <w:t>(брой сделки)</w:t>
      </w:r>
    </w:p>
    <w:tbl>
      <w:tblPr>
        <w:tblW w:w="7514" w:type="dxa"/>
        <w:jc w:val="center"/>
        <w:tblCellMar>
          <w:left w:w="70" w:type="dxa"/>
          <w:right w:w="70" w:type="dxa"/>
        </w:tblCellMar>
        <w:tblLook w:val="04A0"/>
      </w:tblPr>
      <w:tblGrid>
        <w:gridCol w:w="355"/>
        <w:gridCol w:w="5657"/>
        <w:gridCol w:w="1502"/>
      </w:tblGrid>
      <w:tr w:rsidR="00146699" w:rsidRPr="001E7331" w:rsidTr="00146699">
        <w:trPr>
          <w:trHeight w:val="170"/>
          <w:jc w:val="center"/>
        </w:trPr>
        <w:tc>
          <w:tcPr>
            <w:tcW w:w="355"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center"/>
              <w:rPr>
                <w:color w:val="FFFFFF"/>
                <w:szCs w:val="22"/>
              </w:rPr>
            </w:pPr>
            <w:r w:rsidRPr="001E7331">
              <w:rPr>
                <w:color w:val="FFFFFF"/>
                <w:szCs w:val="22"/>
              </w:rPr>
              <w:t>№</w:t>
            </w:r>
          </w:p>
        </w:tc>
        <w:tc>
          <w:tcPr>
            <w:tcW w:w="5657"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Cs w:val="22"/>
              </w:rPr>
            </w:pPr>
            <w:r w:rsidRPr="001E7331">
              <w:rPr>
                <w:color w:val="FFFFFF"/>
                <w:szCs w:val="22"/>
              </w:rPr>
              <w:t>Пазарен сегмент</w:t>
            </w:r>
          </w:p>
        </w:tc>
        <w:tc>
          <w:tcPr>
            <w:tcW w:w="1502"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Cs w:val="22"/>
              </w:rPr>
            </w:pPr>
            <w:r w:rsidRPr="001E7331">
              <w:rPr>
                <w:color w:val="FFFFFF"/>
                <w:szCs w:val="22"/>
              </w:rPr>
              <w:t xml:space="preserve">Брой сделки </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Cs w:val="22"/>
              </w:rPr>
            </w:pPr>
            <w:r w:rsidRPr="001E7331">
              <w:rPr>
                <w:b/>
                <w:bCs/>
                <w:color w:val="000000"/>
                <w:szCs w:val="22"/>
              </w:rPr>
              <w:t>1</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Cs w:val="22"/>
              </w:rPr>
            </w:pPr>
            <w:r w:rsidRPr="001E7331">
              <w:rPr>
                <w:b/>
                <w:bCs/>
                <w:i/>
                <w:iCs/>
                <w:color w:val="000000"/>
                <w:szCs w:val="22"/>
              </w:rPr>
              <w:t>Основен пазар BSE</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20 487</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a</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 Premium</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8 223</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b</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 Standard</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8 955</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c</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борсово търгувани продукти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352</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d</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дружества със специална инвестиционна цел</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2 598</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e</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държавни ценни книжа</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f</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компенсаторни инструменти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248</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g</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облигации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97</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h</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права</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13</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i</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1E7331" w:rsidRPr="001E7331" w:rsidRDefault="001E7331" w:rsidP="00146699">
            <w:pPr>
              <w:widowControl/>
              <w:jc w:val="left"/>
              <w:rPr>
                <w:color w:val="000000"/>
                <w:szCs w:val="22"/>
              </w:rPr>
            </w:pPr>
            <w:r w:rsidRPr="001E7331">
              <w:rPr>
                <w:color w:val="000000"/>
                <w:szCs w:val="22"/>
              </w:rPr>
              <w:t>Сегмент за първично публично предлагане</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0</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Cs w:val="22"/>
              </w:rPr>
            </w:pPr>
            <w:r w:rsidRPr="001E7331">
              <w:rPr>
                <w:b/>
                <w:bCs/>
                <w:color w:val="000000"/>
                <w:szCs w:val="22"/>
              </w:rPr>
              <w:t>2</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Cs w:val="22"/>
              </w:rPr>
            </w:pPr>
            <w:r w:rsidRPr="001E7331">
              <w:rPr>
                <w:b/>
                <w:bCs/>
                <w:i/>
                <w:iCs/>
                <w:color w:val="000000"/>
                <w:szCs w:val="22"/>
              </w:rPr>
              <w:t>Алтернативен пазар BaSE</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993</w:t>
            </w:r>
          </w:p>
        </w:tc>
      </w:tr>
      <w:tr w:rsidR="001E7331" w:rsidRPr="001E7331"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a</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865</w:t>
            </w:r>
          </w:p>
        </w:tc>
      </w:tr>
      <w:tr w:rsidR="001E7331" w:rsidRPr="00F55B63" w:rsidTr="00146699">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b</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дружества със специална инвестиционна цел</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128</w:t>
            </w:r>
          </w:p>
        </w:tc>
      </w:tr>
    </w:tbl>
    <w:p w:rsidR="00FB3755" w:rsidRPr="001E7331" w:rsidRDefault="00FB3755" w:rsidP="00FB3755">
      <w:pPr>
        <w:tabs>
          <w:tab w:val="left" w:pos="360"/>
        </w:tabs>
        <w:jc w:val="left"/>
        <w:rPr>
          <w:rFonts w:cs="Calibri"/>
          <w:sz w:val="20"/>
          <w:szCs w:val="20"/>
        </w:rPr>
      </w:pPr>
    </w:p>
    <w:p w:rsidR="00DC0EEA" w:rsidRPr="001E7331" w:rsidRDefault="00FB3755" w:rsidP="00FB3755">
      <w:pPr>
        <w:tabs>
          <w:tab w:val="left" w:pos="360"/>
        </w:tabs>
        <w:jc w:val="left"/>
        <w:rPr>
          <w:rFonts w:cs="Calibri"/>
          <w:b/>
          <w:sz w:val="20"/>
          <w:szCs w:val="20"/>
        </w:rPr>
      </w:pPr>
      <w:r w:rsidRPr="001E7331">
        <w:rPr>
          <w:rFonts w:cs="Calibri"/>
          <w:b/>
          <w:sz w:val="20"/>
          <w:szCs w:val="20"/>
        </w:rPr>
        <w:t xml:space="preserve">Таблица 3. Структура на търговията по пазари за отчетното </w:t>
      </w:r>
      <w:r w:rsidR="00DC0EEA" w:rsidRPr="001E7331">
        <w:rPr>
          <w:rFonts w:cs="Calibri"/>
          <w:b/>
          <w:sz w:val="20"/>
          <w:szCs w:val="20"/>
        </w:rPr>
        <w:t>тримесечие</w:t>
      </w:r>
      <w:r w:rsidR="006854A3" w:rsidRPr="001E7331">
        <w:rPr>
          <w:rFonts w:cs="Calibri"/>
          <w:b/>
          <w:sz w:val="20"/>
          <w:szCs w:val="20"/>
        </w:rPr>
        <w:t xml:space="preserve"> </w:t>
      </w:r>
      <w:r w:rsidRPr="001E7331">
        <w:rPr>
          <w:rFonts w:cs="Calibri"/>
          <w:b/>
          <w:sz w:val="20"/>
          <w:szCs w:val="20"/>
        </w:rPr>
        <w:t>(брой лотове)</w:t>
      </w:r>
    </w:p>
    <w:tbl>
      <w:tblPr>
        <w:tblW w:w="7519" w:type="dxa"/>
        <w:jc w:val="center"/>
        <w:tblCellMar>
          <w:left w:w="70" w:type="dxa"/>
          <w:right w:w="70" w:type="dxa"/>
        </w:tblCellMar>
        <w:tblLook w:val="04A0"/>
      </w:tblPr>
      <w:tblGrid>
        <w:gridCol w:w="431"/>
        <w:gridCol w:w="5628"/>
        <w:gridCol w:w="1460"/>
      </w:tblGrid>
      <w:tr w:rsidR="00146699" w:rsidRPr="001E7331" w:rsidTr="00146699">
        <w:trPr>
          <w:trHeight w:val="170"/>
          <w:jc w:val="center"/>
        </w:trPr>
        <w:tc>
          <w:tcPr>
            <w:tcW w:w="431"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center"/>
              <w:rPr>
                <w:color w:val="FFFFFF"/>
                <w:szCs w:val="22"/>
              </w:rPr>
            </w:pPr>
            <w:r w:rsidRPr="001E7331">
              <w:rPr>
                <w:color w:val="FFFFFF"/>
                <w:szCs w:val="22"/>
              </w:rPr>
              <w:t>№</w:t>
            </w:r>
          </w:p>
        </w:tc>
        <w:tc>
          <w:tcPr>
            <w:tcW w:w="5628"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Cs w:val="22"/>
              </w:rPr>
            </w:pPr>
            <w:r w:rsidRPr="001E7331">
              <w:rPr>
                <w:color w:val="FFFFFF"/>
                <w:szCs w:val="22"/>
              </w:rPr>
              <w:t>Пазарен сегмент</w:t>
            </w:r>
          </w:p>
        </w:tc>
        <w:tc>
          <w:tcPr>
            <w:tcW w:w="146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1E7331" w:rsidRDefault="00146699" w:rsidP="00146699">
            <w:pPr>
              <w:widowControl/>
              <w:jc w:val="left"/>
              <w:rPr>
                <w:color w:val="FFFFFF"/>
                <w:szCs w:val="22"/>
              </w:rPr>
            </w:pPr>
            <w:r w:rsidRPr="001E7331">
              <w:rPr>
                <w:color w:val="FFFFFF"/>
                <w:szCs w:val="22"/>
              </w:rPr>
              <w:t>Обем</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Cs w:val="22"/>
              </w:rPr>
            </w:pPr>
            <w:r w:rsidRPr="001E7331">
              <w:rPr>
                <w:b/>
                <w:bCs/>
                <w:color w:val="000000"/>
                <w:szCs w:val="22"/>
              </w:rPr>
              <w:t>1</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Cs w:val="22"/>
              </w:rPr>
            </w:pPr>
            <w:r w:rsidRPr="001E7331">
              <w:rPr>
                <w:b/>
                <w:bCs/>
                <w:i/>
                <w:iCs/>
                <w:color w:val="000000"/>
                <w:szCs w:val="22"/>
              </w:rPr>
              <w:t>Основен пазар BSE</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45 123 242</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a</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 Premium</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10 362 315</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b</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 Standard</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11 530 178</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c</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борсово търгувани продукти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3 418 369</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d</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дружества със специална инвестиционна цел</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6 254 344</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e</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държавни ценни книжа</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378</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f</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компенсаторни инструменти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10 417 383</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g</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облигации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5 689</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h</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права</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3 134 586</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i</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1E7331" w:rsidRPr="001E7331" w:rsidRDefault="001E7331" w:rsidP="00146699">
            <w:pPr>
              <w:widowControl/>
              <w:jc w:val="left"/>
              <w:rPr>
                <w:color w:val="000000"/>
                <w:szCs w:val="22"/>
              </w:rPr>
            </w:pPr>
            <w:r w:rsidRPr="001E7331">
              <w:rPr>
                <w:color w:val="000000"/>
                <w:szCs w:val="22"/>
              </w:rPr>
              <w:t>Сегмент за първично публично предлагане</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0</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center"/>
              <w:rPr>
                <w:b/>
                <w:bCs/>
                <w:color w:val="000000"/>
                <w:szCs w:val="22"/>
              </w:rPr>
            </w:pPr>
            <w:r w:rsidRPr="001E7331">
              <w:rPr>
                <w:b/>
                <w:bCs/>
                <w:color w:val="000000"/>
                <w:szCs w:val="22"/>
              </w:rPr>
              <w:t>2</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b/>
                <w:bCs/>
                <w:i/>
                <w:iCs/>
                <w:color w:val="000000"/>
                <w:szCs w:val="22"/>
              </w:rPr>
            </w:pPr>
            <w:r w:rsidRPr="001E7331">
              <w:rPr>
                <w:b/>
                <w:bCs/>
                <w:i/>
                <w:iCs/>
                <w:color w:val="000000"/>
                <w:szCs w:val="22"/>
              </w:rPr>
              <w:t>Алтернативен пазар BaSE</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b/>
                <w:bCs/>
                <w:color w:val="000000"/>
                <w:sz w:val="20"/>
                <w:szCs w:val="20"/>
                <w:lang w:val="en-US"/>
              </w:rPr>
            </w:pPr>
            <w:r w:rsidRPr="001E7331">
              <w:rPr>
                <w:b/>
                <w:bCs/>
                <w:color w:val="000000"/>
                <w:sz w:val="20"/>
                <w:szCs w:val="20"/>
                <w:lang w:val="en-US"/>
              </w:rPr>
              <w:t>5 062 179</w:t>
            </w:r>
          </w:p>
        </w:tc>
      </w:tr>
      <w:tr w:rsidR="001E7331" w:rsidRPr="001E7331"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a</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акции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4 649 535</w:t>
            </w:r>
          </w:p>
        </w:tc>
      </w:tr>
      <w:tr w:rsidR="001E7331" w:rsidRPr="00F55B63" w:rsidTr="0014669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right"/>
              <w:rPr>
                <w:color w:val="000000"/>
                <w:szCs w:val="22"/>
              </w:rPr>
            </w:pPr>
            <w:r w:rsidRPr="001E7331">
              <w:rPr>
                <w:color w:val="000000"/>
                <w:szCs w:val="22"/>
              </w:rPr>
              <w:t>b</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146699">
            <w:pPr>
              <w:widowControl/>
              <w:jc w:val="left"/>
              <w:rPr>
                <w:color w:val="000000"/>
                <w:szCs w:val="22"/>
              </w:rPr>
            </w:pPr>
            <w:r w:rsidRPr="001E7331">
              <w:rPr>
                <w:color w:val="000000"/>
                <w:szCs w:val="22"/>
              </w:rPr>
              <w:t>Сегмент за дружества със специална инвестиционна цел</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1E7331" w:rsidRPr="001E7331" w:rsidRDefault="001E7331" w:rsidP="00413000">
            <w:pPr>
              <w:widowControl/>
              <w:jc w:val="right"/>
              <w:rPr>
                <w:color w:val="000000"/>
                <w:sz w:val="20"/>
                <w:szCs w:val="20"/>
                <w:lang w:val="en-US"/>
              </w:rPr>
            </w:pPr>
            <w:r w:rsidRPr="001E7331">
              <w:rPr>
                <w:color w:val="000000"/>
                <w:sz w:val="20"/>
                <w:szCs w:val="20"/>
                <w:lang w:val="en-US"/>
              </w:rPr>
              <w:t>412 644</w:t>
            </w:r>
          </w:p>
        </w:tc>
      </w:tr>
    </w:tbl>
    <w:p w:rsidR="00FB3755" w:rsidRPr="00F55B63" w:rsidRDefault="00FB3755">
      <w:pPr>
        <w:widowControl/>
        <w:jc w:val="left"/>
        <w:rPr>
          <w:rFonts w:cs="Calibri"/>
          <w:b/>
          <w:sz w:val="20"/>
          <w:szCs w:val="20"/>
          <w:highlight w:val="yellow"/>
        </w:rPr>
      </w:pPr>
      <w:r w:rsidRPr="00F55B63">
        <w:rPr>
          <w:rFonts w:cs="Calibri"/>
          <w:b/>
          <w:sz w:val="20"/>
          <w:szCs w:val="20"/>
          <w:highlight w:val="yellow"/>
        </w:rPr>
        <w:br w:type="page"/>
      </w:r>
    </w:p>
    <w:p w:rsidR="00146699" w:rsidRPr="00D633A4" w:rsidRDefault="009A3F7B" w:rsidP="009A3F7B">
      <w:pPr>
        <w:rPr>
          <w:rFonts w:cs="Calibri"/>
          <w:b/>
          <w:sz w:val="20"/>
          <w:szCs w:val="20"/>
        </w:rPr>
      </w:pPr>
      <w:r w:rsidRPr="00D633A4">
        <w:rPr>
          <w:rFonts w:cs="Calibri"/>
          <w:b/>
          <w:sz w:val="20"/>
          <w:szCs w:val="20"/>
        </w:rPr>
        <w:lastRenderedPageBreak/>
        <w:t>Таблица 4. Търговия по видове ценни книжа на регулиран пазар</w:t>
      </w:r>
    </w:p>
    <w:tbl>
      <w:tblPr>
        <w:tblW w:w="9505" w:type="dxa"/>
        <w:jc w:val="center"/>
        <w:tblCellMar>
          <w:left w:w="70" w:type="dxa"/>
          <w:right w:w="70" w:type="dxa"/>
        </w:tblCellMar>
        <w:tblLook w:val="04A0"/>
      </w:tblPr>
      <w:tblGrid>
        <w:gridCol w:w="3476"/>
        <w:gridCol w:w="1273"/>
        <w:gridCol w:w="1346"/>
        <w:gridCol w:w="1361"/>
        <w:gridCol w:w="2049"/>
      </w:tblGrid>
      <w:tr w:rsidR="00146699" w:rsidRPr="00D633A4" w:rsidTr="00146699">
        <w:trPr>
          <w:trHeight w:val="170"/>
          <w:jc w:val="center"/>
        </w:trPr>
        <w:tc>
          <w:tcPr>
            <w:tcW w:w="3476"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D633A4" w:rsidRDefault="00146699" w:rsidP="00146699">
            <w:pPr>
              <w:widowControl/>
              <w:jc w:val="center"/>
              <w:rPr>
                <w:b/>
                <w:bCs/>
                <w:color w:val="FFFFFF"/>
                <w:szCs w:val="22"/>
              </w:rPr>
            </w:pPr>
            <w:r w:rsidRPr="00D633A4">
              <w:rPr>
                <w:b/>
                <w:bCs/>
                <w:color w:val="FFFFFF"/>
                <w:szCs w:val="22"/>
              </w:rPr>
              <w:t>Пазар / Пазарен сегмент</w:t>
            </w:r>
          </w:p>
        </w:tc>
        <w:tc>
          <w:tcPr>
            <w:tcW w:w="1273"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D633A4" w:rsidRDefault="00146699" w:rsidP="00D633A4">
            <w:pPr>
              <w:widowControl/>
              <w:jc w:val="center"/>
              <w:rPr>
                <w:b/>
                <w:bCs/>
                <w:color w:val="FFFFFF"/>
                <w:szCs w:val="22"/>
              </w:rPr>
            </w:pPr>
            <w:r w:rsidRPr="00D633A4">
              <w:rPr>
                <w:b/>
                <w:bCs/>
                <w:color w:val="FFFFFF"/>
                <w:szCs w:val="22"/>
              </w:rPr>
              <w:t>Q4 '1</w:t>
            </w:r>
            <w:r w:rsidR="00D633A4">
              <w:rPr>
                <w:b/>
                <w:bCs/>
                <w:color w:val="FFFFFF"/>
                <w:szCs w:val="22"/>
              </w:rPr>
              <w:t>9</w:t>
            </w:r>
          </w:p>
        </w:tc>
        <w:tc>
          <w:tcPr>
            <w:tcW w:w="1346"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D633A4" w:rsidRDefault="00146699" w:rsidP="00D633A4">
            <w:pPr>
              <w:widowControl/>
              <w:jc w:val="center"/>
              <w:rPr>
                <w:b/>
                <w:bCs/>
                <w:color w:val="FFFFFF"/>
                <w:szCs w:val="22"/>
              </w:rPr>
            </w:pPr>
            <w:r w:rsidRPr="00D633A4">
              <w:rPr>
                <w:b/>
                <w:bCs/>
                <w:color w:val="FFFFFF"/>
                <w:szCs w:val="22"/>
              </w:rPr>
              <w:t>Q1 '</w:t>
            </w:r>
            <w:r w:rsidR="00D633A4">
              <w:rPr>
                <w:b/>
                <w:bCs/>
                <w:color w:val="FFFFFF"/>
                <w:szCs w:val="22"/>
              </w:rPr>
              <w:t>20</w:t>
            </w:r>
          </w:p>
        </w:tc>
        <w:tc>
          <w:tcPr>
            <w:tcW w:w="1361"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D633A4" w:rsidRDefault="00146699" w:rsidP="00146699">
            <w:pPr>
              <w:widowControl/>
              <w:jc w:val="center"/>
              <w:rPr>
                <w:b/>
                <w:bCs/>
                <w:color w:val="FFFFFF"/>
                <w:szCs w:val="22"/>
              </w:rPr>
            </w:pPr>
            <w:r w:rsidRPr="00D633A4">
              <w:rPr>
                <w:b/>
                <w:bCs/>
                <w:color w:val="FFFFFF"/>
                <w:szCs w:val="22"/>
              </w:rPr>
              <w:t>промяна %</w:t>
            </w:r>
          </w:p>
        </w:tc>
        <w:tc>
          <w:tcPr>
            <w:tcW w:w="2049"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D633A4" w:rsidRDefault="00146699" w:rsidP="00146699">
            <w:pPr>
              <w:widowControl/>
              <w:jc w:val="center"/>
              <w:rPr>
                <w:b/>
                <w:bCs/>
                <w:color w:val="FFFFFF"/>
                <w:szCs w:val="22"/>
              </w:rPr>
            </w:pPr>
            <w:r w:rsidRPr="00D633A4">
              <w:rPr>
                <w:b/>
                <w:bCs/>
                <w:color w:val="FFFFFF"/>
                <w:szCs w:val="22"/>
              </w:rPr>
              <w:t>абсолютна стойност</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b/>
                <w:bCs/>
                <w:color w:val="000000"/>
                <w:szCs w:val="22"/>
              </w:rPr>
            </w:pPr>
            <w:r w:rsidRPr="00D633A4">
              <w:rPr>
                <w:b/>
                <w:bCs/>
                <w:color w:val="000000"/>
                <w:szCs w:val="22"/>
              </w:rPr>
              <w:t>Оборот (BGN)</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b/>
                <w:bCs/>
                <w:color w:val="000000"/>
                <w:sz w:val="20"/>
                <w:szCs w:val="22"/>
                <w:lang w:val="en-US"/>
              </w:rPr>
            </w:pPr>
            <w:r w:rsidRPr="0049622F">
              <w:rPr>
                <w:rFonts w:cs="Calibri"/>
                <w:b/>
                <w:bCs/>
                <w:color w:val="000000"/>
                <w:sz w:val="20"/>
                <w:szCs w:val="22"/>
                <w:lang w:val="en-US"/>
              </w:rPr>
              <w:t>97 751 658</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lang w:val="en-US"/>
              </w:rPr>
            </w:pPr>
            <w:r w:rsidRPr="0049622F">
              <w:rPr>
                <w:b/>
                <w:bCs/>
                <w:color w:val="000000"/>
                <w:sz w:val="20"/>
                <w:szCs w:val="22"/>
                <w:lang w:val="en-US"/>
              </w:rPr>
              <w:t>88 408 463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lang w:val="en-US"/>
              </w:rPr>
            </w:pPr>
            <w:r w:rsidRPr="0049622F">
              <w:rPr>
                <w:b/>
                <w:bCs/>
                <w:color w:val="000000"/>
                <w:sz w:val="20"/>
                <w:szCs w:val="22"/>
                <w:lang w:val="en-US"/>
              </w:rPr>
              <w:t>-9</w:t>
            </w:r>
            <w:r w:rsidRPr="0049622F">
              <w:rPr>
                <w:b/>
                <w:bCs/>
                <w:color w:val="000000"/>
                <w:sz w:val="20"/>
                <w:szCs w:val="22"/>
              </w:rPr>
              <w:t>,</w:t>
            </w:r>
            <w:r w:rsidRPr="0049622F">
              <w:rPr>
                <w:b/>
                <w:bCs/>
                <w:color w:val="000000"/>
                <w:sz w:val="20"/>
                <w:szCs w:val="22"/>
                <w:lang w:val="en-US"/>
              </w:rPr>
              <w:t>56%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rPr>
            </w:pPr>
            <w:r w:rsidRPr="0049622F">
              <w:rPr>
                <w:b/>
                <w:bCs/>
                <w:color w:val="000000"/>
                <w:sz w:val="20"/>
                <w:szCs w:val="22"/>
              </w:rPr>
              <w:t>-9 343 195</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70 388 939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58 909 492</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-16</w:t>
            </w:r>
            <w:r w:rsidRPr="0049622F">
              <w:rPr>
                <w:color w:val="000000"/>
                <w:sz w:val="20"/>
                <w:szCs w:val="22"/>
              </w:rPr>
              <w:t>,</w:t>
            </w:r>
            <w:r w:rsidRPr="0049622F">
              <w:rPr>
                <w:color w:val="000000"/>
                <w:sz w:val="20"/>
                <w:szCs w:val="22"/>
                <w:lang w:val="en-US"/>
              </w:rPr>
              <w:t>31%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-11 479 447</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7 899 663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16 996 275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115</w:t>
            </w:r>
            <w:r w:rsidRPr="0049622F">
              <w:rPr>
                <w:color w:val="000000"/>
                <w:sz w:val="20"/>
                <w:szCs w:val="22"/>
              </w:rPr>
              <w:t>,</w:t>
            </w:r>
            <w:r w:rsidRPr="0049622F">
              <w:rPr>
                <w:color w:val="000000"/>
                <w:sz w:val="20"/>
                <w:szCs w:val="22"/>
                <w:lang w:val="en-US"/>
              </w:rPr>
              <w:t>15%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9 096 612</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14 652 624</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7 710 553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-47,38%</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-6 942 071</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459 978</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1 157 139</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151,56%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697 161</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3 309 031</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1 001 732</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-69,73%</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-2 307 300</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1 034 510</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2 613 837</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152,66%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1 579 327</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6 911</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19 435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181,20%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12 524</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b/>
                <w:bCs/>
                <w:color w:val="000000"/>
                <w:szCs w:val="22"/>
              </w:rPr>
            </w:pPr>
            <w:r w:rsidRPr="00D633A4">
              <w:rPr>
                <w:b/>
                <w:bCs/>
                <w:color w:val="000000"/>
                <w:szCs w:val="22"/>
              </w:rPr>
              <w:t>Обем ФИ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b/>
                <w:bCs/>
                <w:color w:val="000000"/>
                <w:sz w:val="20"/>
                <w:szCs w:val="22"/>
                <w:lang w:val="en-US"/>
              </w:rPr>
            </w:pPr>
            <w:r w:rsidRPr="0049622F">
              <w:rPr>
                <w:rFonts w:cs="Calibri"/>
                <w:b/>
                <w:bCs/>
                <w:color w:val="000000"/>
                <w:sz w:val="20"/>
                <w:szCs w:val="22"/>
                <w:lang w:val="en-US"/>
              </w:rPr>
              <w:t>37 188 455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lang w:val="en-US"/>
              </w:rPr>
            </w:pPr>
            <w:r w:rsidRPr="0049622F">
              <w:rPr>
                <w:b/>
                <w:bCs/>
                <w:color w:val="000000"/>
                <w:sz w:val="20"/>
                <w:szCs w:val="22"/>
                <w:lang w:val="en-US"/>
              </w:rPr>
              <w:t>50 185 421</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rPr>
            </w:pPr>
            <w:r w:rsidRPr="0049622F">
              <w:rPr>
                <w:b/>
                <w:bCs/>
                <w:color w:val="000000"/>
                <w:sz w:val="20"/>
                <w:szCs w:val="22"/>
              </w:rPr>
              <w:t>34,95%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rPr>
            </w:pPr>
            <w:r w:rsidRPr="0049622F">
              <w:rPr>
                <w:b/>
                <w:bCs/>
                <w:color w:val="000000"/>
                <w:sz w:val="20"/>
                <w:szCs w:val="22"/>
              </w:rPr>
              <w:t>12 996 966</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20 899 323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26 542 028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27,00%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5 642 705</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2 580 733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6 666 988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158,34%</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 xml:space="preserve">4 086 255 </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12 495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 xml:space="preserve">5 689 </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-54,47%</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-6 806</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632 023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3 418 369</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440,86%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2 786 346</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2 250</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378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-83,20%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-1 872</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2 944 316</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10 417 383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253,81%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7 473 067</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10 117 315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3 134 586</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-69,02%</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-6 982 729</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b/>
                <w:bCs/>
                <w:color w:val="000000"/>
                <w:szCs w:val="22"/>
              </w:rPr>
            </w:pPr>
            <w:r w:rsidRPr="00D633A4">
              <w:rPr>
                <w:b/>
                <w:bCs/>
                <w:color w:val="000000"/>
                <w:szCs w:val="22"/>
              </w:rPr>
              <w:t xml:space="preserve">Брой сделки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b/>
                <w:bCs/>
                <w:color w:val="000000"/>
                <w:sz w:val="20"/>
                <w:szCs w:val="22"/>
                <w:lang w:val="en-US"/>
              </w:rPr>
            </w:pPr>
            <w:r w:rsidRPr="0049622F">
              <w:rPr>
                <w:rFonts w:cs="Calibri"/>
                <w:b/>
                <w:bCs/>
                <w:color w:val="000000"/>
                <w:sz w:val="20"/>
                <w:szCs w:val="22"/>
                <w:lang w:val="en-US"/>
              </w:rPr>
              <w:t>10 652</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lang w:val="en-US"/>
              </w:rPr>
            </w:pPr>
            <w:r w:rsidRPr="0049622F">
              <w:rPr>
                <w:b/>
                <w:bCs/>
                <w:color w:val="000000"/>
                <w:sz w:val="20"/>
                <w:szCs w:val="22"/>
                <w:lang w:val="en-US"/>
              </w:rPr>
              <w:t>21 480</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rPr>
            </w:pPr>
            <w:r w:rsidRPr="0049622F">
              <w:rPr>
                <w:b/>
                <w:bCs/>
                <w:color w:val="000000"/>
                <w:sz w:val="20"/>
                <w:szCs w:val="22"/>
              </w:rPr>
              <w:t>101,65%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b/>
                <w:bCs/>
                <w:color w:val="000000"/>
                <w:sz w:val="20"/>
                <w:szCs w:val="22"/>
              </w:rPr>
            </w:pPr>
            <w:r w:rsidRPr="0049622F">
              <w:rPr>
                <w:b/>
                <w:bCs/>
                <w:color w:val="000000"/>
                <w:sz w:val="20"/>
                <w:szCs w:val="22"/>
              </w:rPr>
              <w:t>10 828</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8 801</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18 043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105,01%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 xml:space="preserve">9 242 </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1 251</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2 726</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117,91%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1 475</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87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97</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11,49%</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10</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137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352</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156,93%</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215</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-85,71%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-6</w:t>
            </w:r>
          </w:p>
        </w:tc>
      </w:tr>
      <w:tr w:rsidR="00D633A4" w:rsidRPr="00D633A4"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353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248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-29,75%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-105</w:t>
            </w:r>
          </w:p>
        </w:tc>
      </w:tr>
      <w:tr w:rsidR="00D633A4" w:rsidRPr="00F55B63" w:rsidTr="0014669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D633A4" w:rsidRPr="00D633A4" w:rsidRDefault="00D633A4" w:rsidP="00146699">
            <w:pPr>
              <w:widowControl/>
              <w:jc w:val="left"/>
              <w:rPr>
                <w:color w:val="000000"/>
                <w:szCs w:val="22"/>
              </w:rPr>
            </w:pPr>
            <w:r w:rsidRPr="00D633A4">
              <w:rPr>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rFonts w:cs="Calibri"/>
                <w:color w:val="000000"/>
                <w:sz w:val="20"/>
                <w:szCs w:val="22"/>
                <w:lang w:val="en-US"/>
              </w:rPr>
            </w:pPr>
            <w:r w:rsidRPr="0049622F">
              <w:rPr>
                <w:rFonts w:cs="Calibri"/>
                <w:color w:val="000000"/>
                <w:sz w:val="20"/>
                <w:szCs w:val="22"/>
                <w:lang w:val="en-US"/>
              </w:rPr>
              <w:t>16</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lang w:val="en-US"/>
              </w:rPr>
            </w:pPr>
            <w:r w:rsidRPr="0049622F">
              <w:rPr>
                <w:color w:val="000000"/>
                <w:sz w:val="20"/>
                <w:szCs w:val="22"/>
                <w:lang w:val="en-US"/>
              </w:rPr>
              <w:t>13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-18,75%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D633A4" w:rsidRPr="0049622F" w:rsidRDefault="00D633A4" w:rsidP="00413000">
            <w:pPr>
              <w:widowControl/>
              <w:jc w:val="right"/>
              <w:rPr>
                <w:color w:val="000000"/>
                <w:sz w:val="20"/>
                <w:szCs w:val="22"/>
              </w:rPr>
            </w:pPr>
            <w:r w:rsidRPr="0049622F">
              <w:rPr>
                <w:color w:val="000000"/>
                <w:sz w:val="20"/>
                <w:szCs w:val="22"/>
              </w:rPr>
              <w:t>-3</w:t>
            </w:r>
          </w:p>
        </w:tc>
      </w:tr>
    </w:tbl>
    <w:p w:rsidR="00312DA6" w:rsidRPr="00F55B63" w:rsidRDefault="00312DA6" w:rsidP="009A3F7B">
      <w:pPr>
        <w:rPr>
          <w:rFonts w:cs="Calibri"/>
          <w:b/>
          <w:sz w:val="20"/>
          <w:szCs w:val="20"/>
          <w:highlight w:val="yellow"/>
        </w:rPr>
      </w:pPr>
    </w:p>
    <w:tbl>
      <w:tblPr>
        <w:tblStyle w:val="TableGrid"/>
        <w:tblW w:w="95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832"/>
      </w:tblGrid>
      <w:tr w:rsidR="009A3F7B" w:rsidRPr="00F55B63" w:rsidTr="00217E18">
        <w:trPr>
          <w:jc w:val="center"/>
        </w:trPr>
        <w:tc>
          <w:tcPr>
            <w:tcW w:w="9540" w:type="dxa"/>
          </w:tcPr>
          <w:p w:rsidR="009A3F7B" w:rsidRPr="00F55B63" w:rsidRDefault="009A3F7B" w:rsidP="00207C00">
            <w:pPr>
              <w:tabs>
                <w:tab w:val="left" w:pos="360"/>
              </w:tabs>
              <w:jc w:val="left"/>
              <w:rPr>
                <w:rFonts w:cs="Calibri"/>
                <w:b/>
                <w:sz w:val="20"/>
                <w:szCs w:val="20"/>
                <w:highlight w:val="yellow"/>
              </w:rPr>
            </w:pPr>
            <w:r w:rsidRPr="00D633A4">
              <w:rPr>
                <w:rFonts w:cs="Calibri"/>
                <w:b/>
                <w:sz w:val="20"/>
                <w:szCs w:val="20"/>
              </w:rPr>
              <w:t xml:space="preserve">Графика </w:t>
            </w:r>
            <w:r w:rsidR="00223370" w:rsidRPr="00D633A4">
              <w:rPr>
                <w:rFonts w:cs="Calibri"/>
                <w:b/>
                <w:sz w:val="20"/>
                <w:szCs w:val="20"/>
              </w:rPr>
              <w:t>3</w:t>
            </w:r>
            <w:r w:rsidRPr="00D633A4">
              <w:rPr>
                <w:rFonts w:cs="Calibri"/>
                <w:b/>
                <w:sz w:val="20"/>
                <w:szCs w:val="20"/>
              </w:rPr>
              <w:t>: Десетте дружества с най</w:t>
            </w:r>
            <w:r w:rsidR="00FB3755" w:rsidRPr="00D633A4">
              <w:rPr>
                <w:rFonts w:cs="Calibri"/>
                <w:b/>
                <w:sz w:val="20"/>
                <w:szCs w:val="20"/>
              </w:rPr>
              <w:t xml:space="preserve">-висок оборот през отчетното </w:t>
            </w:r>
            <w:r w:rsidR="00207C00" w:rsidRPr="00D633A4">
              <w:rPr>
                <w:rFonts w:cs="Calibri"/>
                <w:b/>
                <w:sz w:val="20"/>
                <w:szCs w:val="20"/>
              </w:rPr>
              <w:t>три</w:t>
            </w:r>
            <w:r w:rsidRPr="00D633A4">
              <w:rPr>
                <w:rFonts w:cs="Calibri"/>
                <w:b/>
                <w:sz w:val="20"/>
                <w:szCs w:val="20"/>
              </w:rPr>
              <w:t>месечие</w:t>
            </w:r>
          </w:p>
        </w:tc>
      </w:tr>
      <w:tr w:rsidR="009A3F7B" w:rsidRPr="00F55B63" w:rsidTr="008B4B9B">
        <w:tblPrEx>
          <w:tblCellMar>
            <w:left w:w="70" w:type="dxa"/>
            <w:right w:w="70" w:type="dxa"/>
          </w:tblCellMar>
        </w:tblPrEx>
        <w:trPr>
          <w:trHeight w:hRule="exact" w:val="5322"/>
          <w:jc w:val="center"/>
        </w:trPr>
        <w:tc>
          <w:tcPr>
            <w:tcW w:w="9540" w:type="dxa"/>
            <w:shd w:val="clear" w:color="auto" w:fill="FFFFFF" w:themeFill="background1"/>
          </w:tcPr>
          <w:p w:rsidR="009A3F7B" w:rsidRPr="00F55B63" w:rsidRDefault="00D633A4" w:rsidP="001F528B">
            <w:pPr>
              <w:tabs>
                <w:tab w:val="left" w:pos="360"/>
              </w:tabs>
              <w:jc w:val="center"/>
              <w:rPr>
                <w:rFonts w:cs="Calibri"/>
                <w:szCs w:val="22"/>
                <w:highlight w:val="yellow"/>
              </w:rPr>
            </w:pPr>
            <w:r w:rsidRPr="00D633A4">
              <w:rPr>
                <w:rFonts w:cs="Calibri"/>
                <w:noProof/>
                <w:sz w:val="12"/>
                <w:szCs w:val="12"/>
              </w:rPr>
              <w:drawing>
                <wp:inline distT="0" distB="0" distL="0" distR="0">
                  <wp:extent cx="6135260" cy="3713259"/>
                  <wp:effectExtent l="19050" t="0" r="0" b="0"/>
                  <wp:docPr id="12" name="Chart 5">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9A3F7B" w:rsidRPr="00F55B63" w:rsidRDefault="009A3F7B" w:rsidP="009A3F7B">
      <w:pPr>
        <w:widowControl/>
        <w:jc w:val="left"/>
        <w:rPr>
          <w:rFonts w:cs="Calibri"/>
          <w:highlight w:val="yellow"/>
        </w:rPr>
      </w:pPr>
      <w:r w:rsidRPr="00F55B63">
        <w:rPr>
          <w:rFonts w:cs="Calibri"/>
          <w:highlight w:val="yellow"/>
        </w:rPr>
        <w:br w:type="page"/>
      </w:r>
    </w:p>
    <w:p w:rsidR="00316218" w:rsidRPr="00D633A4" w:rsidRDefault="000432F0" w:rsidP="00ED241E">
      <w:pPr>
        <w:pStyle w:val="SubNumbers"/>
        <w:ind w:left="1418" w:hanging="916"/>
        <w:rPr>
          <w:rFonts w:cs="Calibri"/>
        </w:rPr>
      </w:pPr>
      <w:bookmarkStart w:id="13" w:name="_Toc42271144"/>
      <w:r w:rsidRPr="00D633A4">
        <w:rPr>
          <w:rFonts w:cs="Calibri"/>
        </w:rPr>
        <w:lastRenderedPageBreak/>
        <w:t>Отраслова структура на търговията</w:t>
      </w:r>
      <w:bookmarkEnd w:id="10"/>
      <w:bookmarkEnd w:id="13"/>
    </w:p>
    <w:p w:rsidR="00D633A4" w:rsidRDefault="00D633A4" w:rsidP="00D633A4">
      <w:pPr>
        <w:spacing w:line="276" w:lineRule="auto"/>
        <w:rPr>
          <w:rFonts w:cs="Calibri"/>
          <w:szCs w:val="22"/>
          <w:lang w:val="en-US"/>
        </w:rPr>
      </w:pPr>
      <w:r w:rsidRPr="002D1867">
        <w:rPr>
          <w:rFonts w:cs="Calibri"/>
        </w:rPr>
        <w:t xml:space="preserve">През първото тримесечие секторът „Финансови и застрахователни дейности“ запази челното място в класацията по оборот с </w:t>
      </w:r>
      <w:r w:rsidRPr="002D1867">
        <w:rPr>
          <w:rFonts w:cs="Calibri"/>
          <w:lang w:val="en-US"/>
        </w:rPr>
        <w:t>53</w:t>
      </w:r>
      <w:r w:rsidRPr="002D1867">
        <w:rPr>
          <w:rFonts w:cs="Calibri"/>
        </w:rPr>
        <w:t>,9 млн. лв. (Q4’1</w:t>
      </w:r>
      <w:r w:rsidRPr="002D1867">
        <w:rPr>
          <w:rFonts w:cs="Calibri"/>
          <w:lang w:val="en-US"/>
        </w:rPr>
        <w:t>9</w:t>
      </w:r>
      <w:r w:rsidRPr="002D1867">
        <w:rPr>
          <w:rFonts w:cs="Calibri"/>
        </w:rPr>
        <w:t xml:space="preserve">: </w:t>
      </w:r>
      <w:r w:rsidRPr="002D1867">
        <w:rPr>
          <w:rFonts w:cs="Calibri"/>
          <w:lang w:val="en-US"/>
        </w:rPr>
        <w:t>52</w:t>
      </w:r>
      <w:r w:rsidRPr="002D1867">
        <w:rPr>
          <w:rFonts w:cs="Calibri"/>
        </w:rPr>
        <w:t>,</w:t>
      </w:r>
      <w:r w:rsidRPr="002D1867">
        <w:rPr>
          <w:rFonts w:cs="Calibri"/>
          <w:lang w:val="en-US"/>
        </w:rPr>
        <w:t>9</w:t>
      </w:r>
      <w:r w:rsidRPr="002D1867">
        <w:rPr>
          <w:rFonts w:cs="Calibri"/>
        </w:rPr>
        <w:t xml:space="preserve"> млн. лв.). </w:t>
      </w:r>
      <w:r w:rsidRPr="002D1867">
        <w:rPr>
          <w:rFonts w:cs="Calibri"/>
          <w:szCs w:val="22"/>
        </w:rPr>
        <w:t xml:space="preserve">Както се вижда от следващата графика, оборотът на сектора надхвърля общия на всички останали браншове и формира </w:t>
      </w:r>
      <w:r w:rsidRPr="002D1867">
        <w:rPr>
          <w:rFonts w:cs="Calibri"/>
          <w:szCs w:val="22"/>
          <w:lang w:val="en-US"/>
        </w:rPr>
        <w:t>71</w:t>
      </w:r>
      <w:r w:rsidRPr="002D1867">
        <w:rPr>
          <w:rFonts w:cs="Calibri"/>
          <w:szCs w:val="22"/>
        </w:rPr>
        <w:t>% (</w:t>
      </w:r>
      <w:r w:rsidRPr="002D1867">
        <w:rPr>
          <w:rFonts w:cs="Calibri"/>
        </w:rPr>
        <w:t>Q4’1</w:t>
      </w:r>
      <w:r w:rsidRPr="002D1867">
        <w:rPr>
          <w:rFonts w:cs="Calibri"/>
          <w:lang w:val="en-US"/>
        </w:rPr>
        <w:t>9</w:t>
      </w:r>
      <w:r w:rsidRPr="002D1867">
        <w:rPr>
          <w:rFonts w:cs="Calibri"/>
        </w:rPr>
        <w:t xml:space="preserve">: </w:t>
      </w:r>
      <w:r w:rsidRPr="002D1867">
        <w:rPr>
          <w:rFonts w:cs="Calibri"/>
          <w:lang w:val="en-US"/>
        </w:rPr>
        <w:t>68</w:t>
      </w:r>
      <w:r w:rsidRPr="002D1867">
        <w:rPr>
          <w:rFonts w:cs="Calibri"/>
          <w:szCs w:val="22"/>
        </w:rPr>
        <w:t>%) от общия оборот за тримесечието. Това прави оборотът и капитализацията на Борсата особено чувствителни към сътресения и лоши новини, свързани с банковия и застрахователния сектори.</w:t>
      </w:r>
    </w:p>
    <w:p w:rsidR="00D633A4" w:rsidRDefault="00D633A4" w:rsidP="00D633A4">
      <w:pPr>
        <w:spacing w:line="276" w:lineRule="auto"/>
        <w:rPr>
          <w:rFonts w:cs="Calibri"/>
          <w:szCs w:val="22"/>
          <w:lang w:val="en-US"/>
        </w:rPr>
      </w:pPr>
      <w:r w:rsidRPr="007B1448">
        <w:rPr>
          <w:rFonts w:cs="Calibri"/>
          <w:szCs w:val="22"/>
        </w:rPr>
        <w:t>Сектор „Преработваща промишленост” е на второ място в класирането с оборот от 1</w:t>
      </w:r>
      <w:r>
        <w:rPr>
          <w:rFonts w:cs="Calibri"/>
          <w:szCs w:val="22"/>
          <w:lang w:val="en-US"/>
        </w:rPr>
        <w:t>2</w:t>
      </w:r>
      <w:r w:rsidRPr="007B1448">
        <w:rPr>
          <w:rFonts w:cs="Calibri"/>
          <w:szCs w:val="22"/>
        </w:rPr>
        <w:t>,</w:t>
      </w:r>
      <w:r>
        <w:rPr>
          <w:rFonts w:cs="Calibri"/>
          <w:szCs w:val="22"/>
          <w:lang w:val="en-US"/>
        </w:rPr>
        <w:t>1</w:t>
      </w:r>
      <w:r w:rsidRPr="007B1448">
        <w:rPr>
          <w:rFonts w:cs="Calibri"/>
          <w:szCs w:val="22"/>
        </w:rPr>
        <w:t xml:space="preserve"> млн. лв. (</w:t>
      </w:r>
      <w:r w:rsidRPr="007B1448">
        <w:rPr>
          <w:rFonts w:cs="Calibri"/>
        </w:rPr>
        <w:t>Q</w:t>
      </w:r>
      <w:r>
        <w:rPr>
          <w:rFonts w:cs="Calibri"/>
          <w:lang w:val="en-US"/>
        </w:rPr>
        <w:t>4</w:t>
      </w:r>
      <w:r w:rsidRPr="007B1448">
        <w:rPr>
          <w:rFonts w:cs="Calibri"/>
        </w:rPr>
        <w:t xml:space="preserve">’19: </w:t>
      </w:r>
      <w:r>
        <w:rPr>
          <w:rFonts w:cs="Calibri"/>
          <w:lang w:val="en-US"/>
        </w:rPr>
        <w:t>10</w:t>
      </w:r>
      <w:r w:rsidRPr="007B1448">
        <w:rPr>
          <w:rFonts w:cs="Calibri"/>
          <w:szCs w:val="22"/>
        </w:rPr>
        <w:t>,</w:t>
      </w:r>
      <w:r>
        <w:rPr>
          <w:rFonts w:cs="Calibri"/>
          <w:szCs w:val="22"/>
          <w:lang w:val="en-US"/>
        </w:rPr>
        <w:t>6</w:t>
      </w:r>
      <w:r w:rsidRPr="007B1448">
        <w:rPr>
          <w:rFonts w:cs="Calibri"/>
          <w:szCs w:val="22"/>
        </w:rPr>
        <w:t xml:space="preserve"> млн. лв.) и </w:t>
      </w:r>
      <w:r>
        <w:rPr>
          <w:rFonts w:cs="Calibri"/>
          <w:szCs w:val="22"/>
        </w:rPr>
        <w:t>1</w:t>
      </w:r>
      <w:r>
        <w:rPr>
          <w:rFonts w:cs="Calibri"/>
          <w:szCs w:val="22"/>
          <w:lang w:val="en-US"/>
        </w:rPr>
        <w:t>5</w:t>
      </w:r>
      <w:r w:rsidRPr="007B1448">
        <w:rPr>
          <w:rFonts w:cs="Calibri"/>
          <w:szCs w:val="22"/>
        </w:rPr>
        <w:t>,</w:t>
      </w:r>
      <w:r>
        <w:rPr>
          <w:rFonts w:cs="Calibri"/>
          <w:szCs w:val="22"/>
          <w:lang w:val="en-US"/>
        </w:rPr>
        <w:t>9</w:t>
      </w:r>
      <w:r w:rsidRPr="007B1448">
        <w:rPr>
          <w:rFonts w:cs="Calibri"/>
          <w:szCs w:val="22"/>
        </w:rPr>
        <w:t>% от общия оборот.</w:t>
      </w:r>
    </w:p>
    <w:p w:rsidR="00D633A4" w:rsidRPr="002040C8" w:rsidRDefault="00D633A4" w:rsidP="00D633A4">
      <w:pPr>
        <w:spacing w:line="276" w:lineRule="auto"/>
        <w:rPr>
          <w:rFonts w:cs="Calibri"/>
        </w:rPr>
      </w:pPr>
      <w:r w:rsidRPr="007B1448">
        <w:rPr>
          <w:rFonts w:cs="Calibri"/>
          <w:szCs w:val="22"/>
        </w:rPr>
        <w:t xml:space="preserve">На трето място в класацията </w:t>
      </w:r>
      <w:r w:rsidRPr="007B1448">
        <w:rPr>
          <w:rFonts w:cs="Calibri"/>
          <w:szCs w:val="22"/>
          <w:lang w:val="en-US"/>
        </w:rPr>
        <w:t xml:space="preserve">e </w:t>
      </w:r>
      <w:r w:rsidRPr="007B1448">
        <w:rPr>
          <w:rFonts w:cs="Calibri"/>
          <w:szCs w:val="22"/>
        </w:rPr>
        <w:t>сектор „</w:t>
      </w:r>
      <w:r>
        <w:rPr>
          <w:rFonts w:cs="Calibri"/>
          <w:szCs w:val="22"/>
        </w:rPr>
        <w:t>Търговия; ремонт на автомобили и мотоциклети</w:t>
      </w:r>
      <w:r w:rsidRPr="007B1448">
        <w:rPr>
          <w:rFonts w:cs="Calibri"/>
          <w:szCs w:val="22"/>
        </w:rPr>
        <w:t>“</w:t>
      </w:r>
      <w:r>
        <w:rPr>
          <w:rFonts w:cs="Calibri"/>
          <w:szCs w:val="22"/>
        </w:rPr>
        <w:t xml:space="preserve"> с оборот от 2,4 млн. лв.</w:t>
      </w:r>
      <w:r w:rsidRPr="007B1448">
        <w:rPr>
          <w:rFonts w:cs="Calibri"/>
          <w:szCs w:val="22"/>
        </w:rPr>
        <w:t>, а сектор „Операции с недвижими имоти“, който традиционно е в топ три в класацията по оборот, остана на четвърто място</w:t>
      </w:r>
      <w:r>
        <w:rPr>
          <w:rFonts w:cs="Calibri"/>
          <w:szCs w:val="22"/>
          <w:lang w:val="en-US"/>
        </w:rPr>
        <w:t xml:space="preserve"> </w:t>
      </w:r>
      <w:r>
        <w:rPr>
          <w:rFonts w:cs="Calibri"/>
          <w:szCs w:val="22"/>
        </w:rPr>
        <w:t>с дял от 3,12% от общия оборот</w:t>
      </w:r>
      <w:r w:rsidRPr="007B1448">
        <w:rPr>
          <w:rFonts w:cs="Calibri"/>
          <w:szCs w:val="22"/>
        </w:rPr>
        <w:t>.</w:t>
      </w:r>
    </w:p>
    <w:p w:rsidR="00D633A4" w:rsidRPr="00F55B63" w:rsidRDefault="00D633A4" w:rsidP="00146699">
      <w:pPr>
        <w:spacing w:line="276" w:lineRule="auto"/>
        <w:rPr>
          <w:rFonts w:cs="Calibri"/>
          <w:color w:val="000000"/>
          <w:szCs w:val="22"/>
          <w:highlight w:val="yellow"/>
        </w:rPr>
      </w:pPr>
    </w:p>
    <w:p w:rsidR="00146699" w:rsidRPr="0041344A" w:rsidRDefault="009A3F7B" w:rsidP="009A3F7B">
      <w:pPr>
        <w:tabs>
          <w:tab w:val="left" w:pos="360"/>
        </w:tabs>
        <w:jc w:val="left"/>
        <w:rPr>
          <w:rFonts w:cs="Calibri"/>
          <w:b/>
          <w:sz w:val="20"/>
          <w:szCs w:val="20"/>
        </w:rPr>
      </w:pPr>
      <w:r w:rsidRPr="0041344A">
        <w:rPr>
          <w:rFonts w:cs="Calibri"/>
          <w:b/>
          <w:sz w:val="20"/>
          <w:szCs w:val="20"/>
        </w:rPr>
        <w:t xml:space="preserve">Таблица 5. Структура на търговията </w:t>
      </w:r>
      <w:r w:rsidR="00595F0B" w:rsidRPr="0041344A">
        <w:rPr>
          <w:rFonts w:cs="Calibri"/>
          <w:b/>
          <w:sz w:val="20"/>
          <w:szCs w:val="20"/>
        </w:rPr>
        <w:t>в</w:t>
      </w:r>
      <w:r w:rsidRPr="0041344A">
        <w:rPr>
          <w:rFonts w:cs="Calibri"/>
          <w:b/>
          <w:sz w:val="20"/>
          <w:szCs w:val="20"/>
        </w:rPr>
        <w:t xml:space="preserve"> 10-те </w:t>
      </w:r>
      <w:r w:rsidRPr="005B5E2C">
        <w:rPr>
          <w:rFonts w:cs="Calibri"/>
          <w:b/>
          <w:sz w:val="20"/>
          <w:szCs w:val="20"/>
        </w:rPr>
        <w:t xml:space="preserve">водещи сектора през </w:t>
      </w:r>
      <w:r w:rsidR="005B5E2C" w:rsidRPr="005B5E2C">
        <w:rPr>
          <w:rFonts w:cs="Calibri"/>
          <w:b/>
          <w:sz w:val="20"/>
          <w:szCs w:val="20"/>
        </w:rPr>
        <w:t>отчетното</w:t>
      </w:r>
      <w:r w:rsidR="00021140" w:rsidRPr="005B5E2C">
        <w:rPr>
          <w:rFonts w:cs="Calibri"/>
          <w:b/>
          <w:sz w:val="20"/>
          <w:szCs w:val="20"/>
        </w:rPr>
        <w:t xml:space="preserve"> тримесечие</w:t>
      </w:r>
    </w:p>
    <w:tbl>
      <w:tblPr>
        <w:tblW w:w="10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6604"/>
        <w:gridCol w:w="1083"/>
        <w:gridCol w:w="1185"/>
        <w:gridCol w:w="1216"/>
      </w:tblGrid>
      <w:tr w:rsidR="00A871DB" w:rsidRPr="008F10B5" w:rsidTr="00413000">
        <w:trPr>
          <w:trHeight w:val="170"/>
          <w:jc w:val="center"/>
        </w:trPr>
        <w:tc>
          <w:tcPr>
            <w:tcW w:w="6604" w:type="dxa"/>
            <w:shd w:val="clear" w:color="000000" w:fill="538DD5"/>
            <w:noWrap/>
            <w:tcMar>
              <w:left w:w="28" w:type="dxa"/>
              <w:right w:w="28" w:type="dxa"/>
            </w:tcMar>
            <w:vAlign w:val="center"/>
            <w:hideMark/>
          </w:tcPr>
          <w:p w:rsidR="00A871DB" w:rsidRPr="008F10B5" w:rsidRDefault="00A871DB" w:rsidP="00413000">
            <w:pPr>
              <w:widowControl/>
              <w:jc w:val="left"/>
              <w:rPr>
                <w:color w:val="FFFFFF"/>
                <w:sz w:val="20"/>
                <w:szCs w:val="20"/>
              </w:rPr>
            </w:pPr>
            <w:r w:rsidRPr="008F10B5">
              <w:rPr>
                <w:color w:val="FFFFFF"/>
                <w:sz w:val="20"/>
                <w:szCs w:val="20"/>
              </w:rPr>
              <w:t>Сектор</w:t>
            </w:r>
          </w:p>
        </w:tc>
        <w:tc>
          <w:tcPr>
            <w:tcW w:w="1083" w:type="dxa"/>
            <w:shd w:val="clear" w:color="000000" w:fill="538DD5"/>
            <w:noWrap/>
            <w:tcMar>
              <w:left w:w="28" w:type="dxa"/>
              <w:right w:w="28" w:type="dxa"/>
            </w:tcMar>
            <w:hideMark/>
          </w:tcPr>
          <w:p w:rsidR="00A871DB" w:rsidRPr="008F10B5" w:rsidRDefault="00A871DB" w:rsidP="00413000">
            <w:pPr>
              <w:widowControl/>
              <w:jc w:val="center"/>
              <w:rPr>
                <w:color w:val="FFFFFF"/>
                <w:sz w:val="20"/>
                <w:szCs w:val="20"/>
              </w:rPr>
            </w:pPr>
            <w:r w:rsidRPr="008F10B5">
              <w:rPr>
                <w:color w:val="FFFFFF"/>
                <w:sz w:val="20"/>
                <w:szCs w:val="20"/>
              </w:rPr>
              <w:t>Брой сделки</w:t>
            </w:r>
          </w:p>
        </w:tc>
        <w:tc>
          <w:tcPr>
            <w:tcW w:w="1185" w:type="dxa"/>
            <w:shd w:val="clear" w:color="000000" w:fill="538DD5"/>
            <w:noWrap/>
            <w:tcMar>
              <w:left w:w="28" w:type="dxa"/>
              <w:right w:w="28" w:type="dxa"/>
            </w:tcMar>
            <w:hideMark/>
          </w:tcPr>
          <w:p w:rsidR="00A871DB" w:rsidRPr="008F10B5" w:rsidRDefault="00A871DB" w:rsidP="00413000">
            <w:pPr>
              <w:widowControl/>
              <w:jc w:val="center"/>
              <w:rPr>
                <w:color w:val="FFFFFF"/>
                <w:sz w:val="20"/>
                <w:szCs w:val="20"/>
              </w:rPr>
            </w:pPr>
            <w:r w:rsidRPr="008F10B5">
              <w:rPr>
                <w:color w:val="FFFFFF"/>
                <w:sz w:val="20"/>
                <w:szCs w:val="20"/>
              </w:rPr>
              <w:t>Изтъргувани лотове</w:t>
            </w:r>
          </w:p>
        </w:tc>
        <w:tc>
          <w:tcPr>
            <w:tcW w:w="1216" w:type="dxa"/>
            <w:shd w:val="clear" w:color="000000" w:fill="538DD5"/>
            <w:noWrap/>
            <w:tcMar>
              <w:left w:w="28" w:type="dxa"/>
              <w:right w:w="28" w:type="dxa"/>
            </w:tcMar>
            <w:hideMark/>
          </w:tcPr>
          <w:p w:rsidR="00A871DB" w:rsidRPr="008F10B5" w:rsidRDefault="00A871DB" w:rsidP="00413000">
            <w:pPr>
              <w:widowControl/>
              <w:jc w:val="center"/>
              <w:rPr>
                <w:color w:val="FFFFFF"/>
                <w:sz w:val="20"/>
                <w:szCs w:val="20"/>
              </w:rPr>
            </w:pPr>
            <w:r w:rsidRPr="008F10B5">
              <w:rPr>
                <w:color w:val="FFFFFF"/>
                <w:sz w:val="20"/>
                <w:szCs w:val="20"/>
              </w:rPr>
              <w:t>Оборот (лв)</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Финансови и застрахователни дейности</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13 512</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21 575 599</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53 887 678</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Преработваща промишленост</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3 868</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5 434 096</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12 113 357</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Търговия; ремонт на автомобили и мотоциклети</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713</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1 814 177</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2 447 313</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Операции с недвижими имоти</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248</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1 613 119</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2 365 169</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Професионални дейности и научни изследвания</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773</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2 410 501</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1 259 608</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Транспорт, складиране и пощи</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335</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54 685</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1 237 990</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Производство и разпределение на електрическа и топлинна енергия и на газообразни горива</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232</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14 968</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997 491</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Хотелиерство и ресторантьорство</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360</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89 180</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985 141</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Строителство</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666</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195 658</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576 544</w:t>
            </w:r>
          </w:p>
        </w:tc>
      </w:tr>
      <w:tr w:rsidR="00A871DB" w:rsidRPr="00B85E01" w:rsidTr="00413000">
        <w:trPr>
          <w:trHeight w:val="170"/>
          <w:jc w:val="center"/>
        </w:trPr>
        <w:tc>
          <w:tcPr>
            <w:tcW w:w="6604" w:type="dxa"/>
            <w:shd w:val="clear" w:color="auto" w:fill="auto"/>
            <w:noWrap/>
            <w:tcMar>
              <w:left w:w="28" w:type="dxa"/>
              <w:right w:w="28" w:type="dxa"/>
            </w:tcMar>
            <w:hideMark/>
          </w:tcPr>
          <w:p w:rsidR="00A871DB" w:rsidRPr="005C3D60" w:rsidRDefault="00A871DB" w:rsidP="00413000">
            <w:pPr>
              <w:widowControl/>
              <w:jc w:val="left"/>
              <w:rPr>
                <w:color w:val="000000"/>
                <w:sz w:val="20"/>
                <w:szCs w:val="20"/>
              </w:rPr>
            </w:pPr>
            <w:r w:rsidRPr="005C3D60">
              <w:rPr>
                <w:color w:val="000000"/>
                <w:sz w:val="20"/>
                <w:szCs w:val="20"/>
              </w:rPr>
              <w:t>Създаване и разпространение на информация и творчески продукти; далекосъобщения</w:t>
            </w:r>
          </w:p>
        </w:tc>
        <w:tc>
          <w:tcPr>
            <w:tcW w:w="1083"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31</w:t>
            </w:r>
          </w:p>
        </w:tc>
        <w:tc>
          <w:tcPr>
            <w:tcW w:w="1185"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4 170</w:t>
            </w:r>
          </w:p>
        </w:tc>
        <w:tc>
          <w:tcPr>
            <w:tcW w:w="1216" w:type="dxa"/>
            <w:shd w:val="clear" w:color="auto" w:fill="auto"/>
            <w:noWrap/>
            <w:tcMar>
              <w:left w:w="28" w:type="dxa"/>
              <w:right w:w="28" w:type="dxa"/>
            </w:tcMar>
            <w:vAlign w:val="bottom"/>
            <w:hideMark/>
          </w:tcPr>
          <w:p w:rsidR="00A871DB" w:rsidRPr="005C3D60" w:rsidRDefault="00A871DB" w:rsidP="00413000">
            <w:pPr>
              <w:widowControl/>
              <w:jc w:val="right"/>
              <w:rPr>
                <w:color w:val="000000"/>
                <w:sz w:val="20"/>
                <w:szCs w:val="20"/>
              </w:rPr>
            </w:pPr>
            <w:r w:rsidRPr="005C3D60">
              <w:rPr>
                <w:color w:val="000000"/>
                <w:sz w:val="20"/>
                <w:szCs w:val="20"/>
              </w:rPr>
              <w:t>19 785</w:t>
            </w:r>
          </w:p>
        </w:tc>
      </w:tr>
    </w:tbl>
    <w:p w:rsidR="008B4B9B" w:rsidRPr="00A871DB" w:rsidRDefault="008B4B9B" w:rsidP="009A3F7B">
      <w:pPr>
        <w:tabs>
          <w:tab w:val="left" w:pos="360"/>
        </w:tabs>
        <w:jc w:val="left"/>
        <w:rPr>
          <w:rFonts w:cs="Calibri"/>
          <w:b/>
          <w:sz w:val="20"/>
          <w:szCs w:val="20"/>
        </w:rPr>
      </w:pPr>
    </w:p>
    <w:tbl>
      <w:tblPr>
        <w:tblStyle w:val="TableGrid"/>
        <w:tblW w:w="1044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445"/>
      </w:tblGrid>
      <w:tr w:rsidR="00495C7A" w:rsidRPr="00F55B63" w:rsidTr="00A871DB">
        <w:trPr>
          <w:jc w:val="center"/>
        </w:trPr>
        <w:tc>
          <w:tcPr>
            <w:tcW w:w="10445" w:type="dxa"/>
          </w:tcPr>
          <w:p w:rsidR="00495C7A" w:rsidRPr="00A871DB" w:rsidRDefault="00495C7A" w:rsidP="00207C00">
            <w:pPr>
              <w:tabs>
                <w:tab w:val="left" w:pos="360"/>
              </w:tabs>
              <w:jc w:val="left"/>
              <w:rPr>
                <w:rFonts w:cs="Calibri"/>
                <w:b/>
                <w:sz w:val="20"/>
                <w:szCs w:val="20"/>
              </w:rPr>
            </w:pPr>
            <w:bookmarkStart w:id="14" w:name="_Toc283112102"/>
            <w:r w:rsidRPr="00A871DB">
              <w:rPr>
                <w:rFonts w:cs="Calibri"/>
                <w:b/>
                <w:sz w:val="20"/>
                <w:szCs w:val="20"/>
              </w:rPr>
              <w:t xml:space="preserve">Графика 4: Разпределение на оборота през отчетното </w:t>
            </w:r>
            <w:r w:rsidR="00DC0EEA" w:rsidRPr="00A871DB">
              <w:rPr>
                <w:rFonts w:cs="Calibri"/>
                <w:b/>
                <w:sz w:val="20"/>
                <w:szCs w:val="20"/>
              </w:rPr>
              <w:t>тримесечие</w:t>
            </w:r>
            <w:r w:rsidR="00B122A8" w:rsidRPr="00A871DB">
              <w:rPr>
                <w:rFonts w:cs="Calibri"/>
                <w:b/>
                <w:sz w:val="20"/>
                <w:szCs w:val="20"/>
              </w:rPr>
              <w:t xml:space="preserve"> по сектори</w:t>
            </w:r>
          </w:p>
        </w:tc>
      </w:tr>
      <w:tr w:rsidR="00495C7A" w:rsidRPr="00F55B63" w:rsidTr="00A871DB">
        <w:tblPrEx>
          <w:tblCellMar>
            <w:left w:w="70" w:type="dxa"/>
            <w:right w:w="70" w:type="dxa"/>
          </w:tblCellMar>
        </w:tblPrEx>
        <w:trPr>
          <w:jc w:val="center"/>
        </w:trPr>
        <w:tc>
          <w:tcPr>
            <w:tcW w:w="10445" w:type="dxa"/>
          </w:tcPr>
          <w:p w:rsidR="00495C7A" w:rsidRPr="00F55B63" w:rsidRDefault="00495C7A" w:rsidP="00495C7A">
            <w:pPr>
              <w:tabs>
                <w:tab w:val="left" w:pos="360"/>
              </w:tabs>
              <w:rPr>
                <w:rFonts w:cs="Calibri"/>
                <w:highlight w:val="yellow"/>
              </w:rPr>
            </w:pPr>
          </w:p>
        </w:tc>
      </w:tr>
    </w:tbl>
    <w:p w:rsidR="003116F2" w:rsidRDefault="00A871DB">
      <w:pPr>
        <w:widowControl/>
        <w:jc w:val="left"/>
        <w:rPr>
          <w:rFonts w:cs="Calibri"/>
          <w:b/>
          <w:bCs/>
          <w:kern w:val="32"/>
          <w:sz w:val="24"/>
          <w:szCs w:val="32"/>
          <w:highlight w:val="yellow"/>
        </w:rPr>
      </w:pPr>
      <w:r w:rsidRPr="00A871DB">
        <w:rPr>
          <w:rFonts w:cs="Calibri"/>
          <w:b/>
          <w:bCs/>
          <w:noProof/>
          <w:kern w:val="32"/>
          <w:sz w:val="24"/>
          <w:szCs w:val="32"/>
        </w:rPr>
        <w:drawing>
          <wp:inline distT="0" distB="0" distL="0" distR="0">
            <wp:extent cx="5979380" cy="2846567"/>
            <wp:effectExtent l="0" t="0" r="0" b="0"/>
            <wp:docPr id="17" name="Chart 6">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495C7A" w:rsidRPr="00F55B63" w:rsidRDefault="00495C7A">
      <w:pPr>
        <w:widowControl/>
        <w:jc w:val="left"/>
        <w:rPr>
          <w:rFonts w:cs="Calibri"/>
          <w:b/>
          <w:bCs/>
          <w:kern w:val="32"/>
          <w:sz w:val="24"/>
          <w:szCs w:val="32"/>
          <w:highlight w:val="yellow"/>
        </w:rPr>
      </w:pPr>
      <w:r w:rsidRPr="00F55B63">
        <w:rPr>
          <w:rFonts w:cs="Calibri"/>
          <w:b/>
          <w:bCs/>
          <w:kern w:val="32"/>
          <w:sz w:val="24"/>
          <w:szCs w:val="32"/>
          <w:highlight w:val="yellow"/>
        </w:rPr>
        <w:br w:type="page"/>
      </w:r>
    </w:p>
    <w:p w:rsidR="004B006C" w:rsidRPr="000C6815" w:rsidRDefault="00241ABE" w:rsidP="00DB3B9A">
      <w:pPr>
        <w:pStyle w:val="Mainnumbers"/>
        <w:rPr>
          <w:rFonts w:cs="Calibri"/>
        </w:rPr>
      </w:pPr>
      <w:bookmarkStart w:id="15" w:name="_Toc42271145"/>
      <w:r w:rsidRPr="000C6815">
        <w:rPr>
          <w:rFonts w:cs="Calibri"/>
        </w:rPr>
        <w:lastRenderedPageBreak/>
        <w:t>Регистрирани е</w:t>
      </w:r>
      <w:r w:rsidR="00266E75" w:rsidRPr="000C6815">
        <w:rPr>
          <w:rFonts w:cs="Calibri"/>
        </w:rPr>
        <w:t xml:space="preserve">мисии </w:t>
      </w:r>
      <w:r w:rsidR="00D06C89" w:rsidRPr="000C6815">
        <w:rPr>
          <w:rFonts w:cs="Calibri"/>
        </w:rPr>
        <w:t>финансови инструменти</w:t>
      </w:r>
      <w:r w:rsidRPr="000C6815">
        <w:rPr>
          <w:rFonts w:cs="Calibri"/>
        </w:rPr>
        <w:t xml:space="preserve"> на </w:t>
      </w:r>
      <w:r w:rsidR="00165C3F" w:rsidRPr="000C6815">
        <w:rPr>
          <w:rFonts w:cs="Calibri"/>
        </w:rPr>
        <w:t>Българска фондова борса</w:t>
      </w:r>
      <w:bookmarkEnd w:id="14"/>
      <w:bookmarkEnd w:id="15"/>
    </w:p>
    <w:p w:rsidR="00413000" w:rsidRPr="00F21AD1" w:rsidRDefault="00413000" w:rsidP="00413000">
      <w:pPr>
        <w:spacing w:line="276" w:lineRule="auto"/>
        <w:rPr>
          <w:rFonts w:cs="Calibri"/>
        </w:rPr>
      </w:pPr>
      <w:r w:rsidRPr="000C6815">
        <w:rPr>
          <w:rFonts w:cs="Calibri"/>
        </w:rPr>
        <w:t>Както се вижда от следващата таблица, броят на емисиите финансови инструменти, допуснати до търговия на пазарите на БФБ към 31 декември 201</w:t>
      </w:r>
      <w:r w:rsidRPr="000C6815">
        <w:rPr>
          <w:rFonts w:cs="Calibri"/>
          <w:lang w:val="en-US"/>
        </w:rPr>
        <w:t>9</w:t>
      </w:r>
      <w:r w:rsidRPr="000C6815">
        <w:rPr>
          <w:rFonts w:cs="Calibri"/>
        </w:rPr>
        <w:t xml:space="preserve"> г. беше </w:t>
      </w:r>
      <w:r w:rsidRPr="000C6815">
        <w:rPr>
          <w:rFonts w:cs="Calibri"/>
          <w:lang w:val="en-US"/>
        </w:rPr>
        <w:t>370</w:t>
      </w:r>
      <w:r w:rsidRPr="000C6815">
        <w:rPr>
          <w:rFonts w:cs="Calibri"/>
        </w:rPr>
        <w:t xml:space="preserve"> и се измени до 37</w:t>
      </w:r>
      <w:r w:rsidRPr="000C6815">
        <w:rPr>
          <w:rFonts w:cs="Calibri"/>
          <w:lang w:val="en-US"/>
        </w:rPr>
        <w:t>1</w:t>
      </w:r>
      <w:r w:rsidRPr="000C6815">
        <w:rPr>
          <w:rFonts w:cs="Calibri"/>
        </w:rPr>
        <w:t xml:space="preserve"> в края на </w:t>
      </w:r>
      <w:r w:rsidR="00DE61C6">
        <w:rPr>
          <w:rFonts w:cs="Calibri"/>
        </w:rPr>
        <w:t xml:space="preserve">отчетното </w:t>
      </w:r>
      <w:r w:rsidRPr="000C6815">
        <w:rPr>
          <w:rFonts w:cs="Calibri"/>
        </w:rPr>
        <w:t xml:space="preserve">тримесечие. Промяната в броя инструменти е подробно описана в точка </w:t>
      </w:r>
      <w:r w:rsidR="003D57A5" w:rsidRPr="000C6815">
        <w:fldChar w:fldCharType="begin"/>
      </w:r>
      <w:r w:rsidRPr="000C6815">
        <w:instrText xml:space="preserve"> REF _Ref457297363 \r \h  \* MERGEFORMAT </w:instrText>
      </w:r>
      <w:r w:rsidR="003D57A5" w:rsidRPr="000C6815">
        <w:fldChar w:fldCharType="separate"/>
      </w:r>
      <w:r w:rsidRPr="000C6815">
        <w:t>4</w:t>
      </w:r>
      <w:r w:rsidR="003D57A5" w:rsidRPr="000C6815">
        <w:fldChar w:fldCharType="end"/>
      </w:r>
      <w:r w:rsidRPr="000C6815">
        <w:rPr>
          <w:rFonts w:cs="Calibri"/>
        </w:rPr>
        <w:t xml:space="preserve"> от настоящия доклад.</w:t>
      </w:r>
    </w:p>
    <w:p w:rsidR="00413000" w:rsidRPr="000C6815" w:rsidRDefault="00413000" w:rsidP="009A3F7B">
      <w:pPr>
        <w:tabs>
          <w:tab w:val="left" w:pos="360"/>
        </w:tabs>
        <w:rPr>
          <w:rFonts w:cs="Calibri"/>
          <w:b/>
          <w:sz w:val="20"/>
          <w:szCs w:val="20"/>
        </w:rPr>
      </w:pPr>
    </w:p>
    <w:p w:rsidR="00146699" w:rsidRPr="000C6815" w:rsidRDefault="009A3F7B" w:rsidP="009A3F7B">
      <w:pPr>
        <w:tabs>
          <w:tab w:val="left" w:pos="360"/>
        </w:tabs>
        <w:rPr>
          <w:rFonts w:cs="Calibri"/>
          <w:b/>
          <w:sz w:val="20"/>
          <w:szCs w:val="20"/>
        </w:rPr>
      </w:pPr>
      <w:r w:rsidRPr="000C6815">
        <w:rPr>
          <w:rFonts w:cs="Calibri"/>
          <w:b/>
          <w:sz w:val="20"/>
          <w:szCs w:val="20"/>
        </w:rPr>
        <w:t>Таблица 6: Регистрирани емисии по сегменти</w:t>
      </w:r>
    </w:p>
    <w:tbl>
      <w:tblPr>
        <w:tblW w:w="8830" w:type="dxa"/>
        <w:jc w:val="center"/>
        <w:tblCellMar>
          <w:left w:w="70" w:type="dxa"/>
          <w:right w:w="70" w:type="dxa"/>
        </w:tblCellMar>
        <w:tblLook w:val="04A0"/>
      </w:tblPr>
      <w:tblGrid>
        <w:gridCol w:w="5350"/>
        <w:gridCol w:w="1160"/>
        <w:gridCol w:w="1160"/>
        <w:gridCol w:w="1160"/>
      </w:tblGrid>
      <w:tr w:rsidR="00146699" w:rsidRPr="000C6815" w:rsidTr="00146699">
        <w:trPr>
          <w:trHeight w:val="170"/>
          <w:jc w:val="center"/>
        </w:trPr>
        <w:tc>
          <w:tcPr>
            <w:tcW w:w="5350" w:type="dxa"/>
            <w:tcBorders>
              <w:top w:val="single" w:sz="4" w:space="0" w:color="auto"/>
              <w:left w:val="single" w:sz="4" w:space="0" w:color="auto"/>
              <w:bottom w:val="single" w:sz="4" w:space="0" w:color="auto"/>
              <w:right w:val="single" w:sz="4" w:space="0" w:color="auto"/>
            </w:tcBorders>
            <w:shd w:val="clear" w:color="000000" w:fill="538DD5"/>
            <w:noWrap/>
            <w:tcMar>
              <w:left w:w="28" w:type="dxa"/>
              <w:right w:w="28" w:type="dxa"/>
            </w:tcMar>
            <w:vAlign w:val="center"/>
            <w:hideMark/>
          </w:tcPr>
          <w:p w:rsidR="00146699" w:rsidRPr="000C6815" w:rsidRDefault="00146699" w:rsidP="00146699">
            <w:pPr>
              <w:widowControl/>
              <w:jc w:val="left"/>
              <w:rPr>
                <w:color w:val="FFFFFF"/>
                <w:szCs w:val="22"/>
              </w:rPr>
            </w:pPr>
            <w:r w:rsidRPr="000C6815">
              <w:rPr>
                <w:color w:val="FFFFFF"/>
                <w:szCs w:val="22"/>
              </w:rPr>
              <w:t xml:space="preserve">Пазарен сегмент \ Регистрирани емисии </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146699" w:rsidRPr="000C6815" w:rsidRDefault="00146699" w:rsidP="000C6815">
            <w:pPr>
              <w:widowControl/>
              <w:jc w:val="center"/>
              <w:rPr>
                <w:color w:val="FFFFFF"/>
                <w:szCs w:val="22"/>
              </w:rPr>
            </w:pPr>
            <w:r w:rsidRPr="000C6815">
              <w:rPr>
                <w:color w:val="FFFFFF"/>
                <w:szCs w:val="22"/>
              </w:rPr>
              <w:t>31.12.201</w:t>
            </w:r>
            <w:r w:rsidR="000C6815">
              <w:rPr>
                <w:color w:val="FFFFFF"/>
                <w:szCs w:val="22"/>
              </w:rPr>
              <w:t>9</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146699" w:rsidRPr="000C6815" w:rsidRDefault="00146699" w:rsidP="000C6815">
            <w:pPr>
              <w:widowControl/>
              <w:jc w:val="center"/>
              <w:rPr>
                <w:color w:val="FFFFFF"/>
                <w:szCs w:val="22"/>
              </w:rPr>
            </w:pPr>
            <w:r w:rsidRPr="000C6815">
              <w:rPr>
                <w:color w:val="FFFFFF"/>
                <w:szCs w:val="22"/>
              </w:rPr>
              <w:t>31.3.20</w:t>
            </w:r>
            <w:r w:rsidR="000C6815">
              <w:rPr>
                <w:color w:val="FFFFFF"/>
                <w:szCs w:val="22"/>
              </w:rPr>
              <w:t>20</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146699" w:rsidRPr="000C6815" w:rsidRDefault="00146699" w:rsidP="00146699">
            <w:pPr>
              <w:widowControl/>
              <w:jc w:val="center"/>
              <w:rPr>
                <w:color w:val="FFFFFF"/>
                <w:szCs w:val="22"/>
              </w:rPr>
            </w:pPr>
            <w:r w:rsidRPr="000C6815">
              <w:rPr>
                <w:color w:val="FFFFFF"/>
                <w:szCs w:val="22"/>
              </w:rPr>
              <w:t>промяна</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акции Premium,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7</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7</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акции Standard,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59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59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борсово търгувани продукти,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14</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1</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АДСИЦ,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ДЦК,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17</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16</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-1</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компенсаторни инструменти,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облигации,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69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70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1</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първично публично предлагане,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права,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2</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1</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акции, пазар BаSE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143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142</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-1</w:t>
            </w:r>
          </w:p>
        </w:tc>
      </w:tr>
      <w:tr w:rsidR="000C6815" w:rsidRPr="000C6815"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color w:val="000000"/>
                <w:szCs w:val="22"/>
              </w:rPr>
            </w:pPr>
            <w:r w:rsidRPr="000C6815">
              <w:rPr>
                <w:color w:val="000000"/>
                <w:szCs w:val="22"/>
              </w:rPr>
              <w:t>Сегмент за АДСИЦ, пазар BаSE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43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0C6815" w:rsidRPr="00F21AD1" w:rsidRDefault="000C6815" w:rsidP="00F3551F">
            <w:pPr>
              <w:widowControl/>
              <w:jc w:val="right"/>
              <w:rPr>
                <w:color w:val="000000"/>
                <w:szCs w:val="22"/>
              </w:rPr>
            </w:pPr>
            <w:r>
              <w:rPr>
                <w:color w:val="000000"/>
                <w:szCs w:val="22"/>
              </w:rPr>
              <w:t>43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color w:val="000000"/>
                <w:szCs w:val="22"/>
              </w:rPr>
            </w:pPr>
            <w:r>
              <w:rPr>
                <w:color w:val="000000"/>
                <w:szCs w:val="22"/>
              </w:rPr>
              <w:t>0</w:t>
            </w:r>
          </w:p>
        </w:tc>
      </w:tr>
      <w:tr w:rsidR="000C6815" w:rsidRPr="00F55B63" w:rsidTr="00146699">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0C6815" w:rsidRPr="000C6815" w:rsidRDefault="000C6815" w:rsidP="00146699">
            <w:pPr>
              <w:widowControl/>
              <w:jc w:val="left"/>
              <w:rPr>
                <w:b/>
                <w:bCs/>
                <w:color w:val="000000"/>
                <w:szCs w:val="22"/>
              </w:rPr>
            </w:pPr>
            <w:r w:rsidRPr="000C6815">
              <w:rPr>
                <w:b/>
                <w:bCs/>
                <w:color w:val="000000"/>
                <w:szCs w:val="22"/>
              </w:rPr>
              <w:t>Общо</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b/>
                <w:bCs/>
                <w:color w:val="000000"/>
                <w:szCs w:val="22"/>
              </w:rPr>
            </w:pPr>
            <w:r>
              <w:rPr>
                <w:b/>
                <w:bCs/>
                <w:color w:val="000000"/>
                <w:szCs w:val="22"/>
              </w:rPr>
              <w:t>370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b/>
                <w:bCs/>
                <w:color w:val="000000"/>
                <w:szCs w:val="22"/>
              </w:rPr>
            </w:pPr>
            <w:r>
              <w:rPr>
                <w:b/>
                <w:bCs/>
                <w:color w:val="000000"/>
                <w:szCs w:val="22"/>
              </w:rPr>
              <w:t>371</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0C6815" w:rsidRPr="00F21AD1" w:rsidRDefault="000C6815" w:rsidP="00F3551F">
            <w:pPr>
              <w:widowControl/>
              <w:jc w:val="right"/>
              <w:rPr>
                <w:b/>
                <w:bCs/>
                <w:color w:val="000000"/>
                <w:szCs w:val="22"/>
              </w:rPr>
            </w:pPr>
            <w:r>
              <w:rPr>
                <w:b/>
                <w:bCs/>
                <w:color w:val="000000"/>
                <w:szCs w:val="22"/>
              </w:rPr>
              <w:t>1</w:t>
            </w:r>
          </w:p>
        </w:tc>
      </w:tr>
    </w:tbl>
    <w:p w:rsidR="006854A3" w:rsidRPr="00F55B63" w:rsidRDefault="006854A3" w:rsidP="009A3F7B">
      <w:pPr>
        <w:tabs>
          <w:tab w:val="left" w:pos="360"/>
        </w:tabs>
        <w:rPr>
          <w:rFonts w:cs="Calibri"/>
          <w:b/>
          <w:sz w:val="20"/>
          <w:szCs w:val="20"/>
          <w:highlight w:val="yellow"/>
        </w:rPr>
      </w:pPr>
    </w:p>
    <w:tbl>
      <w:tblPr>
        <w:tblStyle w:val="TableGrid"/>
        <w:tblW w:w="97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747"/>
      </w:tblGrid>
      <w:tr w:rsidR="00B62E5A" w:rsidRPr="00F55B63" w:rsidTr="00B62E5A">
        <w:trPr>
          <w:jc w:val="center"/>
        </w:trPr>
        <w:tc>
          <w:tcPr>
            <w:tcW w:w="9747" w:type="dxa"/>
          </w:tcPr>
          <w:p w:rsidR="00B62E5A" w:rsidRPr="00F55B63" w:rsidRDefault="00B62E5A" w:rsidP="00207C00">
            <w:pPr>
              <w:tabs>
                <w:tab w:val="left" w:pos="360"/>
              </w:tabs>
              <w:rPr>
                <w:rFonts w:cs="Calibri"/>
                <w:sz w:val="20"/>
                <w:szCs w:val="20"/>
                <w:highlight w:val="yellow"/>
              </w:rPr>
            </w:pPr>
            <w:r w:rsidRPr="000C6815">
              <w:rPr>
                <w:rFonts w:cs="Calibri"/>
                <w:b/>
                <w:sz w:val="20"/>
                <w:szCs w:val="20"/>
              </w:rPr>
              <w:t xml:space="preserve">Графика 5: Регистрирани емисии по сегменти за отчетното </w:t>
            </w:r>
            <w:r w:rsidR="00207C00" w:rsidRPr="000C6815">
              <w:rPr>
                <w:rFonts w:cs="Calibri"/>
                <w:b/>
                <w:sz w:val="20"/>
                <w:szCs w:val="20"/>
              </w:rPr>
              <w:t>три</w:t>
            </w:r>
            <w:r w:rsidRPr="000C6815">
              <w:rPr>
                <w:rFonts w:cs="Calibri"/>
                <w:b/>
                <w:sz w:val="20"/>
                <w:szCs w:val="20"/>
              </w:rPr>
              <w:t>месечие и сравнение</w:t>
            </w:r>
          </w:p>
        </w:tc>
      </w:tr>
      <w:tr w:rsidR="00B62E5A" w:rsidRPr="00F55B63" w:rsidTr="008B4B9B">
        <w:tblPrEx>
          <w:tblCellMar>
            <w:left w:w="70" w:type="dxa"/>
            <w:right w:w="70" w:type="dxa"/>
          </w:tblCellMar>
        </w:tblPrEx>
        <w:trPr>
          <w:jc w:val="center"/>
        </w:trPr>
        <w:tc>
          <w:tcPr>
            <w:tcW w:w="9747" w:type="dxa"/>
          </w:tcPr>
          <w:p w:rsidR="00B62E5A" w:rsidRPr="00F55B63" w:rsidRDefault="000C6815" w:rsidP="009A3F7B">
            <w:pPr>
              <w:tabs>
                <w:tab w:val="left" w:pos="360"/>
              </w:tabs>
              <w:rPr>
                <w:rFonts w:cs="Calibri"/>
                <w:sz w:val="20"/>
                <w:szCs w:val="20"/>
                <w:highlight w:val="yellow"/>
              </w:rPr>
            </w:pPr>
            <w:r w:rsidRPr="000C6815">
              <w:rPr>
                <w:rFonts w:cs="Calibri"/>
                <w:noProof/>
                <w:sz w:val="20"/>
                <w:szCs w:val="20"/>
              </w:rPr>
              <w:drawing>
                <wp:inline distT="0" distB="0" distL="0" distR="0">
                  <wp:extent cx="5972810" cy="4041140"/>
                  <wp:effectExtent l="0" t="0" r="0" b="0"/>
                  <wp:docPr id="18" name="Chart 7">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495C7A" w:rsidRPr="00F55B63" w:rsidRDefault="00495C7A">
      <w:pPr>
        <w:widowControl/>
        <w:jc w:val="left"/>
        <w:rPr>
          <w:rFonts w:cs="Calibri"/>
          <w:sz w:val="20"/>
          <w:szCs w:val="20"/>
          <w:highlight w:val="yellow"/>
        </w:rPr>
      </w:pPr>
      <w:r w:rsidRPr="00F55B63">
        <w:rPr>
          <w:rFonts w:cs="Calibri"/>
          <w:sz w:val="20"/>
          <w:szCs w:val="20"/>
          <w:highlight w:val="yellow"/>
        </w:rPr>
        <w:br w:type="page"/>
      </w:r>
    </w:p>
    <w:p w:rsidR="00A22320" w:rsidRPr="000C6815" w:rsidRDefault="00A22320" w:rsidP="00DC0EEA">
      <w:pPr>
        <w:pStyle w:val="Mainnumbers"/>
      </w:pPr>
      <w:bookmarkStart w:id="16" w:name="_Toc283112103"/>
      <w:bookmarkStart w:id="17" w:name="_Ref467750086"/>
      <w:bookmarkStart w:id="18" w:name="_Toc42271146"/>
      <w:r w:rsidRPr="000C6815">
        <w:lastRenderedPageBreak/>
        <w:t>Нови емитенти, отписани емисии и увеличения на капита</w:t>
      </w:r>
      <w:bookmarkEnd w:id="16"/>
      <w:r w:rsidR="001E6C9F" w:rsidRPr="000C6815">
        <w:t>л</w:t>
      </w:r>
      <w:bookmarkEnd w:id="17"/>
      <w:bookmarkEnd w:id="18"/>
    </w:p>
    <w:p w:rsidR="000C6815" w:rsidRPr="000C6815" w:rsidRDefault="000C6815" w:rsidP="000C6815">
      <w:pPr>
        <w:pStyle w:val="NoSpacing"/>
        <w:spacing w:line="276" w:lineRule="auto"/>
        <w:rPr>
          <w:rFonts w:ascii="Calibri" w:hAnsi="Calibri" w:cs="Calibri"/>
        </w:rPr>
      </w:pPr>
      <w:bookmarkStart w:id="19" w:name="_Toc142469786"/>
      <w:bookmarkStart w:id="20" w:name="_Toc283112104"/>
      <w:bookmarkEnd w:id="11"/>
      <w:bookmarkEnd w:id="12"/>
      <w:r w:rsidRPr="000C6815">
        <w:rPr>
          <w:rFonts w:ascii="Calibri" w:hAnsi="Calibri" w:cs="Calibri"/>
        </w:rPr>
        <w:t xml:space="preserve">През първото тримесечие на 2020 година, броят на новите емисии финансови инструменти, допуснати до търговия е 10, докато през през четвъртото тримесечие на 2019 г.  той бе 5. Новите емисии са  - пет емисии права, три облигационни емисии, една емисия  държавни ценни книжа и една емисия борсово търгувани продукти. </w:t>
      </w:r>
    </w:p>
    <w:p w:rsidR="000C6815" w:rsidRPr="000C6815" w:rsidRDefault="000C6815" w:rsidP="000C6815">
      <w:pPr>
        <w:pStyle w:val="NoSpacing"/>
        <w:spacing w:line="276" w:lineRule="auto"/>
        <w:rPr>
          <w:rFonts w:ascii="Calibri" w:hAnsi="Calibri" w:cs="Calibri"/>
        </w:rPr>
      </w:pPr>
      <w:r w:rsidRPr="000C6815">
        <w:rPr>
          <w:rFonts w:ascii="Calibri" w:hAnsi="Calibri" w:cs="Calibri"/>
        </w:rPr>
        <w:t>Прекратена бе регистрацията на девет емисии, от които - четири емисии права, две емисии ДЦК, две облигационни емисии и една емисия акции. За сравнение през предходното тримесечие бе прекратена регистрацията на 16 емисии финансови инструменти.</w:t>
      </w:r>
    </w:p>
    <w:p w:rsidR="000C6815" w:rsidRPr="00324AE6" w:rsidRDefault="000C6815" w:rsidP="000C6815">
      <w:pPr>
        <w:pStyle w:val="NoSpacing"/>
        <w:spacing w:line="276" w:lineRule="auto"/>
        <w:rPr>
          <w:rFonts w:ascii="Calibri" w:hAnsi="Calibri" w:cs="Calibri"/>
        </w:rPr>
      </w:pPr>
      <w:r w:rsidRPr="000C6815">
        <w:rPr>
          <w:rFonts w:ascii="Calibri" w:hAnsi="Calibri" w:cs="Calibri"/>
        </w:rPr>
        <w:t>През отчетното тримесечие</w:t>
      </w:r>
      <w:r w:rsidRPr="000C6815">
        <w:rPr>
          <w:rFonts w:ascii="Calibri" w:hAnsi="Calibri" w:cs="Calibri"/>
          <w:lang w:val="en-US"/>
        </w:rPr>
        <w:t xml:space="preserve"> </w:t>
      </w:r>
      <w:r w:rsidRPr="000C6815">
        <w:rPr>
          <w:rFonts w:ascii="Calibri" w:hAnsi="Calibri" w:cs="Calibri"/>
        </w:rPr>
        <w:t>две</w:t>
      </w:r>
      <w:r w:rsidRPr="000C6815">
        <w:rPr>
          <w:rFonts w:ascii="Calibri" w:hAnsi="Calibri" w:cs="Calibri"/>
          <w:lang w:val="en-US"/>
        </w:rPr>
        <w:t xml:space="preserve"> </w:t>
      </w:r>
      <w:r w:rsidRPr="000C6815">
        <w:rPr>
          <w:rFonts w:ascii="Calibri" w:hAnsi="Calibri" w:cs="Calibri"/>
        </w:rPr>
        <w:t>дружества увеличиха капитала си, а през предходното</w:t>
      </w:r>
      <w:r w:rsidRPr="000C6815">
        <w:rPr>
          <w:rFonts w:ascii="Calibri" w:hAnsi="Calibri" w:cs="Calibri"/>
          <w:lang w:val="en-US"/>
        </w:rPr>
        <w:t xml:space="preserve"> </w:t>
      </w:r>
      <w:r w:rsidRPr="000C6815">
        <w:rPr>
          <w:rFonts w:ascii="Calibri" w:hAnsi="Calibri" w:cs="Calibri"/>
        </w:rPr>
        <w:t>- седем.</w:t>
      </w:r>
    </w:p>
    <w:p w:rsidR="000C6815" w:rsidRPr="00864A74" w:rsidRDefault="000C6815" w:rsidP="00146699">
      <w:pPr>
        <w:spacing w:line="276" w:lineRule="auto"/>
        <w:rPr>
          <w:rFonts w:cs="Calibri"/>
        </w:rPr>
      </w:pPr>
    </w:p>
    <w:p w:rsidR="00146699" w:rsidRPr="00864A74" w:rsidRDefault="00FB3755" w:rsidP="00FB3755">
      <w:pPr>
        <w:tabs>
          <w:tab w:val="left" w:pos="360"/>
        </w:tabs>
        <w:rPr>
          <w:rFonts w:cs="Calibri"/>
          <w:b/>
          <w:sz w:val="20"/>
          <w:szCs w:val="20"/>
        </w:rPr>
      </w:pPr>
      <w:r w:rsidRPr="00864A74">
        <w:rPr>
          <w:rFonts w:cs="Calibri"/>
          <w:b/>
          <w:sz w:val="20"/>
          <w:szCs w:val="20"/>
        </w:rPr>
        <w:t xml:space="preserve">Таблица 7а. Нови емитенти през отчетното </w:t>
      </w:r>
      <w:r w:rsidR="00DC0EEA" w:rsidRPr="00864A74">
        <w:rPr>
          <w:rFonts w:cs="Calibri"/>
          <w:b/>
          <w:sz w:val="20"/>
          <w:szCs w:val="20"/>
        </w:rPr>
        <w:t>тримесечие</w:t>
      </w:r>
      <w:r w:rsidR="00225E45" w:rsidRPr="00864A74">
        <w:rPr>
          <w:rFonts w:cs="Calibri"/>
          <w:b/>
          <w:sz w:val="20"/>
          <w:szCs w:val="20"/>
        </w:rPr>
        <w:t>:</w:t>
      </w:r>
    </w:p>
    <w:tbl>
      <w:tblPr>
        <w:tblW w:w="7224" w:type="dxa"/>
        <w:jc w:val="center"/>
        <w:tblCellMar>
          <w:left w:w="70" w:type="dxa"/>
          <w:right w:w="70" w:type="dxa"/>
        </w:tblCellMar>
        <w:tblLook w:val="04A0"/>
      </w:tblPr>
      <w:tblGrid>
        <w:gridCol w:w="4660"/>
        <w:gridCol w:w="1289"/>
        <w:gridCol w:w="1275"/>
      </w:tblGrid>
      <w:tr w:rsidR="00146699" w:rsidRPr="00864A74" w:rsidTr="00146699">
        <w:trPr>
          <w:trHeight w:val="255"/>
          <w:jc w:val="center"/>
        </w:trPr>
        <w:tc>
          <w:tcPr>
            <w:tcW w:w="466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146699" w:rsidRPr="00864A74" w:rsidRDefault="00146699" w:rsidP="00146699">
            <w:pPr>
              <w:widowControl/>
              <w:jc w:val="center"/>
              <w:rPr>
                <w:rFonts w:cs="Calibri"/>
                <w:color w:val="FFFFFF"/>
                <w:szCs w:val="22"/>
              </w:rPr>
            </w:pPr>
            <w:r w:rsidRPr="00864A74">
              <w:rPr>
                <w:rFonts w:cs="Calibri"/>
                <w:color w:val="FFFFFF"/>
                <w:szCs w:val="22"/>
              </w:rPr>
              <w:t>Нови емисии по сегмент</w:t>
            </w:r>
          </w:p>
        </w:tc>
        <w:tc>
          <w:tcPr>
            <w:tcW w:w="1289"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864A74" w:rsidRDefault="00146699" w:rsidP="00146699">
            <w:pPr>
              <w:widowControl/>
              <w:jc w:val="center"/>
              <w:rPr>
                <w:rFonts w:cs="Calibri"/>
                <w:color w:val="FFFFFF"/>
                <w:szCs w:val="22"/>
              </w:rPr>
            </w:pPr>
            <w:r w:rsidRPr="00864A74">
              <w:rPr>
                <w:rFonts w:cs="Calibri"/>
                <w:color w:val="FFFFFF"/>
                <w:szCs w:val="22"/>
              </w:rPr>
              <w:t>Пазар</w:t>
            </w:r>
          </w:p>
        </w:tc>
        <w:tc>
          <w:tcPr>
            <w:tcW w:w="1275"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864A74" w:rsidRDefault="00146699" w:rsidP="00146699">
            <w:pPr>
              <w:widowControl/>
              <w:jc w:val="center"/>
              <w:rPr>
                <w:rFonts w:cs="Calibri"/>
                <w:color w:val="FFFFFF"/>
                <w:szCs w:val="22"/>
              </w:rPr>
            </w:pPr>
            <w:r w:rsidRPr="00864A74">
              <w:rPr>
                <w:rFonts w:cs="Calibri"/>
                <w:color w:val="FFFFFF"/>
                <w:szCs w:val="22"/>
              </w:rPr>
              <w:t>Емисии</w:t>
            </w:r>
          </w:p>
        </w:tc>
      </w:tr>
      <w:tr w:rsidR="00864A74" w:rsidRPr="00864A74" w:rsidTr="00146699">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Сегмент за права</w:t>
            </w:r>
          </w:p>
        </w:tc>
        <w:tc>
          <w:tcPr>
            <w:tcW w:w="1289" w:type="dxa"/>
            <w:tcBorders>
              <w:top w:val="nil"/>
              <w:left w:val="nil"/>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864A74" w:rsidRPr="00864A74" w:rsidRDefault="00864A74" w:rsidP="00F3551F">
            <w:pPr>
              <w:widowControl/>
              <w:jc w:val="right"/>
              <w:rPr>
                <w:rFonts w:cs="Calibri"/>
                <w:szCs w:val="22"/>
              </w:rPr>
            </w:pPr>
            <w:r w:rsidRPr="00864A74">
              <w:rPr>
                <w:rFonts w:cs="Calibri"/>
                <w:szCs w:val="22"/>
              </w:rPr>
              <w:t>5</w:t>
            </w:r>
          </w:p>
        </w:tc>
      </w:tr>
      <w:tr w:rsidR="00864A74" w:rsidRPr="00864A74" w:rsidTr="00146699">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Сегмент за облигации</w:t>
            </w:r>
          </w:p>
        </w:tc>
        <w:tc>
          <w:tcPr>
            <w:tcW w:w="1289" w:type="dxa"/>
            <w:tcBorders>
              <w:top w:val="nil"/>
              <w:left w:val="nil"/>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864A74" w:rsidRPr="00864A74" w:rsidRDefault="00864A74" w:rsidP="00F3551F">
            <w:pPr>
              <w:widowControl/>
              <w:jc w:val="right"/>
              <w:rPr>
                <w:rFonts w:cs="Calibri"/>
                <w:szCs w:val="22"/>
              </w:rPr>
            </w:pPr>
            <w:r w:rsidRPr="00864A74">
              <w:rPr>
                <w:rFonts w:cs="Calibri"/>
                <w:szCs w:val="22"/>
              </w:rPr>
              <w:t>3</w:t>
            </w:r>
          </w:p>
        </w:tc>
      </w:tr>
      <w:tr w:rsidR="00864A74" w:rsidRPr="00F55B63" w:rsidTr="00F3551F">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Сегмент за държавни ценни книжа</w:t>
            </w:r>
          </w:p>
        </w:tc>
        <w:tc>
          <w:tcPr>
            <w:tcW w:w="1289" w:type="dxa"/>
            <w:tcBorders>
              <w:top w:val="nil"/>
              <w:left w:val="nil"/>
              <w:bottom w:val="single" w:sz="4" w:space="0" w:color="auto"/>
              <w:right w:val="single" w:sz="4" w:space="0" w:color="auto"/>
            </w:tcBorders>
            <w:shd w:val="clear" w:color="auto" w:fill="auto"/>
            <w:noWrap/>
            <w:vAlign w:val="center"/>
            <w:hideMark/>
          </w:tcPr>
          <w:p w:rsidR="00864A74" w:rsidRPr="00864A74" w:rsidRDefault="00864A74" w:rsidP="00F3551F">
            <w:pPr>
              <w:widowControl/>
              <w:jc w:val="left"/>
              <w:rPr>
                <w:rFonts w:cs="Calibri"/>
                <w:szCs w:val="22"/>
              </w:rPr>
            </w:pPr>
            <w:r w:rsidRPr="00864A74">
              <w:rPr>
                <w:rFonts w:cs="Calibri"/>
                <w:szCs w:val="22"/>
              </w:rPr>
              <w:t>BSE</w:t>
            </w:r>
          </w:p>
        </w:tc>
        <w:tc>
          <w:tcPr>
            <w:tcW w:w="1275" w:type="dxa"/>
            <w:tcBorders>
              <w:top w:val="nil"/>
              <w:left w:val="nil"/>
              <w:bottom w:val="single" w:sz="4" w:space="0" w:color="auto"/>
              <w:right w:val="single" w:sz="4" w:space="0" w:color="auto"/>
            </w:tcBorders>
            <w:shd w:val="clear" w:color="auto" w:fill="auto"/>
            <w:noWrap/>
            <w:vAlign w:val="bottom"/>
            <w:hideMark/>
          </w:tcPr>
          <w:p w:rsidR="00864A74" w:rsidRPr="00774CC5" w:rsidRDefault="00864A74" w:rsidP="00F3551F">
            <w:pPr>
              <w:widowControl/>
              <w:jc w:val="right"/>
              <w:rPr>
                <w:rFonts w:cs="Calibri"/>
                <w:szCs w:val="22"/>
              </w:rPr>
            </w:pPr>
            <w:r w:rsidRPr="00864A74">
              <w:rPr>
                <w:rFonts w:cs="Calibri"/>
                <w:szCs w:val="22"/>
              </w:rPr>
              <w:t>1</w:t>
            </w:r>
          </w:p>
        </w:tc>
      </w:tr>
      <w:tr w:rsidR="00864A74" w:rsidRPr="00F55B63" w:rsidTr="00F3551F">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864A74" w:rsidRPr="00774CC5" w:rsidRDefault="00864A74" w:rsidP="00F3551F">
            <w:pPr>
              <w:widowControl/>
              <w:jc w:val="left"/>
              <w:rPr>
                <w:rFonts w:cs="Calibri"/>
                <w:szCs w:val="22"/>
              </w:rPr>
            </w:pPr>
            <w:r w:rsidRPr="00774CC5">
              <w:rPr>
                <w:rFonts w:cs="Calibri"/>
                <w:szCs w:val="22"/>
              </w:rPr>
              <w:t>Сегмент за борсово търгувани продукти</w:t>
            </w:r>
          </w:p>
        </w:tc>
        <w:tc>
          <w:tcPr>
            <w:tcW w:w="1289" w:type="dxa"/>
            <w:tcBorders>
              <w:top w:val="nil"/>
              <w:left w:val="nil"/>
              <w:bottom w:val="single" w:sz="4" w:space="0" w:color="auto"/>
              <w:right w:val="single" w:sz="4" w:space="0" w:color="auto"/>
            </w:tcBorders>
            <w:shd w:val="clear" w:color="auto" w:fill="auto"/>
            <w:noWrap/>
            <w:vAlign w:val="center"/>
            <w:hideMark/>
          </w:tcPr>
          <w:p w:rsidR="00864A74" w:rsidRPr="00774CC5" w:rsidRDefault="00864A74" w:rsidP="00F3551F">
            <w:pPr>
              <w:widowControl/>
              <w:jc w:val="left"/>
              <w:rPr>
                <w:rFonts w:cs="Calibri"/>
                <w:szCs w:val="22"/>
              </w:rPr>
            </w:pPr>
            <w:r w:rsidRPr="00774CC5">
              <w:rPr>
                <w:rFonts w:cs="Calibri"/>
                <w:szCs w:val="22"/>
              </w:rPr>
              <w:t>BSE</w:t>
            </w:r>
          </w:p>
        </w:tc>
        <w:tc>
          <w:tcPr>
            <w:tcW w:w="1275" w:type="dxa"/>
            <w:tcBorders>
              <w:top w:val="nil"/>
              <w:left w:val="nil"/>
              <w:bottom w:val="single" w:sz="4" w:space="0" w:color="auto"/>
              <w:right w:val="single" w:sz="4" w:space="0" w:color="auto"/>
            </w:tcBorders>
            <w:shd w:val="clear" w:color="auto" w:fill="auto"/>
            <w:noWrap/>
            <w:vAlign w:val="bottom"/>
            <w:hideMark/>
          </w:tcPr>
          <w:p w:rsidR="00864A74" w:rsidRPr="00774CC5" w:rsidRDefault="00864A74" w:rsidP="00F3551F">
            <w:pPr>
              <w:widowControl/>
              <w:jc w:val="right"/>
              <w:rPr>
                <w:rFonts w:cs="Calibri"/>
                <w:szCs w:val="22"/>
              </w:rPr>
            </w:pPr>
            <w:r w:rsidRPr="00774CC5">
              <w:rPr>
                <w:rFonts w:cs="Calibri"/>
                <w:szCs w:val="22"/>
              </w:rPr>
              <w:t>1</w:t>
            </w:r>
          </w:p>
        </w:tc>
      </w:tr>
      <w:tr w:rsidR="00864A74" w:rsidRPr="00F55B63" w:rsidTr="00146699">
        <w:trPr>
          <w:trHeight w:val="255"/>
          <w:jc w:val="center"/>
        </w:trPr>
        <w:tc>
          <w:tcPr>
            <w:tcW w:w="4660" w:type="dxa"/>
            <w:tcBorders>
              <w:top w:val="nil"/>
              <w:left w:val="nil"/>
              <w:bottom w:val="nil"/>
              <w:right w:val="nil"/>
            </w:tcBorders>
            <w:shd w:val="clear" w:color="auto" w:fill="auto"/>
            <w:noWrap/>
            <w:vAlign w:val="center"/>
            <w:hideMark/>
          </w:tcPr>
          <w:p w:rsidR="00864A74" w:rsidRPr="00774CC5" w:rsidRDefault="00864A74" w:rsidP="00F3551F">
            <w:pPr>
              <w:widowControl/>
              <w:jc w:val="right"/>
              <w:rPr>
                <w:rFonts w:cs="Calibri"/>
                <w:szCs w:val="22"/>
              </w:rPr>
            </w:pPr>
          </w:p>
        </w:tc>
        <w:tc>
          <w:tcPr>
            <w:tcW w:w="1289" w:type="dxa"/>
            <w:tcBorders>
              <w:top w:val="nil"/>
              <w:left w:val="nil"/>
              <w:bottom w:val="nil"/>
              <w:right w:val="nil"/>
            </w:tcBorders>
            <w:shd w:val="clear" w:color="auto" w:fill="auto"/>
            <w:noWrap/>
            <w:vAlign w:val="center"/>
            <w:hideMark/>
          </w:tcPr>
          <w:p w:rsidR="00864A74" w:rsidRPr="00774CC5" w:rsidRDefault="00864A74" w:rsidP="00F3551F">
            <w:pPr>
              <w:widowControl/>
              <w:jc w:val="left"/>
              <w:rPr>
                <w:rFonts w:cs="Calibri"/>
                <w:szCs w:val="22"/>
              </w:rPr>
            </w:pPr>
          </w:p>
        </w:tc>
        <w:tc>
          <w:tcPr>
            <w:tcW w:w="1275" w:type="dxa"/>
            <w:tcBorders>
              <w:top w:val="nil"/>
              <w:left w:val="nil"/>
              <w:bottom w:val="nil"/>
              <w:right w:val="nil"/>
            </w:tcBorders>
            <w:shd w:val="clear" w:color="auto" w:fill="auto"/>
            <w:noWrap/>
            <w:vAlign w:val="center"/>
            <w:hideMark/>
          </w:tcPr>
          <w:p w:rsidR="00864A74" w:rsidRPr="00774CC5" w:rsidRDefault="00864A74" w:rsidP="00F3551F">
            <w:pPr>
              <w:widowControl/>
              <w:jc w:val="right"/>
              <w:rPr>
                <w:rFonts w:cs="Calibri"/>
                <w:b/>
                <w:bCs/>
                <w:szCs w:val="22"/>
              </w:rPr>
            </w:pPr>
            <w:r w:rsidRPr="00774CC5">
              <w:rPr>
                <w:rFonts w:cs="Calibri"/>
                <w:b/>
                <w:bCs/>
                <w:szCs w:val="22"/>
              </w:rPr>
              <w:t>10</w:t>
            </w:r>
          </w:p>
        </w:tc>
      </w:tr>
    </w:tbl>
    <w:p w:rsidR="00146699" w:rsidRPr="00A90328" w:rsidRDefault="00FB3755" w:rsidP="00FB3755">
      <w:pPr>
        <w:tabs>
          <w:tab w:val="left" w:pos="360"/>
        </w:tabs>
        <w:jc w:val="left"/>
        <w:rPr>
          <w:rFonts w:cs="Calibri"/>
          <w:b/>
          <w:sz w:val="20"/>
          <w:szCs w:val="20"/>
        </w:rPr>
      </w:pPr>
      <w:r w:rsidRPr="00A90328">
        <w:rPr>
          <w:rFonts w:cs="Calibri"/>
          <w:b/>
          <w:sz w:val="20"/>
          <w:szCs w:val="20"/>
        </w:rPr>
        <w:t>Таблица 7б. Прекратени емисии през отчетно</w:t>
      </w:r>
      <w:r w:rsidR="00DC0EEA" w:rsidRPr="00A90328">
        <w:rPr>
          <w:rFonts w:cs="Calibri"/>
          <w:b/>
          <w:sz w:val="20"/>
          <w:szCs w:val="20"/>
        </w:rPr>
        <w:t>то тр</w:t>
      </w:r>
      <w:r w:rsidR="00207C00" w:rsidRPr="00A90328">
        <w:rPr>
          <w:rFonts w:cs="Calibri"/>
          <w:b/>
          <w:sz w:val="20"/>
          <w:szCs w:val="20"/>
        </w:rPr>
        <w:t>и</w:t>
      </w:r>
      <w:r w:rsidR="006854A3" w:rsidRPr="00A90328">
        <w:rPr>
          <w:rFonts w:cs="Calibri"/>
          <w:b/>
          <w:sz w:val="20"/>
          <w:szCs w:val="20"/>
        </w:rPr>
        <w:t>месечие:</w:t>
      </w:r>
    </w:p>
    <w:tbl>
      <w:tblPr>
        <w:tblW w:w="7225" w:type="dxa"/>
        <w:jc w:val="center"/>
        <w:tblCellMar>
          <w:left w:w="70" w:type="dxa"/>
          <w:right w:w="70" w:type="dxa"/>
        </w:tblCellMar>
        <w:tblLook w:val="04A0"/>
      </w:tblPr>
      <w:tblGrid>
        <w:gridCol w:w="4673"/>
        <w:gridCol w:w="1276"/>
        <w:gridCol w:w="1276"/>
      </w:tblGrid>
      <w:tr w:rsidR="00146699" w:rsidRPr="00F55B63" w:rsidTr="00146699">
        <w:trPr>
          <w:trHeight w:val="255"/>
          <w:jc w:val="center"/>
        </w:trPr>
        <w:tc>
          <w:tcPr>
            <w:tcW w:w="4673"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146699" w:rsidRPr="00A90328" w:rsidRDefault="00146699" w:rsidP="00146699">
            <w:pPr>
              <w:widowControl/>
              <w:jc w:val="center"/>
              <w:rPr>
                <w:rFonts w:cs="Calibri"/>
                <w:color w:val="FFFFFF"/>
                <w:szCs w:val="22"/>
              </w:rPr>
            </w:pPr>
            <w:r w:rsidRPr="00A90328">
              <w:rPr>
                <w:rFonts w:cs="Calibri"/>
                <w:color w:val="FFFFFF"/>
                <w:szCs w:val="22"/>
              </w:rPr>
              <w:t>Прекратени емисии по сегмент</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A90328" w:rsidRDefault="00146699" w:rsidP="00146699">
            <w:pPr>
              <w:widowControl/>
              <w:jc w:val="center"/>
              <w:rPr>
                <w:rFonts w:cs="Calibri"/>
                <w:color w:val="FFFFFF"/>
                <w:szCs w:val="22"/>
              </w:rPr>
            </w:pPr>
            <w:r w:rsidRPr="00A90328">
              <w:rPr>
                <w:rFonts w:cs="Calibri"/>
                <w:color w:val="FFFFFF"/>
                <w:szCs w:val="22"/>
              </w:rPr>
              <w:t>Пазар</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A90328" w:rsidRDefault="00146699" w:rsidP="00146699">
            <w:pPr>
              <w:widowControl/>
              <w:jc w:val="center"/>
              <w:rPr>
                <w:rFonts w:cs="Calibri"/>
                <w:color w:val="FFFFFF"/>
                <w:szCs w:val="22"/>
              </w:rPr>
            </w:pPr>
            <w:r w:rsidRPr="00A90328">
              <w:rPr>
                <w:rFonts w:cs="Calibri"/>
                <w:color w:val="FFFFFF"/>
                <w:szCs w:val="22"/>
              </w:rPr>
              <w:t>Емисии</w:t>
            </w:r>
          </w:p>
        </w:tc>
      </w:tr>
      <w:tr w:rsidR="00A90328" w:rsidRPr="00F55B63" w:rsidTr="00F3551F">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Сегмент за права</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right"/>
              <w:rPr>
                <w:rFonts w:cs="Calibri"/>
                <w:szCs w:val="22"/>
              </w:rPr>
            </w:pPr>
            <w:r w:rsidRPr="00324AE6">
              <w:rPr>
                <w:rFonts w:cs="Calibri"/>
                <w:szCs w:val="22"/>
              </w:rPr>
              <w:t>4</w:t>
            </w:r>
          </w:p>
        </w:tc>
      </w:tr>
      <w:tr w:rsidR="00A90328" w:rsidRPr="00F55B63" w:rsidTr="00146699">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Сегмент за държавни ценни книжа</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BSE</w:t>
            </w:r>
          </w:p>
        </w:tc>
        <w:tc>
          <w:tcPr>
            <w:tcW w:w="1276" w:type="dxa"/>
            <w:tcBorders>
              <w:top w:val="nil"/>
              <w:left w:val="nil"/>
              <w:bottom w:val="single" w:sz="4" w:space="0" w:color="auto"/>
              <w:right w:val="single" w:sz="4" w:space="0" w:color="auto"/>
            </w:tcBorders>
            <w:shd w:val="clear" w:color="auto" w:fill="auto"/>
            <w:noWrap/>
            <w:vAlign w:val="bottom"/>
            <w:hideMark/>
          </w:tcPr>
          <w:p w:rsidR="00A90328" w:rsidRPr="00324AE6" w:rsidRDefault="00A90328" w:rsidP="00F3551F">
            <w:pPr>
              <w:widowControl/>
              <w:jc w:val="right"/>
              <w:rPr>
                <w:rFonts w:cs="Calibri"/>
                <w:szCs w:val="22"/>
              </w:rPr>
            </w:pPr>
            <w:r w:rsidRPr="00324AE6">
              <w:rPr>
                <w:rFonts w:cs="Calibri"/>
                <w:szCs w:val="22"/>
              </w:rPr>
              <w:t>2</w:t>
            </w:r>
          </w:p>
        </w:tc>
      </w:tr>
      <w:tr w:rsidR="00A90328" w:rsidRPr="00F55B63" w:rsidTr="00146699">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Сегмент за облигации</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right"/>
              <w:rPr>
                <w:rFonts w:cs="Calibri"/>
                <w:szCs w:val="22"/>
              </w:rPr>
            </w:pPr>
            <w:r w:rsidRPr="00324AE6">
              <w:rPr>
                <w:rFonts w:cs="Calibri"/>
                <w:szCs w:val="22"/>
              </w:rPr>
              <w:t>2</w:t>
            </w:r>
          </w:p>
        </w:tc>
      </w:tr>
      <w:tr w:rsidR="00A90328" w:rsidRPr="00F55B63" w:rsidTr="00146699">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rFonts w:cs="Calibri"/>
                <w:szCs w:val="22"/>
              </w:rPr>
              <w:t>Сегмент акции</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left"/>
              <w:rPr>
                <w:rFonts w:cs="Calibri"/>
                <w:szCs w:val="22"/>
              </w:rPr>
            </w:pPr>
            <w:r w:rsidRPr="00324AE6">
              <w:rPr>
                <w:szCs w:val="22"/>
              </w:rPr>
              <w:t>BASE</w:t>
            </w:r>
          </w:p>
        </w:tc>
        <w:tc>
          <w:tcPr>
            <w:tcW w:w="1276" w:type="dxa"/>
            <w:tcBorders>
              <w:top w:val="nil"/>
              <w:left w:val="nil"/>
              <w:bottom w:val="single" w:sz="4" w:space="0" w:color="auto"/>
              <w:right w:val="single" w:sz="4" w:space="0" w:color="auto"/>
            </w:tcBorders>
            <w:shd w:val="clear" w:color="auto" w:fill="auto"/>
            <w:noWrap/>
            <w:vAlign w:val="center"/>
            <w:hideMark/>
          </w:tcPr>
          <w:p w:rsidR="00A90328" w:rsidRPr="00324AE6" w:rsidRDefault="00A90328" w:rsidP="00F3551F">
            <w:pPr>
              <w:widowControl/>
              <w:jc w:val="right"/>
              <w:rPr>
                <w:rFonts w:cs="Calibri"/>
                <w:szCs w:val="22"/>
              </w:rPr>
            </w:pPr>
            <w:r w:rsidRPr="00324AE6">
              <w:rPr>
                <w:rFonts w:cs="Calibri"/>
                <w:szCs w:val="22"/>
              </w:rPr>
              <w:t>1</w:t>
            </w:r>
          </w:p>
        </w:tc>
      </w:tr>
      <w:tr w:rsidR="00A90328" w:rsidRPr="00A90328" w:rsidTr="00146699">
        <w:trPr>
          <w:trHeight w:val="255"/>
          <w:jc w:val="center"/>
        </w:trPr>
        <w:tc>
          <w:tcPr>
            <w:tcW w:w="4673" w:type="dxa"/>
            <w:tcBorders>
              <w:top w:val="nil"/>
              <w:left w:val="nil"/>
              <w:bottom w:val="nil"/>
              <w:right w:val="nil"/>
            </w:tcBorders>
            <w:shd w:val="clear" w:color="auto" w:fill="auto"/>
            <w:noWrap/>
            <w:vAlign w:val="center"/>
            <w:hideMark/>
          </w:tcPr>
          <w:p w:rsidR="00A90328" w:rsidRPr="00324AE6" w:rsidRDefault="00A90328" w:rsidP="00F3551F">
            <w:pPr>
              <w:widowControl/>
              <w:jc w:val="right"/>
              <w:rPr>
                <w:rFonts w:cs="Calibri"/>
                <w:szCs w:val="22"/>
              </w:rPr>
            </w:pPr>
          </w:p>
        </w:tc>
        <w:tc>
          <w:tcPr>
            <w:tcW w:w="1276" w:type="dxa"/>
            <w:tcBorders>
              <w:top w:val="nil"/>
              <w:left w:val="nil"/>
              <w:bottom w:val="nil"/>
              <w:right w:val="nil"/>
            </w:tcBorders>
            <w:shd w:val="clear" w:color="auto" w:fill="auto"/>
            <w:noWrap/>
            <w:vAlign w:val="center"/>
            <w:hideMark/>
          </w:tcPr>
          <w:p w:rsidR="00A90328" w:rsidRPr="00324AE6" w:rsidRDefault="00A90328" w:rsidP="00F3551F">
            <w:pPr>
              <w:widowControl/>
              <w:jc w:val="left"/>
              <w:rPr>
                <w:rFonts w:cs="Calibri"/>
                <w:szCs w:val="22"/>
              </w:rPr>
            </w:pPr>
          </w:p>
        </w:tc>
        <w:tc>
          <w:tcPr>
            <w:tcW w:w="1276" w:type="dxa"/>
            <w:tcBorders>
              <w:top w:val="nil"/>
              <w:left w:val="nil"/>
              <w:bottom w:val="nil"/>
              <w:right w:val="nil"/>
            </w:tcBorders>
            <w:shd w:val="clear" w:color="auto" w:fill="auto"/>
            <w:noWrap/>
            <w:vAlign w:val="center"/>
            <w:hideMark/>
          </w:tcPr>
          <w:p w:rsidR="00A90328" w:rsidRPr="00A90328" w:rsidRDefault="00A90328" w:rsidP="00F3551F">
            <w:pPr>
              <w:widowControl/>
              <w:jc w:val="right"/>
              <w:rPr>
                <w:rFonts w:cs="Calibri"/>
                <w:b/>
                <w:bCs/>
                <w:szCs w:val="22"/>
              </w:rPr>
            </w:pPr>
            <w:r w:rsidRPr="00A90328">
              <w:rPr>
                <w:rFonts w:cs="Calibri"/>
                <w:b/>
                <w:bCs/>
                <w:szCs w:val="22"/>
              </w:rPr>
              <w:t>9</w:t>
            </w:r>
          </w:p>
        </w:tc>
      </w:tr>
    </w:tbl>
    <w:p w:rsidR="00146699" w:rsidRPr="00A90328" w:rsidRDefault="00FB3755" w:rsidP="00FB3755">
      <w:pPr>
        <w:tabs>
          <w:tab w:val="left" w:pos="360"/>
        </w:tabs>
        <w:jc w:val="left"/>
        <w:rPr>
          <w:rFonts w:cs="Calibri"/>
          <w:b/>
          <w:sz w:val="20"/>
          <w:szCs w:val="20"/>
        </w:rPr>
      </w:pPr>
      <w:r w:rsidRPr="00A90328">
        <w:rPr>
          <w:rFonts w:cs="Calibri"/>
          <w:b/>
          <w:sz w:val="20"/>
          <w:szCs w:val="20"/>
        </w:rPr>
        <w:t>Таблица 7в. Увеличения на капитала и преобразуване:</w:t>
      </w:r>
    </w:p>
    <w:tbl>
      <w:tblPr>
        <w:tblW w:w="8916" w:type="dxa"/>
        <w:jc w:val="center"/>
        <w:tblCellMar>
          <w:left w:w="70" w:type="dxa"/>
          <w:right w:w="70" w:type="dxa"/>
        </w:tblCellMar>
        <w:tblLook w:val="04A0"/>
      </w:tblPr>
      <w:tblGrid>
        <w:gridCol w:w="4140"/>
        <w:gridCol w:w="1256"/>
        <w:gridCol w:w="1380"/>
        <w:gridCol w:w="2140"/>
      </w:tblGrid>
      <w:tr w:rsidR="00146699" w:rsidRPr="00A90328" w:rsidTr="00146699">
        <w:trPr>
          <w:trHeight w:val="255"/>
          <w:jc w:val="center"/>
        </w:trPr>
        <w:tc>
          <w:tcPr>
            <w:tcW w:w="414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146699" w:rsidRPr="00A90328" w:rsidRDefault="00146699" w:rsidP="00146699">
            <w:pPr>
              <w:widowControl/>
              <w:jc w:val="left"/>
              <w:rPr>
                <w:color w:val="FFFFFF"/>
                <w:szCs w:val="22"/>
              </w:rPr>
            </w:pPr>
            <w:r w:rsidRPr="00A90328">
              <w:rPr>
                <w:color w:val="FFFFFF"/>
                <w:szCs w:val="22"/>
              </w:rPr>
              <w:t xml:space="preserve">Увеличения на капитала и </w:t>
            </w:r>
            <w:r w:rsidR="00BE3033" w:rsidRPr="00A90328">
              <w:rPr>
                <w:color w:val="FFFFFF"/>
                <w:szCs w:val="22"/>
              </w:rPr>
              <w:t>преобразуване</w:t>
            </w:r>
          </w:p>
        </w:tc>
        <w:tc>
          <w:tcPr>
            <w:tcW w:w="1256"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A90328" w:rsidRDefault="00146699" w:rsidP="00146699">
            <w:pPr>
              <w:widowControl/>
              <w:jc w:val="left"/>
              <w:rPr>
                <w:color w:val="FFFFFF"/>
                <w:szCs w:val="22"/>
              </w:rPr>
            </w:pPr>
            <w:r w:rsidRPr="00A90328">
              <w:rPr>
                <w:color w:val="FFFFFF"/>
                <w:szCs w:val="22"/>
              </w:rPr>
              <w:t>пазар</w:t>
            </w:r>
          </w:p>
        </w:tc>
        <w:tc>
          <w:tcPr>
            <w:tcW w:w="1380"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A90328" w:rsidRDefault="00146699" w:rsidP="00146699">
            <w:pPr>
              <w:widowControl/>
              <w:jc w:val="left"/>
              <w:rPr>
                <w:color w:val="FFFFFF"/>
                <w:szCs w:val="22"/>
              </w:rPr>
            </w:pPr>
            <w:r w:rsidRPr="00A90328">
              <w:rPr>
                <w:color w:val="FFFFFF"/>
                <w:szCs w:val="22"/>
              </w:rPr>
              <w:t>емисии</w:t>
            </w:r>
          </w:p>
        </w:tc>
        <w:tc>
          <w:tcPr>
            <w:tcW w:w="2140" w:type="dxa"/>
            <w:tcBorders>
              <w:top w:val="single" w:sz="4" w:space="0" w:color="auto"/>
              <w:left w:val="nil"/>
              <w:bottom w:val="single" w:sz="4" w:space="0" w:color="auto"/>
              <w:right w:val="single" w:sz="4" w:space="0" w:color="auto"/>
            </w:tcBorders>
            <w:shd w:val="clear" w:color="000000" w:fill="4F81BD"/>
            <w:noWrap/>
            <w:vAlign w:val="center"/>
            <w:hideMark/>
          </w:tcPr>
          <w:p w:rsidR="00146699" w:rsidRPr="00A90328" w:rsidRDefault="00146699" w:rsidP="00146699">
            <w:pPr>
              <w:widowControl/>
              <w:jc w:val="left"/>
              <w:rPr>
                <w:color w:val="FFFFFF"/>
                <w:szCs w:val="22"/>
              </w:rPr>
            </w:pPr>
            <w:r w:rsidRPr="00A90328">
              <w:rPr>
                <w:color w:val="FFFFFF"/>
                <w:szCs w:val="22"/>
              </w:rPr>
              <w:t>набран капитал</w:t>
            </w:r>
          </w:p>
        </w:tc>
      </w:tr>
      <w:tr w:rsidR="00146699" w:rsidRPr="00F55B63" w:rsidTr="00146699">
        <w:trPr>
          <w:trHeight w:val="255"/>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146699" w:rsidRPr="00A90328" w:rsidRDefault="00146699" w:rsidP="00146699">
            <w:pPr>
              <w:widowControl/>
              <w:jc w:val="left"/>
              <w:rPr>
                <w:color w:val="000000"/>
                <w:szCs w:val="22"/>
              </w:rPr>
            </w:pPr>
            <w:r w:rsidRPr="00A90328">
              <w:rPr>
                <w:color w:val="000000"/>
                <w:szCs w:val="22"/>
              </w:rPr>
              <w:t>Сегмент за АДСИЦ</w:t>
            </w:r>
          </w:p>
        </w:tc>
        <w:tc>
          <w:tcPr>
            <w:tcW w:w="1256" w:type="dxa"/>
            <w:tcBorders>
              <w:top w:val="nil"/>
              <w:left w:val="nil"/>
              <w:bottom w:val="single" w:sz="4" w:space="0" w:color="auto"/>
              <w:right w:val="single" w:sz="4" w:space="0" w:color="auto"/>
            </w:tcBorders>
            <w:shd w:val="clear" w:color="auto" w:fill="auto"/>
            <w:noWrap/>
            <w:vAlign w:val="bottom"/>
            <w:hideMark/>
          </w:tcPr>
          <w:p w:rsidR="00146699" w:rsidRPr="00A90328" w:rsidRDefault="00146699" w:rsidP="00146699">
            <w:pPr>
              <w:widowControl/>
              <w:jc w:val="left"/>
              <w:rPr>
                <w:color w:val="000000"/>
                <w:szCs w:val="22"/>
              </w:rPr>
            </w:pPr>
            <w:r w:rsidRPr="00A90328">
              <w:rPr>
                <w:color w:val="000000"/>
                <w:szCs w:val="22"/>
              </w:rPr>
              <w:t>BSE</w:t>
            </w:r>
          </w:p>
        </w:tc>
        <w:tc>
          <w:tcPr>
            <w:tcW w:w="1380" w:type="dxa"/>
            <w:tcBorders>
              <w:top w:val="nil"/>
              <w:left w:val="nil"/>
              <w:bottom w:val="single" w:sz="4" w:space="0" w:color="auto"/>
              <w:right w:val="single" w:sz="4" w:space="0" w:color="auto"/>
            </w:tcBorders>
            <w:shd w:val="clear" w:color="auto" w:fill="auto"/>
            <w:noWrap/>
            <w:vAlign w:val="bottom"/>
            <w:hideMark/>
          </w:tcPr>
          <w:p w:rsidR="00146699" w:rsidRPr="00A90328" w:rsidRDefault="00146699" w:rsidP="00146699">
            <w:pPr>
              <w:widowControl/>
              <w:jc w:val="right"/>
              <w:rPr>
                <w:color w:val="000000"/>
                <w:szCs w:val="22"/>
              </w:rPr>
            </w:pPr>
            <w:r w:rsidRPr="00A90328">
              <w:rPr>
                <w:color w:val="000000"/>
                <w:szCs w:val="22"/>
              </w:rPr>
              <w:t>2</w:t>
            </w:r>
          </w:p>
        </w:tc>
        <w:tc>
          <w:tcPr>
            <w:tcW w:w="2140" w:type="dxa"/>
            <w:tcBorders>
              <w:top w:val="nil"/>
              <w:left w:val="nil"/>
              <w:bottom w:val="single" w:sz="4" w:space="0" w:color="auto"/>
              <w:right w:val="single" w:sz="4" w:space="0" w:color="auto"/>
            </w:tcBorders>
            <w:shd w:val="clear" w:color="auto" w:fill="auto"/>
            <w:noWrap/>
            <w:vAlign w:val="bottom"/>
            <w:hideMark/>
          </w:tcPr>
          <w:p w:rsidR="00146699" w:rsidRPr="00A90328" w:rsidRDefault="00A90328" w:rsidP="00146699">
            <w:pPr>
              <w:widowControl/>
              <w:jc w:val="right"/>
              <w:rPr>
                <w:color w:val="000000"/>
                <w:szCs w:val="22"/>
              </w:rPr>
            </w:pPr>
            <w:r w:rsidRPr="00324AE6">
              <w:rPr>
                <w:szCs w:val="22"/>
              </w:rPr>
              <w:t>48 074 988</w:t>
            </w:r>
          </w:p>
        </w:tc>
      </w:tr>
    </w:tbl>
    <w:p w:rsidR="00A90328" w:rsidRPr="00A90328" w:rsidRDefault="00A90328" w:rsidP="00A90328">
      <w:pPr>
        <w:pStyle w:val="Mainnumbers"/>
        <w:numPr>
          <w:ilvl w:val="0"/>
          <w:numId w:val="0"/>
        </w:numPr>
        <w:rPr>
          <w:rFonts w:cs="Calibri"/>
        </w:rPr>
      </w:pPr>
    </w:p>
    <w:p w:rsidR="001A0C3E" w:rsidRPr="00A90328" w:rsidRDefault="001A0C3E" w:rsidP="00DB3B9A">
      <w:pPr>
        <w:pStyle w:val="Mainnumbers"/>
        <w:rPr>
          <w:rFonts w:cs="Calibri"/>
        </w:rPr>
      </w:pPr>
      <w:bookmarkStart w:id="21" w:name="_Toc42271147"/>
      <w:r w:rsidRPr="00A90328">
        <w:rPr>
          <w:rFonts w:cs="Calibri"/>
        </w:rPr>
        <w:t xml:space="preserve">Пазарна капитализация на </w:t>
      </w:r>
      <w:r w:rsidR="00415B34" w:rsidRPr="00A90328">
        <w:rPr>
          <w:rFonts w:cs="Calibri"/>
        </w:rPr>
        <w:t>Борсата</w:t>
      </w:r>
      <w:bookmarkEnd w:id="19"/>
      <w:bookmarkEnd w:id="20"/>
      <w:bookmarkEnd w:id="21"/>
    </w:p>
    <w:p w:rsidR="00A90328" w:rsidRPr="00A90328" w:rsidRDefault="00A90328" w:rsidP="00A90328">
      <w:pPr>
        <w:spacing w:line="276" w:lineRule="auto"/>
        <w:rPr>
          <w:rFonts w:cs="Calibri"/>
        </w:rPr>
      </w:pPr>
      <w:r w:rsidRPr="00A90328">
        <w:rPr>
          <w:rFonts w:cs="Calibri"/>
        </w:rPr>
        <w:t xml:space="preserve">Пазарната капитализация на „Българска фондова борса“ АД достигна </w:t>
      </w:r>
      <w:r w:rsidRPr="00A90328">
        <w:rPr>
          <w:bCs/>
          <w:color w:val="000000"/>
          <w:szCs w:val="22"/>
          <w:lang w:val="en-US"/>
        </w:rPr>
        <w:t>26 235 505 574</w:t>
      </w:r>
      <w:r w:rsidRPr="00A90328">
        <w:rPr>
          <w:rFonts w:cs="Calibri"/>
        </w:rPr>
        <w:t xml:space="preserve"> лева в края на първото тримесечие на 2020 г., което представлява спад от 5,98% в сравнение със стойността от 27 904 536 796 лв. в края на четвъртото тримесечие на миналата година (виж. Таблица 8).</w:t>
      </w:r>
      <w:r w:rsidRPr="00A90328">
        <w:rPr>
          <w:rFonts w:cs="Calibri"/>
          <w:lang w:val="en-US"/>
        </w:rPr>
        <w:t xml:space="preserve"> </w:t>
      </w:r>
      <w:r w:rsidRPr="00A90328">
        <w:rPr>
          <w:rFonts w:cs="Calibri"/>
        </w:rPr>
        <w:t xml:space="preserve">Пазарната капитализация на сегмент Premium на Основния пазар намаля с 34,05%, а тази на сегмент Standard се понижи с 9,7%. Капитализацията на сегмент АДСИЦ на Основния пазар спадна с 5,3%. Пазарната капитализация на двата сегмента на Алтернативния пазар се промени разнопосочно. Сегментът за акции отбеляза спад от 2,54%, докато сегментът за АДСИЦ нарасна с 16,78% или с 69,9 млн. лв. в </w:t>
      </w:r>
      <w:r w:rsidRPr="00A90328">
        <w:rPr>
          <w:rFonts w:cs="Calibri"/>
          <w:szCs w:val="22"/>
        </w:rPr>
        <w:t xml:space="preserve"> абсолютен размер. </w:t>
      </w:r>
      <w:r w:rsidRPr="00A90328">
        <w:rPr>
          <w:rFonts w:cs="Calibri"/>
        </w:rPr>
        <w:t>(Таблица 9).</w:t>
      </w:r>
    </w:p>
    <w:p w:rsidR="00146699" w:rsidRPr="00F55B63" w:rsidRDefault="00146699">
      <w:pPr>
        <w:widowControl/>
        <w:jc w:val="left"/>
        <w:rPr>
          <w:rFonts w:cs="Calibri"/>
          <w:szCs w:val="22"/>
          <w:highlight w:val="yellow"/>
        </w:rPr>
      </w:pPr>
      <w:r w:rsidRPr="00F55B63">
        <w:rPr>
          <w:rFonts w:cs="Calibri"/>
          <w:szCs w:val="22"/>
          <w:highlight w:val="yellow"/>
        </w:rPr>
        <w:br w:type="page"/>
      </w:r>
    </w:p>
    <w:p w:rsidR="00146699" w:rsidRPr="00A90328" w:rsidRDefault="00FB3755" w:rsidP="00FB3755">
      <w:pPr>
        <w:tabs>
          <w:tab w:val="left" w:pos="360"/>
        </w:tabs>
        <w:rPr>
          <w:rFonts w:cs="Calibri"/>
          <w:b/>
          <w:sz w:val="20"/>
          <w:szCs w:val="20"/>
        </w:rPr>
      </w:pPr>
      <w:r w:rsidRPr="00A90328">
        <w:rPr>
          <w:rFonts w:cs="Calibri"/>
          <w:b/>
          <w:sz w:val="20"/>
          <w:szCs w:val="20"/>
        </w:rPr>
        <w:lastRenderedPageBreak/>
        <w:t>Таблица 8: Пазарна капитализация по видове инструменти и общо (сравнение)</w:t>
      </w:r>
    </w:p>
    <w:tbl>
      <w:tblPr>
        <w:tblW w:w="9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3592"/>
        <w:gridCol w:w="1561"/>
        <w:gridCol w:w="1718"/>
        <w:gridCol w:w="1276"/>
        <w:gridCol w:w="1559"/>
      </w:tblGrid>
      <w:tr w:rsidR="00146699" w:rsidRPr="00A90328" w:rsidTr="00BE3033">
        <w:trPr>
          <w:trHeight w:val="170"/>
          <w:jc w:val="center"/>
        </w:trPr>
        <w:tc>
          <w:tcPr>
            <w:tcW w:w="3592" w:type="dxa"/>
            <w:shd w:val="clear" w:color="000000" w:fill="4F81BD"/>
            <w:noWrap/>
            <w:vAlign w:val="bottom"/>
            <w:hideMark/>
          </w:tcPr>
          <w:p w:rsidR="00146699" w:rsidRPr="00A90328" w:rsidRDefault="00146699" w:rsidP="00146699">
            <w:pPr>
              <w:widowControl/>
              <w:jc w:val="left"/>
              <w:rPr>
                <w:color w:val="FFFFFF"/>
                <w:szCs w:val="22"/>
              </w:rPr>
            </w:pPr>
            <w:r w:rsidRPr="00A90328">
              <w:rPr>
                <w:color w:val="FFFFFF"/>
                <w:szCs w:val="22"/>
              </w:rPr>
              <w:t> </w:t>
            </w:r>
          </w:p>
        </w:tc>
        <w:tc>
          <w:tcPr>
            <w:tcW w:w="1561" w:type="dxa"/>
            <w:shd w:val="clear" w:color="000000" w:fill="4F81BD"/>
            <w:noWrap/>
            <w:vAlign w:val="bottom"/>
            <w:hideMark/>
          </w:tcPr>
          <w:p w:rsidR="00146699" w:rsidRPr="00A90328" w:rsidRDefault="00146699" w:rsidP="00146699">
            <w:pPr>
              <w:widowControl/>
              <w:jc w:val="right"/>
              <w:rPr>
                <w:color w:val="FFFFFF"/>
                <w:szCs w:val="22"/>
              </w:rPr>
            </w:pPr>
            <w:r w:rsidRPr="00A90328">
              <w:rPr>
                <w:color w:val="FFFFFF"/>
                <w:szCs w:val="22"/>
              </w:rPr>
              <w:t>Капитализация</w:t>
            </w:r>
          </w:p>
        </w:tc>
        <w:tc>
          <w:tcPr>
            <w:tcW w:w="1718" w:type="dxa"/>
            <w:shd w:val="clear" w:color="000000" w:fill="4F81BD"/>
            <w:noWrap/>
            <w:vAlign w:val="bottom"/>
            <w:hideMark/>
          </w:tcPr>
          <w:p w:rsidR="00146699" w:rsidRPr="00A90328" w:rsidRDefault="00146699" w:rsidP="00146699">
            <w:pPr>
              <w:widowControl/>
              <w:jc w:val="left"/>
              <w:rPr>
                <w:color w:val="FFFFFF"/>
                <w:szCs w:val="22"/>
              </w:rPr>
            </w:pPr>
            <w:r w:rsidRPr="00A90328">
              <w:rPr>
                <w:color w:val="FFFFFF"/>
                <w:szCs w:val="22"/>
              </w:rPr>
              <w:t xml:space="preserve"> (BGN)</w:t>
            </w:r>
          </w:p>
        </w:tc>
        <w:tc>
          <w:tcPr>
            <w:tcW w:w="2835" w:type="dxa"/>
            <w:gridSpan w:val="2"/>
            <w:shd w:val="clear" w:color="000000" w:fill="4F81BD"/>
            <w:noWrap/>
            <w:vAlign w:val="bottom"/>
            <w:hideMark/>
          </w:tcPr>
          <w:p w:rsidR="00146699" w:rsidRPr="00A90328" w:rsidRDefault="00146699" w:rsidP="00146699">
            <w:pPr>
              <w:widowControl/>
              <w:jc w:val="center"/>
              <w:rPr>
                <w:color w:val="FFFFFF"/>
                <w:szCs w:val="22"/>
              </w:rPr>
            </w:pPr>
            <w:r w:rsidRPr="00A90328">
              <w:rPr>
                <w:color w:val="FFFFFF"/>
                <w:szCs w:val="22"/>
              </w:rPr>
              <w:t>Промяна</w:t>
            </w:r>
          </w:p>
        </w:tc>
      </w:tr>
      <w:tr w:rsidR="00146699" w:rsidRPr="00A90328" w:rsidTr="00BE3033">
        <w:trPr>
          <w:trHeight w:val="170"/>
          <w:jc w:val="center"/>
        </w:trPr>
        <w:tc>
          <w:tcPr>
            <w:tcW w:w="3592" w:type="dxa"/>
            <w:shd w:val="clear" w:color="000000" w:fill="4F81BD"/>
            <w:noWrap/>
            <w:vAlign w:val="bottom"/>
            <w:hideMark/>
          </w:tcPr>
          <w:p w:rsidR="00146699" w:rsidRPr="00A90328" w:rsidRDefault="00146699" w:rsidP="00146699">
            <w:pPr>
              <w:widowControl/>
              <w:jc w:val="left"/>
              <w:rPr>
                <w:color w:val="FFFFFF"/>
                <w:szCs w:val="22"/>
              </w:rPr>
            </w:pPr>
            <w:r w:rsidRPr="00A90328">
              <w:rPr>
                <w:color w:val="FFFFFF"/>
                <w:szCs w:val="22"/>
              </w:rPr>
              <w:t>Сегмент/пазар</w:t>
            </w:r>
          </w:p>
        </w:tc>
        <w:tc>
          <w:tcPr>
            <w:tcW w:w="1561" w:type="dxa"/>
            <w:shd w:val="clear" w:color="000000" w:fill="4F81BD"/>
            <w:noWrap/>
            <w:vAlign w:val="bottom"/>
            <w:hideMark/>
          </w:tcPr>
          <w:p w:rsidR="00146699" w:rsidRPr="00A90328" w:rsidRDefault="00146699" w:rsidP="00A90328">
            <w:pPr>
              <w:widowControl/>
              <w:jc w:val="center"/>
              <w:rPr>
                <w:color w:val="FFFFFF"/>
                <w:szCs w:val="22"/>
              </w:rPr>
            </w:pPr>
            <w:r w:rsidRPr="00A90328">
              <w:rPr>
                <w:color w:val="FFFFFF"/>
                <w:szCs w:val="22"/>
              </w:rPr>
              <w:t>31.12.201</w:t>
            </w:r>
            <w:r w:rsidR="00A90328" w:rsidRPr="00A90328">
              <w:rPr>
                <w:color w:val="FFFFFF"/>
                <w:szCs w:val="22"/>
              </w:rPr>
              <w:t>9</w:t>
            </w:r>
            <w:r w:rsidRPr="00A90328">
              <w:rPr>
                <w:color w:val="FFFFFF"/>
                <w:szCs w:val="22"/>
              </w:rPr>
              <w:t xml:space="preserve"> г.</w:t>
            </w:r>
          </w:p>
        </w:tc>
        <w:tc>
          <w:tcPr>
            <w:tcW w:w="1718" w:type="dxa"/>
            <w:shd w:val="clear" w:color="000000" w:fill="4F81BD"/>
            <w:noWrap/>
            <w:vAlign w:val="bottom"/>
            <w:hideMark/>
          </w:tcPr>
          <w:p w:rsidR="00146699" w:rsidRPr="00A90328" w:rsidRDefault="00146699" w:rsidP="00A90328">
            <w:pPr>
              <w:widowControl/>
              <w:jc w:val="center"/>
              <w:rPr>
                <w:color w:val="FFFFFF"/>
                <w:szCs w:val="22"/>
              </w:rPr>
            </w:pPr>
            <w:r w:rsidRPr="00A90328">
              <w:rPr>
                <w:color w:val="FFFFFF"/>
                <w:szCs w:val="22"/>
              </w:rPr>
              <w:t>31.03.20</w:t>
            </w:r>
            <w:r w:rsidR="00A90328" w:rsidRPr="00A90328">
              <w:rPr>
                <w:color w:val="FFFFFF"/>
                <w:szCs w:val="22"/>
              </w:rPr>
              <w:t>20</w:t>
            </w:r>
            <w:r w:rsidRPr="00A90328">
              <w:rPr>
                <w:color w:val="FFFFFF"/>
                <w:szCs w:val="22"/>
              </w:rPr>
              <w:t xml:space="preserve"> г.</w:t>
            </w:r>
          </w:p>
        </w:tc>
        <w:tc>
          <w:tcPr>
            <w:tcW w:w="1276" w:type="dxa"/>
            <w:shd w:val="clear" w:color="000000" w:fill="4F81BD"/>
            <w:noWrap/>
            <w:vAlign w:val="bottom"/>
            <w:hideMark/>
          </w:tcPr>
          <w:p w:rsidR="00146699" w:rsidRPr="00A90328" w:rsidRDefault="00146699" w:rsidP="00146699">
            <w:pPr>
              <w:widowControl/>
              <w:jc w:val="center"/>
              <w:rPr>
                <w:color w:val="FFFFFF"/>
                <w:szCs w:val="22"/>
              </w:rPr>
            </w:pPr>
            <w:r w:rsidRPr="00A90328">
              <w:rPr>
                <w:color w:val="FFFFFF"/>
                <w:szCs w:val="22"/>
              </w:rPr>
              <w:t>%</w:t>
            </w:r>
          </w:p>
        </w:tc>
        <w:tc>
          <w:tcPr>
            <w:tcW w:w="1559" w:type="dxa"/>
            <w:shd w:val="clear" w:color="000000" w:fill="4F81BD"/>
            <w:noWrap/>
            <w:vAlign w:val="center"/>
            <w:hideMark/>
          </w:tcPr>
          <w:p w:rsidR="00146699" w:rsidRPr="00A90328" w:rsidRDefault="00146699" w:rsidP="00146699">
            <w:pPr>
              <w:widowControl/>
              <w:jc w:val="center"/>
              <w:rPr>
                <w:color w:val="FFFFFF"/>
                <w:szCs w:val="22"/>
              </w:rPr>
            </w:pPr>
            <w:r w:rsidRPr="00A90328">
              <w:rPr>
                <w:color w:val="FFFFFF"/>
                <w:szCs w:val="22"/>
              </w:rPr>
              <w:t>абсол. ст-ст</w:t>
            </w:r>
          </w:p>
        </w:tc>
      </w:tr>
      <w:tr w:rsidR="00A90328" w:rsidRPr="00A90328" w:rsidTr="00BE3033">
        <w:trPr>
          <w:trHeight w:val="170"/>
          <w:jc w:val="center"/>
        </w:trPr>
        <w:tc>
          <w:tcPr>
            <w:tcW w:w="3592" w:type="dxa"/>
            <w:shd w:val="clear" w:color="auto" w:fill="auto"/>
            <w:noWrap/>
            <w:vAlign w:val="bottom"/>
            <w:hideMark/>
          </w:tcPr>
          <w:p w:rsidR="00A90328" w:rsidRPr="00A90328" w:rsidRDefault="00A90328" w:rsidP="00146699">
            <w:pPr>
              <w:widowControl/>
              <w:jc w:val="left"/>
              <w:rPr>
                <w:color w:val="000000"/>
                <w:szCs w:val="22"/>
              </w:rPr>
            </w:pPr>
            <w:r w:rsidRPr="00A90328">
              <w:rPr>
                <w:color w:val="000000"/>
                <w:szCs w:val="22"/>
              </w:rPr>
              <w:t>Пазари на акции без АДСИЦ</w:t>
            </w:r>
          </w:p>
        </w:tc>
        <w:tc>
          <w:tcPr>
            <w:tcW w:w="1561"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26 701 997 825</w:t>
            </w:r>
          </w:p>
        </w:tc>
        <w:tc>
          <w:tcPr>
            <w:tcW w:w="1718"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25 004 978 670</w:t>
            </w:r>
          </w:p>
        </w:tc>
        <w:tc>
          <w:tcPr>
            <w:tcW w:w="1276"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-6</w:t>
            </w:r>
            <w:r w:rsidRPr="00A90328">
              <w:rPr>
                <w:color w:val="000000"/>
                <w:szCs w:val="22"/>
              </w:rPr>
              <w:t>,</w:t>
            </w:r>
            <w:r w:rsidRPr="00A90328">
              <w:rPr>
                <w:color w:val="000000"/>
                <w:szCs w:val="22"/>
                <w:lang w:val="en-US"/>
              </w:rPr>
              <w:t>36%</w:t>
            </w:r>
          </w:p>
        </w:tc>
        <w:tc>
          <w:tcPr>
            <w:tcW w:w="1559"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-1 697 019 154</w:t>
            </w:r>
          </w:p>
        </w:tc>
      </w:tr>
      <w:tr w:rsidR="00A90328" w:rsidRPr="00A90328" w:rsidTr="00BE3033">
        <w:trPr>
          <w:trHeight w:val="170"/>
          <w:jc w:val="center"/>
        </w:trPr>
        <w:tc>
          <w:tcPr>
            <w:tcW w:w="3592" w:type="dxa"/>
            <w:shd w:val="clear" w:color="auto" w:fill="auto"/>
            <w:noWrap/>
            <w:vAlign w:val="bottom"/>
            <w:hideMark/>
          </w:tcPr>
          <w:p w:rsidR="00A90328" w:rsidRPr="00A90328" w:rsidRDefault="00A90328" w:rsidP="00146699">
            <w:pPr>
              <w:widowControl/>
              <w:jc w:val="left"/>
              <w:rPr>
                <w:color w:val="000000"/>
                <w:szCs w:val="22"/>
              </w:rPr>
            </w:pPr>
            <w:r w:rsidRPr="00A90328">
              <w:rPr>
                <w:color w:val="000000"/>
                <w:szCs w:val="22"/>
              </w:rPr>
              <w:t>Пазар на АДСИЦ</w:t>
            </w:r>
          </w:p>
        </w:tc>
        <w:tc>
          <w:tcPr>
            <w:tcW w:w="1561"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1 202 538 971</w:t>
            </w:r>
          </w:p>
        </w:tc>
        <w:tc>
          <w:tcPr>
            <w:tcW w:w="1718"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1 230 526 904</w:t>
            </w:r>
          </w:p>
        </w:tc>
        <w:tc>
          <w:tcPr>
            <w:tcW w:w="1276"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2</w:t>
            </w:r>
            <w:r w:rsidRPr="00A90328">
              <w:rPr>
                <w:color w:val="000000"/>
                <w:szCs w:val="22"/>
              </w:rPr>
              <w:t>,</w:t>
            </w:r>
            <w:r w:rsidRPr="00A90328">
              <w:rPr>
                <w:color w:val="000000"/>
                <w:szCs w:val="22"/>
                <w:lang w:val="en-US"/>
              </w:rPr>
              <w:t>33%</w:t>
            </w:r>
          </w:p>
        </w:tc>
        <w:tc>
          <w:tcPr>
            <w:tcW w:w="1559" w:type="dxa"/>
            <w:shd w:val="clear" w:color="auto" w:fill="auto"/>
            <w:noWrap/>
            <w:vAlign w:val="bottom"/>
            <w:hideMark/>
          </w:tcPr>
          <w:p w:rsidR="00A90328" w:rsidRPr="00A90328" w:rsidRDefault="00A90328" w:rsidP="00F3551F">
            <w:pPr>
              <w:widowControl/>
              <w:jc w:val="right"/>
              <w:rPr>
                <w:color w:val="000000"/>
                <w:szCs w:val="22"/>
                <w:lang w:val="en-US"/>
              </w:rPr>
            </w:pPr>
            <w:r w:rsidRPr="00A90328">
              <w:rPr>
                <w:color w:val="000000"/>
                <w:szCs w:val="22"/>
                <w:lang w:val="en-US"/>
              </w:rPr>
              <w:t>27 987 932</w:t>
            </w:r>
          </w:p>
        </w:tc>
      </w:tr>
      <w:tr w:rsidR="00A90328" w:rsidRPr="00F55B63" w:rsidTr="00BE3033">
        <w:trPr>
          <w:trHeight w:val="170"/>
          <w:jc w:val="center"/>
        </w:trPr>
        <w:tc>
          <w:tcPr>
            <w:tcW w:w="3592" w:type="dxa"/>
            <w:shd w:val="clear" w:color="auto" w:fill="auto"/>
            <w:noWrap/>
            <w:vAlign w:val="bottom"/>
            <w:hideMark/>
          </w:tcPr>
          <w:p w:rsidR="00A90328" w:rsidRPr="00A90328" w:rsidRDefault="00A90328" w:rsidP="00146699">
            <w:pPr>
              <w:widowControl/>
              <w:jc w:val="left"/>
              <w:rPr>
                <w:b/>
                <w:bCs/>
                <w:color w:val="000000"/>
                <w:szCs w:val="22"/>
              </w:rPr>
            </w:pPr>
            <w:r w:rsidRPr="00A90328">
              <w:rPr>
                <w:b/>
                <w:bCs/>
                <w:color w:val="000000"/>
                <w:szCs w:val="22"/>
              </w:rPr>
              <w:t>Обща пазарна капитализация</w:t>
            </w:r>
          </w:p>
        </w:tc>
        <w:tc>
          <w:tcPr>
            <w:tcW w:w="1561" w:type="dxa"/>
            <w:shd w:val="clear" w:color="auto" w:fill="auto"/>
            <w:noWrap/>
            <w:vAlign w:val="bottom"/>
            <w:hideMark/>
          </w:tcPr>
          <w:p w:rsidR="00A90328" w:rsidRPr="00A90328" w:rsidRDefault="00A90328" w:rsidP="00F3551F">
            <w:pPr>
              <w:widowControl/>
              <w:jc w:val="right"/>
              <w:rPr>
                <w:b/>
                <w:bCs/>
                <w:color w:val="000000"/>
                <w:szCs w:val="22"/>
                <w:lang w:val="en-US"/>
              </w:rPr>
            </w:pPr>
            <w:r w:rsidRPr="00A90328">
              <w:rPr>
                <w:b/>
                <w:bCs/>
                <w:color w:val="000000"/>
                <w:szCs w:val="22"/>
                <w:lang w:val="en-US"/>
              </w:rPr>
              <w:t>27 904 536 796</w:t>
            </w:r>
          </w:p>
        </w:tc>
        <w:tc>
          <w:tcPr>
            <w:tcW w:w="1718" w:type="dxa"/>
            <w:shd w:val="clear" w:color="auto" w:fill="auto"/>
            <w:noWrap/>
            <w:vAlign w:val="bottom"/>
            <w:hideMark/>
          </w:tcPr>
          <w:p w:rsidR="00A90328" w:rsidRPr="00A90328" w:rsidRDefault="00A90328" w:rsidP="00F3551F">
            <w:pPr>
              <w:widowControl/>
              <w:jc w:val="right"/>
              <w:rPr>
                <w:b/>
                <w:bCs/>
                <w:color w:val="000000"/>
                <w:szCs w:val="22"/>
                <w:lang w:val="en-US"/>
              </w:rPr>
            </w:pPr>
            <w:r w:rsidRPr="00A90328">
              <w:rPr>
                <w:b/>
                <w:bCs/>
                <w:color w:val="000000"/>
                <w:szCs w:val="22"/>
                <w:lang w:val="en-US"/>
              </w:rPr>
              <w:t>26 235 505 574</w:t>
            </w:r>
          </w:p>
        </w:tc>
        <w:tc>
          <w:tcPr>
            <w:tcW w:w="1276" w:type="dxa"/>
            <w:shd w:val="clear" w:color="auto" w:fill="auto"/>
            <w:noWrap/>
            <w:vAlign w:val="bottom"/>
            <w:hideMark/>
          </w:tcPr>
          <w:p w:rsidR="00A90328" w:rsidRPr="00A90328" w:rsidRDefault="00A90328" w:rsidP="00F3551F">
            <w:pPr>
              <w:widowControl/>
              <w:jc w:val="right"/>
              <w:rPr>
                <w:b/>
                <w:bCs/>
                <w:color w:val="000000"/>
                <w:szCs w:val="22"/>
                <w:lang w:val="en-US"/>
              </w:rPr>
            </w:pPr>
            <w:r w:rsidRPr="00A90328">
              <w:rPr>
                <w:b/>
                <w:bCs/>
                <w:color w:val="000000"/>
                <w:szCs w:val="22"/>
                <w:lang w:val="en-US"/>
              </w:rPr>
              <w:t>-5</w:t>
            </w:r>
            <w:r w:rsidRPr="00A90328">
              <w:rPr>
                <w:b/>
                <w:bCs/>
                <w:color w:val="000000"/>
                <w:szCs w:val="22"/>
              </w:rPr>
              <w:t>,</w:t>
            </w:r>
            <w:r w:rsidRPr="00A90328">
              <w:rPr>
                <w:b/>
                <w:bCs/>
                <w:color w:val="000000"/>
                <w:szCs w:val="22"/>
                <w:lang w:val="en-US"/>
              </w:rPr>
              <w:t>98%</w:t>
            </w:r>
          </w:p>
        </w:tc>
        <w:tc>
          <w:tcPr>
            <w:tcW w:w="1559" w:type="dxa"/>
            <w:shd w:val="clear" w:color="auto" w:fill="auto"/>
            <w:noWrap/>
            <w:vAlign w:val="bottom"/>
            <w:hideMark/>
          </w:tcPr>
          <w:p w:rsidR="00A90328" w:rsidRPr="00182184" w:rsidRDefault="00A90328" w:rsidP="00F3551F">
            <w:pPr>
              <w:widowControl/>
              <w:jc w:val="right"/>
              <w:rPr>
                <w:b/>
                <w:color w:val="000000"/>
                <w:szCs w:val="22"/>
                <w:lang w:val="en-US"/>
              </w:rPr>
            </w:pPr>
            <w:r w:rsidRPr="00A90328">
              <w:rPr>
                <w:b/>
                <w:color w:val="000000"/>
                <w:szCs w:val="22"/>
                <w:lang w:val="en-US"/>
              </w:rPr>
              <w:t>-1 669 031 222</w:t>
            </w:r>
          </w:p>
        </w:tc>
      </w:tr>
    </w:tbl>
    <w:p w:rsidR="00146699" w:rsidRPr="00A90328" w:rsidRDefault="00FB3755" w:rsidP="00974E1B">
      <w:pPr>
        <w:tabs>
          <w:tab w:val="left" w:pos="360"/>
        </w:tabs>
        <w:spacing w:before="240"/>
        <w:rPr>
          <w:rFonts w:cs="Calibri"/>
          <w:b/>
          <w:sz w:val="20"/>
          <w:szCs w:val="20"/>
        </w:rPr>
      </w:pPr>
      <w:r w:rsidRPr="00A90328">
        <w:rPr>
          <w:rFonts w:cs="Calibri"/>
          <w:b/>
          <w:sz w:val="20"/>
          <w:szCs w:val="20"/>
        </w:rPr>
        <w:t>Таблица 9: Пазарна капитализация по пазарни сегменти (сравнение)</w:t>
      </w:r>
    </w:p>
    <w:tbl>
      <w:tblPr>
        <w:tblW w:w="9711" w:type="dxa"/>
        <w:jc w:val="center"/>
        <w:tblCellMar>
          <w:left w:w="70" w:type="dxa"/>
          <w:right w:w="70" w:type="dxa"/>
        </w:tblCellMar>
        <w:tblLook w:val="04A0"/>
      </w:tblPr>
      <w:tblGrid>
        <w:gridCol w:w="3000"/>
        <w:gridCol w:w="837"/>
        <w:gridCol w:w="1701"/>
        <w:gridCol w:w="1559"/>
        <w:gridCol w:w="1134"/>
        <w:gridCol w:w="1480"/>
      </w:tblGrid>
      <w:tr w:rsidR="00146699" w:rsidRPr="00A90328" w:rsidTr="00146699">
        <w:trPr>
          <w:trHeight w:val="170"/>
          <w:jc w:val="center"/>
        </w:trPr>
        <w:tc>
          <w:tcPr>
            <w:tcW w:w="3000"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A90328" w:rsidRDefault="00146699" w:rsidP="00146699">
            <w:pPr>
              <w:widowControl/>
              <w:jc w:val="left"/>
              <w:rPr>
                <w:color w:val="FFFFFF"/>
                <w:szCs w:val="22"/>
              </w:rPr>
            </w:pPr>
            <w:r w:rsidRPr="00A90328">
              <w:rPr>
                <w:color w:val="FFFFFF"/>
                <w:szCs w:val="22"/>
              </w:rPr>
              <w:t> </w:t>
            </w:r>
          </w:p>
        </w:tc>
        <w:tc>
          <w:tcPr>
            <w:tcW w:w="837"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146699" w:rsidRPr="00A90328" w:rsidRDefault="00146699" w:rsidP="00146699">
            <w:pPr>
              <w:widowControl/>
              <w:jc w:val="left"/>
              <w:rPr>
                <w:color w:val="FFFFFF"/>
                <w:szCs w:val="22"/>
              </w:rPr>
            </w:pPr>
            <w:r w:rsidRPr="00A90328">
              <w:rPr>
                <w:color w:val="FFFFFF"/>
                <w:szCs w:val="22"/>
              </w:rPr>
              <w:t> </w:t>
            </w:r>
          </w:p>
        </w:tc>
        <w:tc>
          <w:tcPr>
            <w:tcW w:w="1701"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146699">
            <w:pPr>
              <w:widowControl/>
              <w:jc w:val="right"/>
              <w:rPr>
                <w:color w:val="FFFFFF"/>
                <w:szCs w:val="22"/>
              </w:rPr>
            </w:pPr>
            <w:r w:rsidRPr="00A90328">
              <w:rPr>
                <w:color w:val="FFFFFF"/>
                <w:szCs w:val="22"/>
              </w:rPr>
              <w:t>Капитализация</w:t>
            </w:r>
          </w:p>
        </w:tc>
        <w:tc>
          <w:tcPr>
            <w:tcW w:w="1559"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146699">
            <w:pPr>
              <w:widowControl/>
              <w:jc w:val="left"/>
              <w:rPr>
                <w:color w:val="FFFFFF"/>
                <w:szCs w:val="22"/>
              </w:rPr>
            </w:pPr>
            <w:r w:rsidRPr="00A90328">
              <w:rPr>
                <w:color w:val="FFFFFF"/>
                <w:szCs w:val="22"/>
              </w:rPr>
              <w:t xml:space="preserve"> (BGN)</w:t>
            </w:r>
          </w:p>
        </w:tc>
        <w:tc>
          <w:tcPr>
            <w:tcW w:w="1134"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146699">
            <w:pPr>
              <w:widowControl/>
              <w:jc w:val="center"/>
              <w:rPr>
                <w:color w:val="FFFFFF"/>
                <w:szCs w:val="22"/>
              </w:rPr>
            </w:pPr>
          </w:p>
        </w:tc>
        <w:tc>
          <w:tcPr>
            <w:tcW w:w="148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146699">
            <w:pPr>
              <w:widowControl/>
              <w:jc w:val="center"/>
              <w:rPr>
                <w:color w:val="FFFFFF"/>
                <w:szCs w:val="22"/>
              </w:rPr>
            </w:pPr>
            <w:r w:rsidRPr="00A90328">
              <w:rPr>
                <w:color w:val="FFFFFF"/>
                <w:szCs w:val="22"/>
              </w:rPr>
              <w:t>Промяна</w:t>
            </w:r>
          </w:p>
        </w:tc>
      </w:tr>
      <w:tr w:rsidR="00146699"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146699" w:rsidRPr="00A90328" w:rsidRDefault="00146699" w:rsidP="00146699">
            <w:pPr>
              <w:widowControl/>
              <w:jc w:val="left"/>
              <w:rPr>
                <w:color w:val="FFFFFF"/>
                <w:szCs w:val="22"/>
              </w:rPr>
            </w:pPr>
            <w:r w:rsidRPr="00A90328">
              <w:rPr>
                <w:color w:val="FFFFFF"/>
                <w:szCs w:val="22"/>
              </w:rPr>
              <w:t>Пазарен сегмент</w:t>
            </w:r>
          </w:p>
        </w:tc>
        <w:tc>
          <w:tcPr>
            <w:tcW w:w="837" w:type="dxa"/>
            <w:tcBorders>
              <w:top w:val="nil"/>
              <w:left w:val="nil"/>
              <w:bottom w:val="single" w:sz="4" w:space="0" w:color="auto"/>
              <w:right w:val="single" w:sz="4" w:space="0" w:color="auto"/>
            </w:tcBorders>
            <w:shd w:val="clear" w:color="000000" w:fill="4F81BD"/>
            <w:noWrap/>
            <w:tcMar>
              <w:left w:w="28" w:type="dxa"/>
              <w:right w:w="28" w:type="dxa"/>
            </w:tcMar>
            <w:vAlign w:val="center"/>
            <w:hideMark/>
          </w:tcPr>
          <w:p w:rsidR="00146699" w:rsidRPr="00A90328" w:rsidRDefault="00146699" w:rsidP="00146699">
            <w:pPr>
              <w:widowControl/>
              <w:jc w:val="left"/>
              <w:rPr>
                <w:color w:val="FFFFFF"/>
                <w:szCs w:val="22"/>
              </w:rPr>
            </w:pPr>
            <w:r w:rsidRPr="00A90328">
              <w:rPr>
                <w:color w:val="FFFFFF"/>
                <w:szCs w:val="22"/>
              </w:rPr>
              <w:t>пазар</w:t>
            </w:r>
          </w:p>
        </w:tc>
        <w:tc>
          <w:tcPr>
            <w:tcW w:w="1701"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A90328">
            <w:pPr>
              <w:widowControl/>
              <w:jc w:val="right"/>
              <w:rPr>
                <w:color w:val="FFFFFF"/>
                <w:szCs w:val="22"/>
              </w:rPr>
            </w:pPr>
            <w:r w:rsidRPr="00A90328">
              <w:rPr>
                <w:color w:val="FFFFFF"/>
                <w:szCs w:val="22"/>
              </w:rPr>
              <w:t>31.12.201</w:t>
            </w:r>
            <w:r w:rsidR="00A90328">
              <w:rPr>
                <w:color w:val="FFFFFF"/>
                <w:szCs w:val="22"/>
              </w:rPr>
              <w:t>9</w:t>
            </w:r>
            <w:r w:rsidRPr="00A90328">
              <w:rPr>
                <w:color w:val="FFFFFF"/>
                <w:szCs w:val="22"/>
              </w:rPr>
              <w:t xml:space="preserve"> г.</w:t>
            </w:r>
          </w:p>
        </w:tc>
        <w:tc>
          <w:tcPr>
            <w:tcW w:w="1559"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A90328">
            <w:pPr>
              <w:widowControl/>
              <w:jc w:val="right"/>
              <w:rPr>
                <w:color w:val="FFFFFF"/>
                <w:szCs w:val="22"/>
              </w:rPr>
            </w:pPr>
            <w:r w:rsidRPr="00A90328">
              <w:rPr>
                <w:color w:val="FFFFFF"/>
                <w:szCs w:val="22"/>
              </w:rPr>
              <w:t>31.03.20</w:t>
            </w:r>
            <w:r w:rsidR="00A90328">
              <w:rPr>
                <w:color w:val="FFFFFF"/>
                <w:szCs w:val="22"/>
              </w:rPr>
              <w:t>20</w:t>
            </w:r>
            <w:r w:rsidRPr="00A90328">
              <w:rPr>
                <w:color w:val="FFFFFF"/>
                <w:szCs w:val="22"/>
              </w:rPr>
              <w:t xml:space="preserve"> г.</w:t>
            </w:r>
          </w:p>
        </w:tc>
        <w:tc>
          <w:tcPr>
            <w:tcW w:w="1134"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146699" w:rsidRPr="00A90328" w:rsidRDefault="00146699" w:rsidP="00146699">
            <w:pPr>
              <w:widowControl/>
              <w:jc w:val="center"/>
              <w:rPr>
                <w:color w:val="FFFFFF"/>
                <w:szCs w:val="22"/>
              </w:rPr>
            </w:pPr>
            <w:r w:rsidRPr="00A90328">
              <w:rPr>
                <w:color w:val="FFFFFF"/>
                <w:szCs w:val="22"/>
              </w:rPr>
              <w:t>%</w:t>
            </w:r>
          </w:p>
        </w:tc>
        <w:tc>
          <w:tcPr>
            <w:tcW w:w="1480" w:type="dxa"/>
            <w:tcBorders>
              <w:top w:val="nil"/>
              <w:left w:val="nil"/>
              <w:bottom w:val="single" w:sz="4" w:space="0" w:color="auto"/>
              <w:right w:val="single" w:sz="4" w:space="0" w:color="auto"/>
            </w:tcBorders>
            <w:shd w:val="clear" w:color="000000" w:fill="4F81BD"/>
            <w:noWrap/>
            <w:tcMar>
              <w:left w:w="28" w:type="dxa"/>
              <w:right w:w="28" w:type="dxa"/>
            </w:tcMar>
            <w:vAlign w:val="center"/>
            <w:hideMark/>
          </w:tcPr>
          <w:p w:rsidR="00146699" w:rsidRPr="00A90328" w:rsidRDefault="00146699" w:rsidP="00146699">
            <w:pPr>
              <w:widowControl/>
              <w:jc w:val="center"/>
              <w:rPr>
                <w:color w:val="FFFFFF"/>
                <w:szCs w:val="22"/>
              </w:rPr>
            </w:pPr>
            <w:r w:rsidRPr="00A90328">
              <w:rPr>
                <w:color w:val="FFFFFF"/>
                <w:szCs w:val="22"/>
              </w:rPr>
              <w:t>абсол. ст-ст</w:t>
            </w:r>
          </w:p>
        </w:tc>
      </w:tr>
      <w:tr w:rsidR="00A90328"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Сегмент акции Premium</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1 796 413 436</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1 184 674 342</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-34,05%</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-611 739 094</w:t>
            </w:r>
          </w:p>
        </w:tc>
      </w:tr>
      <w:tr w:rsidR="00A90328"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Сегмент акции Standard</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6 314 927 201</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5 701 140 919</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-9,72%</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-613 786 281</w:t>
            </w:r>
          </w:p>
        </w:tc>
      </w:tr>
      <w:tr w:rsidR="00A90328"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Сегмент АДСИЦ</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786 013 126</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744 102 312</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-5,33%</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-41 910 814</w:t>
            </w:r>
          </w:p>
        </w:tc>
      </w:tr>
      <w:tr w:rsidR="00A90328"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 xml:space="preserve">Сегмент акции </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BaSE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18 590 657 188</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18 119 163 409</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-2,54%</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-471 493 779</w:t>
            </w:r>
          </w:p>
        </w:tc>
      </w:tr>
      <w:tr w:rsidR="00A90328" w:rsidRPr="00A90328" w:rsidTr="00146699">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Сегмент АДСИЦ</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A90328" w:rsidRPr="00A90328" w:rsidRDefault="00A90328" w:rsidP="00146699">
            <w:pPr>
              <w:widowControl/>
              <w:jc w:val="left"/>
              <w:rPr>
                <w:color w:val="000000"/>
                <w:szCs w:val="22"/>
              </w:rPr>
            </w:pPr>
            <w:r w:rsidRPr="00A90328">
              <w:rPr>
                <w:color w:val="000000"/>
                <w:szCs w:val="22"/>
              </w:rPr>
              <w:t>BaSE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416 525 845</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486 424 592</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16,78%</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color w:val="000000"/>
                <w:szCs w:val="22"/>
              </w:rPr>
            </w:pPr>
            <w:r>
              <w:rPr>
                <w:color w:val="000000"/>
                <w:szCs w:val="22"/>
              </w:rPr>
              <w:t>69 898 746</w:t>
            </w:r>
          </w:p>
        </w:tc>
      </w:tr>
      <w:tr w:rsidR="00A90328" w:rsidRPr="00F55B63" w:rsidTr="00146699">
        <w:trPr>
          <w:trHeight w:val="170"/>
          <w:jc w:val="center"/>
        </w:trPr>
        <w:tc>
          <w:tcPr>
            <w:tcW w:w="3000" w:type="dxa"/>
            <w:tcBorders>
              <w:top w:val="nil"/>
              <w:left w:val="nil"/>
              <w:bottom w:val="nil"/>
              <w:right w:val="nil"/>
            </w:tcBorders>
            <w:shd w:val="clear" w:color="auto" w:fill="auto"/>
            <w:noWrap/>
            <w:tcMar>
              <w:left w:w="28" w:type="dxa"/>
              <w:right w:w="28" w:type="dxa"/>
            </w:tcMar>
            <w:vAlign w:val="bottom"/>
            <w:hideMark/>
          </w:tcPr>
          <w:p w:rsidR="00A90328" w:rsidRPr="00A90328" w:rsidRDefault="00A90328" w:rsidP="00146699">
            <w:pPr>
              <w:widowControl/>
              <w:jc w:val="left"/>
              <w:rPr>
                <w:color w:val="000000"/>
                <w:szCs w:val="22"/>
              </w:rPr>
            </w:pPr>
          </w:p>
        </w:tc>
        <w:tc>
          <w:tcPr>
            <w:tcW w:w="837" w:type="dxa"/>
            <w:tcBorders>
              <w:top w:val="nil"/>
              <w:left w:val="nil"/>
              <w:bottom w:val="nil"/>
              <w:right w:val="nil"/>
            </w:tcBorders>
            <w:shd w:val="clear" w:color="auto" w:fill="auto"/>
            <w:noWrap/>
            <w:tcMar>
              <w:left w:w="28" w:type="dxa"/>
              <w:right w:w="28" w:type="dxa"/>
            </w:tcMar>
            <w:vAlign w:val="bottom"/>
            <w:hideMark/>
          </w:tcPr>
          <w:p w:rsidR="00A90328" w:rsidRPr="00A90328" w:rsidRDefault="00A90328" w:rsidP="00146699">
            <w:pPr>
              <w:widowControl/>
              <w:jc w:val="left"/>
              <w:rPr>
                <w:color w:val="000000"/>
                <w:szCs w:val="22"/>
              </w:rPr>
            </w:pPr>
          </w:p>
        </w:tc>
        <w:tc>
          <w:tcPr>
            <w:tcW w:w="170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b/>
                <w:bCs/>
                <w:color w:val="000000"/>
                <w:szCs w:val="22"/>
              </w:rPr>
            </w:pPr>
            <w:r>
              <w:rPr>
                <w:b/>
                <w:bCs/>
                <w:color w:val="000000"/>
                <w:szCs w:val="22"/>
                <w:lang w:val="en-US"/>
              </w:rPr>
              <w:t>27 904 536 796</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b/>
                <w:bCs/>
                <w:color w:val="000000"/>
                <w:szCs w:val="22"/>
              </w:rPr>
            </w:pPr>
            <w:r>
              <w:rPr>
                <w:b/>
                <w:bCs/>
                <w:color w:val="000000"/>
                <w:szCs w:val="22"/>
              </w:rPr>
              <w:t>26 235 505 574</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b/>
                <w:color w:val="000000"/>
                <w:szCs w:val="22"/>
              </w:rPr>
            </w:pPr>
            <w:r w:rsidRPr="00182184">
              <w:rPr>
                <w:b/>
                <w:color w:val="000000"/>
                <w:szCs w:val="22"/>
              </w:rPr>
              <w:t>-5,98%</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A90328" w:rsidRPr="00182184" w:rsidRDefault="00A90328" w:rsidP="00F3551F">
            <w:pPr>
              <w:widowControl/>
              <w:jc w:val="right"/>
              <w:rPr>
                <w:b/>
                <w:color w:val="000000"/>
                <w:szCs w:val="22"/>
              </w:rPr>
            </w:pPr>
            <w:r>
              <w:rPr>
                <w:b/>
                <w:color w:val="000000"/>
                <w:szCs w:val="22"/>
              </w:rPr>
              <w:t>-1 669 031 222</w:t>
            </w:r>
          </w:p>
        </w:tc>
      </w:tr>
    </w:tbl>
    <w:p w:rsidR="00146699" w:rsidRPr="00A90328" w:rsidRDefault="00FB3755" w:rsidP="00974E1B">
      <w:pPr>
        <w:pStyle w:val="a1"/>
        <w:tabs>
          <w:tab w:val="left" w:pos="360"/>
        </w:tabs>
        <w:spacing w:before="240"/>
        <w:jc w:val="both"/>
        <w:rPr>
          <w:rFonts w:cs="Calibri"/>
          <w:b/>
          <w:i w:val="0"/>
          <w:szCs w:val="20"/>
        </w:rPr>
      </w:pPr>
      <w:r w:rsidRPr="00A90328">
        <w:rPr>
          <w:rFonts w:cs="Calibri"/>
          <w:b/>
          <w:i w:val="0"/>
          <w:szCs w:val="20"/>
        </w:rPr>
        <w:t>Таблица 10. Пазарна капитализация / Брутен вътрешен продукт</w:t>
      </w:r>
    </w:p>
    <w:tbl>
      <w:tblPr>
        <w:tblW w:w="85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tblPr>
      <w:tblGrid>
        <w:gridCol w:w="3480"/>
        <w:gridCol w:w="1275"/>
        <w:gridCol w:w="1276"/>
        <w:gridCol w:w="1276"/>
        <w:gridCol w:w="1276"/>
      </w:tblGrid>
      <w:tr w:rsidR="00A90328" w:rsidRPr="00A90328" w:rsidTr="00146699">
        <w:trPr>
          <w:trHeight w:val="170"/>
          <w:jc w:val="center"/>
        </w:trPr>
        <w:tc>
          <w:tcPr>
            <w:tcW w:w="3480" w:type="dxa"/>
            <w:shd w:val="clear" w:color="auto" w:fill="4F81BD" w:themeFill="accent1"/>
          </w:tcPr>
          <w:p w:rsidR="00A90328" w:rsidRPr="00A90328" w:rsidRDefault="00A90328" w:rsidP="00146699">
            <w:pPr>
              <w:widowControl/>
              <w:autoSpaceDE w:val="0"/>
              <w:autoSpaceDN w:val="0"/>
              <w:adjustRightInd w:val="0"/>
              <w:jc w:val="left"/>
              <w:rPr>
                <w:rFonts w:cs="Calibri"/>
                <w:color w:val="FFFFFF" w:themeColor="background1"/>
                <w:szCs w:val="22"/>
              </w:rPr>
            </w:pPr>
          </w:p>
        </w:tc>
        <w:tc>
          <w:tcPr>
            <w:tcW w:w="1275" w:type="dxa"/>
            <w:shd w:val="clear" w:color="auto" w:fill="4F81BD" w:themeFill="accent1"/>
          </w:tcPr>
          <w:p w:rsidR="00A90328" w:rsidRPr="00182184" w:rsidRDefault="00A90328" w:rsidP="00F3551F">
            <w:pPr>
              <w:widowControl/>
              <w:autoSpaceDE w:val="0"/>
              <w:autoSpaceDN w:val="0"/>
              <w:adjustRightInd w:val="0"/>
              <w:jc w:val="center"/>
              <w:rPr>
                <w:rFonts w:cs="Calibri"/>
                <w:color w:val="FFFFFF" w:themeColor="background1"/>
                <w:szCs w:val="22"/>
              </w:rPr>
            </w:pPr>
            <w:r w:rsidRPr="00182184">
              <w:rPr>
                <w:rFonts w:cs="Calibri"/>
                <w:color w:val="FFFFFF" w:themeColor="background1"/>
                <w:szCs w:val="22"/>
              </w:rPr>
              <w:t>31.12.201</w:t>
            </w:r>
            <w:r>
              <w:rPr>
                <w:rFonts w:cs="Calibri"/>
                <w:color w:val="FFFFFF" w:themeColor="background1"/>
                <w:szCs w:val="22"/>
              </w:rPr>
              <w:t>7</w:t>
            </w:r>
          </w:p>
        </w:tc>
        <w:tc>
          <w:tcPr>
            <w:tcW w:w="1276" w:type="dxa"/>
            <w:shd w:val="clear" w:color="auto" w:fill="4F81BD" w:themeFill="accent1"/>
          </w:tcPr>
          <w:p w:rsidR="00A90328" w:rsidRPr="00182184" w:rsidRDefault="00A90328" w:rsidP="00F3551F">
            <w:pPr>
              <w:widowControl/>
              <w:autoSpaceDE w:val="0"/>
              <w:autoSpaceDN w:val="0"/>
              <w:adjustRightInd w:val="0"/>
              <w:jc w:val="center"/>
              <w:rPr>
                <w:rFonts w:cs="Calibri"/>
                <w:color w:val="FFFFFF" w:themeColor="background1"/>
                <w:szCs w:val="22"/>
              </w:rPr>
            </w:pPr>
            <w:r w:rsidRPr="00182184">
              <w:rPr>
                <w:rFonts w:cs="Calibri"/>
                <w:color w:val="FFFFFF" w:themeColor="background1"/>
                <w:szCs w:val="22"/>
              </w:rPr>
              <w:t>31.12.201</w:t>
            </w:r>
            <w:r>
              <w:rPr>
                <w:rFonts w:cs="Calibri"/>
                <w:color w:val="FFFFFF" w:themeColor="background1"/>
                <w:szCs w:val="22"/>
              </w:rPr>
              <w:t>8</w:t>
            </w:r>
          </w:p>
        </w:tc>
        <w:tc>
          <w:tcPr>
            <w:tcW w:w="1276" w:type="dxa"/>
            <w:shd w:val="clear" w:color="auto" w:fill="4F81BD" w:themeFill="accent1"/>
            <w:vAlign w:val="center"/>
          </w:tcPr>
          <w:p w:rsidR="00A90328" w:rsidRPr="00182184" w:rsidRDefault="00A90328" w:rsidP="00F3551F">
            <w:pPr>
              <w:widowControl/>
              <w:jc w:val="center"/>
              <w:rPr>
                <w:rFonts w:cs="Calibri"/>
                <w:color w:val="FFFFFF"/>
                <w:szCs w:val="22"/>
              </w:rPr>
            </w:pPr>
            <w:r w:rsidRPr="00182184">
              <w:rPr>
                <w:rFonts w:cs="Calibri"/>
                <w:color w:val="FFFFFF"/>
                <w:szCs w:val="22"/>
              </w:rPr>
              <w:t>31.12.201</w:t>
            </w:r>
            <w:r>
              <w:rPr>
                <w:rFonts w:cs="Calibri"/>
                <w:color w:val="FFFFFF"/>
                <w:szCs w:val="22"/>
              </w:rPr>
              <w:t>9</w:t>
            </w:r>
          </w:p>
        </w:tc>
        <w:tc>
          <w:tcPr>
            <w:tcW w:w="1276" w:type="dxa"/>
            <w:shd w:val="clear" w:color="auto" w:fill="4F81BD" w:themeFill="accent1"/>
            <w:vAlign w:val="center"/>
          </w:tcPr>
          <w:p w:rsidR="00A90328" w:rsidRPr="00182184" w:rsidRDefault="00A90328" w:rsidP="00F3551F">
            <w:pPr>
              <w:widowControl/>
              <w:jc w:val="center"/>
              <w:rPr>
                <w:rFonts w:cs="Calibri"/>
                <w:color w:val="FFFFFF"/>
                <w:szCs w:val="22"/>
              </w:rPr>
            </w:pPr>
            <w:r w:rsidRPr="00182184">
              <w:rPr>
                <w:rFonts w:cs="Calibri"/>
                <w:color w:val="FFFFFF"/>
                <w:szCs w:val="22"/>
              </w:rPr>
              <w:t>31.3.20</w:t>
            </w:r>
            <w:r>
              <w:rPr>
                <w:rFonts w:cs="Calibri"/>
                <w:color w:val="FFFFFF"/>
                <w:szCs w:val="22"/>
              </w:rPr>
              <w:t>20</w:t>
            </w:r>
          </w:p>
        </w:tc>
      </w:tr>
      <w:tr w:rsidR="00A90328" w:rsidRPr="00A90328" w:rsidTr="00F3551F">
        <w:trPr>
          <w:trHeight w:val="170"/>
          <w:jc w:val="center"/>
        </w:trPr>
        <w:tc>
          <w:tcPr>
            <w:tcW w:w="3480" w:type="dxa"/>
          </w:tcPr>
          <w:p w:rsidR="00A90328" w:rsidRPr="00A90328" w:rsidRDefault="00A90328" w:rsidP="00146699">
            <w:pPr>
              <w:widowControl/>
              <w:autoSpaceDE w:val="0"/>
              <w:autoSpaceDN w:val="0"/>
              <w:adjustRightInd w:val="0"/>
              <w:jc w:val="left"/>
              <w:rPr>
                <w:rFonts w:cs="Calibri"/>
                <w:color w:val="000000"/>
                <w:szCs w:val="22"/>
              </w:rPr>
            </w:pPr>
            <w:r w:rsidRPr="00A90328">
              <w:rPr>
                <w:rFonts w:cs="Calibri"/>
                <w:color w:val="000000"/>
                <w:szCs w:val="22"/>
              </w:rPr>
              <w:t>Пазарна капитализация (млн. лв.)</w:t>
            </w:r>
          </w:p>
        </w:tc>
        <w:tc>
          <w:tcPr>
            <w:tcW w:w="1275" w:type="dxa"/>
          </w:tcPr>
          <w:p w:rsidR="00A90328" w:rsidRPr="00182184" w:rsidRDefault="00A90328" w:rsidP="00F3551F">
            <w:pPr>
              <w:widowControl/>
              <w:autoSpaceDE w:val="0"/>
              <w:autoSpaceDN w:val="0"/>
              <w:adjustRightInd w:val="0"/>
              <w:jc w:val="right"/>
              <w:rPr>
                <w:rFonts w:cs="Calibri"/>
                <w:color w:val="000000"/>
                <w:szCs w:val="22"/>
              </w:rPr>
            </w:pPr>
            <w:r w:rsidRPr="00182184">
              <w:rPr>
                <w:rFonts w:cs="Calibri"/>
                <w:color w:val="000000"/>
                <w:szCs w:val="22"/>
              </w:rPr>
              <w:t>23 620</w:t>
            </w:r>
            <w:r w:rsidRPr="00182184">
              <w:rPr>
                <w:rFonts w:cs="Calibri"/>
                <w:color w:val="000000"/>
                <w:szCs w:val="22"/>
                <w:lang w:val="en-US"/>
              </w:rPr>
              <w:t>,</w:t>
            </w:r>
            <w:r w:rsidRPr="00182184">
              <w:rPr>
                <w:rFonts w:cs="Calibri"/>
                <w:color w:val="000000"/>
                <w:szCs w:val="22"/>
              </w:rPr>
              <w:t>97</w:t>
            </w:r>
          </w:p>
        </w:tc>
        <w:tc>
          <w:tcPr>
            <w:tcW w:w="1276" w:type="dxa"/>
            <w:vAlign w:val="bottom"/>
          </w:tcPr>
          <w:p w:rsidR="00A90328" w:rsidRPr="00182184" w:rsidRDefault="00A90328" w:rsidP="00F3551F">
            <w:pPr>
              <w:jc w:val="right"/>
              <w:rPr>
                <w:rFonts w:cs="Calibri"/>
                <w:color w:val="000000"/>
                <w:szCs w:val="22"/>
              </w:rPr>
            </w:pPr>
            <w:r w:rsidRPr="00182184">
              <w:rPr>
                <w:rFonts w:cs="Calibri"/>
                <w:color w:val="000000"/>
                <w:szCs w:val="22"/>
              </w:rPr>
              <w:t>26 765</w:t>
            </w:r>
            <w:r w:rsidRPr="00182184">
              <w:rPr>
                <w:rFonts w:cs="Calibri"/>
                <w:color w:val="000000"/>
                <w:szCs w:val="22"/>
                <w:lang w:val="en-US"/>
              </w:rPr>
              <w:t>,</w:t>
            </w:r>
            <w:r w:rsidRPr="00182184">
              <w:rPr>
                <w:rFonts w:cs="Calibri"/>
                <w:color w:val="000000"/>
                <w:szCs w:val="22"/>
              </w:rPr>
              <w:t>34</w:t>
            </w:r>
          </w:p>
        </w:tc>
        <w:tc>
          <w:tcPr>
            <w:tcW w:w="1276" w:type="dxa"/>
            <w:vAlign w:val="bottom"/>
          </w:tcPr>
          <w:p w:rsidR="00A90328" w:rsidRPr="00182184" w:rsidRDefault="00A90328" w:rsidP="00F3551F">
            <w:pPr>
              <w:jc w:val="right"/>
              <w:rPr>
                <w:rFonts w:cs="Calibri"/>
                <w:color w:val="000000"/>
                <w:szCs w:val="22"/>
              </w:rPr>
            </w:pPr>
            <w:r>
              <w:rPr>
                <w:rFonts w:cs="Calibri"/>
                <w:color w:val="000000"/>
                <w:szCs w:val="22"/>
              </w:rPr>
              <w:t>27 904,54</w:t>
            </w:r>
          </w:p>
        </w:tc>
        <w:tc>
          <w:tcPr>
            <w:tcW w:w="1276" w:type="dxa"/>
            <w:vAlign w:val="bottom"/>
          </w:tcPr>
          <w:p w:rsidR="00A90328" w:rsidRPr="00182184" w:rsidRDefault="00A90328" w:rsidP="00F3551F">
            <w:pPr>
              <w:jc w:val="right"/>
              <w:rPr>
                <w:szCs w:val="22"/>
              </w:rPr>
            </w:pPr>
            <w:r>
              <w:rPr>
                <w:szCs w:val="22"/>
              </w:rPr>
              <w:t>26 235,51</w:t>
            </w:r>
          </w:p>
        </w:tc>
      </w:tr>
      <w:tr w:rsidR="00A90328" w:rsidRPr="00A90328" w:rsidTr="00F3551F">
        <w:trPr>
          <w:trHeight w:val="170"/>
          <w:jc w:val="center"/>
        </w:trPr>
        <w:tc>
          <w:tcPr>
            <w:tcW w:w="3480" w:type="dxa"/>
          </w:tcPr>
          <w:p w:rsidR="00A90328" w:rsidRPr="00A90328" w:rsidRDefault="00A90328" w:rsidP="00146699">
            <w:pPr>
              <w:widowControl/>
              <w:autoSpaceDE w:val="0"/>
              <w:autoSpaceDN w:val="0"/>
              <w:adjustRightInd w:val="0"/>
              <w:jc w:val="left"/>
              <w:rPr>
                <w:rFonts w:cs="Calibri"/>
                <w:color w:val="000000"/>
                <w:szCs w:val="22"/>
              </w:rPr>
            </w:pPr>
            <w:r w:rsidRPr="00A90328">
              <w:rPr>
                <w:rFonts w:cs="Calibri"/>
                <w:color w:val="000000"/>
                <w:szCs w:val="22"/>
              </w:rPr>
              <w:t>БВП (млн. лв.)</w:t>
            </w:r>
          </w:p>
        </w:tc>
        <w:tc>
          <w:tcPr>
            <w:tcW w:w="1275" w:type="dxa"/>
          </w:tcPr>
          <w:p w:rsidR="00A90328" w:rsidRPr="00182184" w:rsidRDefault="00A90328" w:rsidP="00F3551F">
            <w:pPr>
              <w:widowControl/>
              <w:autoSpaceDE w:val="0"/>
              <w:autoSpaceDN w:val="0"/>
              <w:adjustRightInd w:val="0"/>
              <w:jc w:val="right"/>
              <w:rPr>
                <w:rFonts w:cs="Calibri"/>
                <w:color w:val="000000"/>
                <w:szCs w:val="22"/>
              </w:rPr>
            </w:pPr>
            <w:r w:rsidRPr="00182184">
              <w:rPr>
                <w:rFonts w:cs="Calibri"/>
                <w:color w:val="000000"/>
                <w:szCs w:val="22"/>
              </w:rPr>
              <w:t>98 631</w:t>
            </w:r>
          </w:p>
        </w:tc>
        <w:tc>
          <w:tcPr>
            <w:tcW w:w="1276" w:type="dxa"/>
            <w:vAlign w:val="bottom"/>
          </w:tcPr>
          <w:p w:rsidR="00A90328" w:rsidRPr="00182184" w:rsidRDefault="00A90328" w:rsidP="00F3551F">
            <w:pPr>
              <w:jc w:val="right"/>
              <w:rPr>
                <w:rFonts w:cs="Calibri"/>
                <w:color w:val="000000"/>
                <w:szCs w:val="22"/>
              </w:rPr>
            </w:pPr>
            <w:r w:rsidRPr="00182184">
              <w:rPr>
                <w:rFonts w:cs="Calibri"/>
                <w:color w:val="000000"/>
                <w:szCs w:val="22"/>
              </w:rPr>
              <w:t>107 987</w:t>
            </w:r>
          </w:p>
        </w:tc>
        <w:tc>
          <w:tcPr>
            <w:tcW w:w="1276" w:type="dxa"/>
            <w:vAlign w:val="bottom"/>
          </w:tcPr>
          <w:p w:rsidR="00A90328" w:rsidRPr="00182184" w:rsidRDefault="00A90328" w:rsidP="00F3551F">
            <w:pPr>
              <w:jc w:val="right"/>
              <w:rPr>
                <w:rFonts w:cs="Calibri"/>
                <w:color w:val="000000"/>
                <w:szCs w:val="22"/>
              </w:rPr>
            </w:pPr>
            <w:r>
              <w:rPr>
                <w:rFonts w:cs="Calibri"/>
                <w:color w:val="000000"/>
                <w:szCs w:val="22"/>
              </w:rPr>
              <w:t>118 669</w:t>
            </w:r>
          </w:p>
        </w:tc>
        <w:tc>
          <w:tcPr>
            <w:tcW w:w="1276" w:type="dxa"/>
            <w:vAlign w:val="bottom"/>
          </w:tcPr>
          <w:p w:rsidR="00A90328" w:rsidRPr="00182184" w:rsidRDefault="00A90328" w:rsidP="00F3551F">
            <w:pPr>
              <w:jc w:val="right"/>
              <w:rPr>
                <w:szCs w:val="22"/>
              </w:rPr>
            </w:pPr>
            <w:r>
              <w:rPr>
                <w:szCs w:val="22"/>
              </w:rPr>
              <w:t>118 669</w:t>
            </w:r>
          </w:p>
        </w:tc>
      </w:tr>
      <w:tr w:rsidR="00A90328" w:rsidRPr="00F55B63" w:rsidTr="00F3551F">
        <w:trPr>
          <w:trHeight w:val="170"/>
          <w:jc w:val="center"/>
        </w:trPr>
        <w:tc>
          <w:tcPr>
            <w:tcW w:w="3480" w:type="dxa"/>
          </w:tcPr>
          <w:p w:rsidR="00A90328" w:rsidRPr="00A90328" w:rsidRDefault="00A90328" w:rsidP="00146699">
            <w:pPr>
              <w:widowControl/>
              <w:autoSpaceDE w:val="0"/>
              <w:autoSpaceDN w:val="0"/>
              <w:adjustRightInd w:val="0"/>
              <w:jc w:val="left"/>
              <w:rPr>
                <w:rFonts w:cs="Calibri"/>
                <w:color w:val="000000"/>
                <w:szCs w:val="22"/>
              </w:rPr>
            </w:pPr>
            <w:r w:rsidRPr="00A90328">
              <w:rPr>
                <w:rFonts w:cs="Calibri"/>
                <w:color w:val="000000"/>
                <w:szCs w:val="22"/>
              </w:rPr>
              <w:t>Пазарна капитализация/ БВП</w:t>
            </w:r>
          </w:p>
        </w:tc>
        <w:tc>
          <w:tcPr>
            <w:tcW w:w="1275" w:type="dxa"/>
          </w:tcPr>
          <w:p w:rsidR="00A90328" w:rsidRPr="00182184" w:rsidRDefault="00A90328" w:rsidP="00F3551F">
            <w:pPr>
              <w:widowControl/>
              <w:autoSpaceDE w:val="0"/>
              <w:autoSpaceDN w:val="0"/>
              <w:adjustRightInd w:val="0"/>
              <w:jc w:val="right"/>
              <w:rPr>
                <w:rFonts w:cs="Calibri"/>
                <w:color w:val="000000"/>
                <w:szCs w:val="22"/>
              </w:rPr>
            </w:pPr>
            <w:r w:rsidRPr="00182184">
              <w:rPr>
                <w:rFonts w:cs="Calibri"/>
                <w:color w:val="000000"/>
                <w:szCs w:val="22"/>
              </w:rPr>
              <w:t>23,95%</w:t>
            </w:r>
          </w:p>
        </w:tc>
        <w:tc>
          <w:tcPr>
            <w:tcW w:w="1276" w:type="dxa"/>
            <w:vAlign w:val="center"/>
          </w:tcPr>
          <w:p w:rsidR="00A90328" w:rsidRPr="00182184" w:rsidRDefault="00A90328" w:rsidP="00F3551F">
            <w:pPr>
              <w:jc w:val="right"/>
              <w:rPr>
                <w:rFonts w:cs="Calibri"/>
                <w:color w:val="000000"/>
                <w:szCs w:val="22"/>
              </w:rPr>
            </w:pPr>
            <w:r w:rsidRPr="00182184">
              <w:rPr>
                <w:rFonts w:cs="Calibri"/>
                <w:color w:val="000000"/>
                <w:szCs w:val="22"/>
              </w:rPr>
              <w:t>24,79%</w:t>
            </w:r>
          </w:p>
        </w:tc>
        <w:tc>
          <w:tcPr>
            <w:tcW w:w="1276" w:type="dxa"/>
            <w:vAlign w:val="center"/>
          </w:tcPr>
          <w:p w:rsidR="00A90328" w:rsidRPr="00182184" w:rsidRDefault="00A90328" w:rsidP="00F3551F">
            <w:pPr>
              <w:jc w:val="right"/>
              <w:rPr>
                <w:rFonts w:cs="Calibri"/>
                <w:color w:val="000000"/>
                <w:szCs w:val="22"/>
              </w:rPr>
            </w:pPr>
            <w:r>
              <w:rPr>
                <w:rFonts w:cs="Calibri"/>
                <w:color w:val="000000"/>
                <w:szCs w:val="22"/>
              </w:rPr>
              <w:t>23,51%</w:t>
            </w:r>
          </w:p>
        </w:tc>
        <w:tc>
          <w:tcPr>
            <w:tcW w:w="1276" w:type="dxa"/>
            <w:vAlign w:val="center"/>
          </w:tcPr>
          <w:p w:rsidR="00A90328" w:rsidRPr="00182184" w:rsidRDefault="00A90328" w:rsidP="00F3551F">
            <w:pPr>
              <w:jc w:val="right"/>
              <w:rPr>
                <w:szCs w:val="22"/>
              </w:rPr>
            </w:pPr>
            <w:r>
              <w:rPr>
                <w:szCs w:val="22"/>
              </w:rPr>
              <w:t>22,11%</w:t>
            </w:r>
          </w:p>
        </w:tc>
      </w:tr>
    </w:tbl>
    <w:p w:rsidR="006373B2" w:rsidRDefault="006373B2" w:rsidP="006373B2">
      <w:pPr>
        <w:pStyle w:val="Mainnumbers"/>
        <w:numPr>
          <w:ilvl w:val="0"/>
          <w:numId w:val="0"/>
        </w:numPr>
        <w:rPr>
          <w:rFonts w:cs="Calibri"/>
          <w:highlight w:val="yellow"/>
        </w:rPr>
      </w:pPr>
      <w:bookmarkStart w:id="22" w:name="_Toc283112105"/>
    </w:p>
    <w:p w:rsidR="00CB13ED" w:rsidRPr="006373B2" w:rsidRDefault="00CB13ED" w:rsidP="00DB3B9A">
      <w:pPr>
        <w:pStyle w:val="Mainnumbers"/>
        <w:rPr>
          <w:rFonts w:cs="Calibri"/>
        </w:rPr>
      </w:pPr>
      <w:bookmarkStart w:id="23" w:name="_Toc42271148"/>
      <w:r w:rsidRPr="006373B2">
        <w:rPr>
          <w:rFonts w:cs="Calibri"/>
        </w:rPr>
        <w:t xml:space="preserve">Индекси на </w:t>
      </w:r>
      <w:r w:rsidR="00165C3F" w:rsidRPr="006373B2">
        <w:rPr>
          <w:rFonts w:cs="Calibri"/>
        </w:rPr>
        <w:t>Българска фондова борса</w:t>
      </w:r>
      <w:bookmarkEnd w:id="22"/>
      <w:bookmarkEnd w:id="23"/>
    </w:p>
    <w:p w:rsidR="006373B2" w:rsidRDefault="006373B2" w:rsidP="006373B2">
      <w:pPr>
        <w:pStyle w:val="NoSpacing"/>
        <w:spacing w:line="276" w:lineRule="auto"/>
        <w:rPr>
          <w:rFonts w:ascii="Calibri" w:hAnsi="Calibri" w:cs="Calibri"/>
          <w:szCs w:val="22"/>
        </w:rPr>
      </w:pPr>
      <w:r w:rsidRPr="007A6E3F">
        <w:rPr>
          <w:rFonts w:ascii="Calibri" w:eastAsia="Calibri" w:hAnsi="Calibri" w:cs="Calibri"/>
          <w:szCs w:val="22"/>
          <w:lang w:eastAsia="en-US"/>
        </w:rPr>
        <w:t>В края на първото тримесечие бе отбелязан  спад в стойност</w:t>
      </w:r>
      <w:r>
        <w:rPr>
          <w:rFonts w:ascii="Calibri" w:eastAsia="Calibri" w:hAnsi="Calibri" w:cs="Calibri"/>
          <w:szCs w:val="22"/>
          <w:lang w:eastAsia="en-US"/>
        </w:rPr>
        <w:t>ите</w:t>
      </w:r>
      <w:r w:rsidRPr="007A6E3F">
        <w:rPr>
          <w:rFonts w:ascii="Calibri" w:eastAsia="Calibri" w:hAnsi="Calibri" w:cs="Calibri"/>
          <w:szCs w:val="22"/>
          <w:lang w:eastAsia="en-US"/>
        </w:rPr>
        <w:t xml:space="preserve"> на всички индекси на БФБ спрямо началото на периода. </w:t>
      </w:r>
      <w:r>
        <w:rPr>
          <w:rFonts w:ascii="Calibri" w:eastAsia="Calibri" w:hAnsi="Calibri" w:cs="Calibri"/>
          <w:szCs w:val="22"/>
          <w:lang w:eastAsia="en-US"/>
        </w:rPr>
        <w:t xml:space="preserve">В началото на януари се наблюдаваше възходяща тенденция при всички индекси, докато през февруари измененията са разнопосочни. </w:t>
      </w:r>
      <w:r w:rsidRPr="007A6E3F">
        <w:rPr>
          <w:rFonts w:asciiTheme="minorHAnsi" w:hAnsiTheme="minorHAnsi"/>
        </w:rPr>
        <w:t>През месец март волатилността на капиталовия пазар бе висока, като това се дължеше на кризата с COVID-19</w:t>
      </w:r>
      <w:r>
        <w:rPr>
          <w:rFonts w:asciiTheme="minorHAnsi" w:hAnsiTheme="minorHAnsi"/>
        </w:rPr>
        <w:t xml:space="preserve">, въведеното извънредно положение в страната от 13 март, както </w:t>
      </w:r>
      <w:r w:rsidRPr="007A6E3F">
        <w:rPr>
          <w:rFonts w:asciiTheme="minorHAnsi" w:hAnsiTheme="minorHAnsi"/>
        </w:rPr>
        <w:t>и</w:t>
      </w:r>
      <w:r>
        <w:rPr>
          <w:rFonts w:asciiTheme="minorHAnsi" w:hAnsiTheme="minorHAnsi"/>
        </w:rPr>
        <w:t xml:space="preserve"> на</w:t>
      </w:r>
      <w:r w:rsidRPr="007A6E3F">
        <w:rPr>
          <w:rFonts w:asciiTheme="minorHAnsi" w:hAnsiTheme="minorHAnsi"/>
        </w:rPr>
        <w:t xml:space="preserve"> несигурността на инвеститорите по отношение продължителност</w:t>
      </w:r>
      <w:r>
        <w:rPr>
          <w:rFonts w:asciiTheme="minorHAnsi" w:hAnsiTheme="minorHAnsi"/>
        </w:rPr>
        <w:t>та на кризата</w:t>
      </w:r>
      <w:r w:rsidRPr="007A6E3F">
        <w:rPr>
          <w:rFonts w:asciiTheme="minorHAnsi" w:hAnsiTheme="minorHAnsi"/>
        </w:rPr>
        <w:t xml:space="preserve">. </w:t>
      </w:r>
      <w:r>
        <w:rPr>
          <w:rFonts w:ascii="Calibri" w:hAnsi="Calibri" w:cs="Calibri"/>
          <w:szCs w:val="22"/>
        </w:rPr>
        <w:t>О</w:t>
      </w:r>
      <w:r w:rsidRPr="007A6E3F">
        <w:rPr>
          <w:rFonts w:ascii="Calibri" w:hAnsi="Calibri" w:cs="Calibri"/>
          <w:szCs w:val="22"/>
        </w:rPr>
        <w:t>т графиките по-долу</w:t>
      </w:r>
      <w:r>
        <w:rPr>
          <w:rFonts w:ascii="Calibri" w:hAnsi="Calibri" w:cs="Calibri"/>
          <w:szCs w:val="22"/>
        </w:rPr>
        <w:t xml:space="preserve"> се вижда</w:t>
      </w:r>
      <w:r w:rsidRPr="007A6E3F">
        <w:rPr>
          <w:rFonts w:ascii="Calibri" w:hAnsi="Calibri" w:cs="Calibri"/>
          <w:szCs w:val="22"/>
        </w:rPr>
        <w:t>,</w:t>
      </w:r>
      <w:r>
        <w:rPr>
          <w:rFonts w:ascii="Calibri" w:hAnsi="Calibri" w:cs="Calibri"/>
          <w:szCs w:val="22"/>
        </w:rPr>
        <w:t xml:space="preserve"> че</w:t>
      </w:r>
      <w:r w:rsidRPr="007A6E3F">
        <w:rPr>
          <w:rFonts w:ascii="Calibri" w:hAnsi="Calibri" w:cs="Calibri"/>
          <w:szCs w:val="22"/>
        </w:rPr>
        <w:t xml:space="preserve"> движението в стойностите на индексите бе сходно, единствено изменението на BGREIT е с различна форма, което се дължи на типа дружества, съставляващи индекса</w:t>
      </w:r>
      <w:r>
        <w:rPr>
          <w:rFonts w:ascii="Calibri" w:hAnsi="Calibri" w:cs="Calibri"/>
          <w:szCs w:val="22"/>
        </w:rPr>
        <w:t>.</w:t>
      </w:r>
    </w:p>
    <w:p w:rsidR="006373B2" w:rsidRPr="00DE3CF7" w:rsidRDefault="006373B2" w:rsidP="006373B2">
      <w:pPr>
        <w:pStyle w:val="NoSpacing"/>
        <w:spacing w:line="276" w:lineRule="auto"/>
        <w:rPr>
          <w:rFonts w:ascii="Calibri" w:hAnsi="Calibri" w:cs="Calibri"/>
          <w:szCs w:val="22"/>
        </w:rPr>
      </w:pPr>
      <w:r w:rsidRPr="00DE3CF7">
        <w:rPr>
          <w:rFonts w:ascii="Calibri" w:eastAsia="Calibri" w:hAnsi="Calibri" w:cs="Calibri"/>
          <w:szCs w:val="22"/>
          <w:lang w:eastAsia="en-US"/>
        </w:rPr>
        <w:t>Най-голямо в процентно отношение бе понижението от 26,19% (148.79 пункта) в стойността на</w:t>
      </w:r>
      <w:r w:rsidRPr="00DE3CF7">
        <w:rPr>
          <w:rFonts w:ascii="Calibri" w:eastAsia="Calibri" w:hAnsi="Calibri" w:cs="Calibri"/>
          <w:szCs w:val="22"/>
          <w:lang w:val="en-US" w:eastAsia="en-US"/>
        </w:rPr>
        <w:t xml:space="preserve"> </w:t>
      </w:r>
      <w:r w:rsidRPr="00DE3CF7">
        <w:rPr>
          <w:rFonts w:ascii="Calibri" w:eastAsia="Calibri" w:hAnsi="Calibri" w:cs="Calibri"/>
          <w:szCs w:val="22"/>
          <w:lang w:eastAsia="en-US"/>
        </w:rPr>
        <w:t>SOFIX. BGTR30 се понижи с 15,38% (79.39 пункта), а  стойността на BGBX40 намаля с 19</w:t>
      </w:r>
      <w:r w:rsidRPr="00DE3CF7">
        <w:rPr>
          <w:rFonts w:ascii="Calibri" w:hAnsi="Calibri" w:cs="Calibri"/>
          <w:szCs w:val="22"/>
        </w:rPr>
        <w:t xml:space="preserve">,18% (21.45 пункта). При </w:t>
      </w:r>
      <w:r w:rsidRPr="00DE3CF7">
        <w:rPr>
          <w:rFonts w:ascii="Calibri" w:hAnsi="Calibri" w:cs="Calibri"/>
          <w:szCs w:val="22"/>
          <w:lang w:val="en-US"/>
        </w:rPr>
        <w:t xml:space="preserve">BGREIT </w:t>
      </w:r>
      <w:r w:rsidRPr="00DE3CF7">
        <w:rPr>
          <w:rFonts w:ascii="Calibri" w:hAnsi="Calibri" w:cs="Calibri"/>
          <w:szCs w:val="22"/>
        </w:rPr>
        <w:t xml:space="preserve">след възходящото движение през януари и февруари, през месец март се наблюдава </w:t>
      </w:r>
      <w:r>
        <w:rPr>
          <w:rFonts w:ascii="Calibri" w:hAnsi="Calibri" w:cs="Calibri"/>
          <w:szCs w:val="22"/>
        </w:rPr>
        <w:t>понижение</w:t>
      </w:r>
      <w:r w:rsidRPr="00DE3CF7">
        <w:rPr>
          <w:rFonts w:ascii="Calibri" w:hAnsi="Calibri" w:cs="Calibri"/>
          <w:szCs w:val="22"/>
        </w:rPr>
        <w:t xml:space="preserve"> на индекса. За тримесечието </w:t>
      </w:r>
      <w:r w:rsidRPr="00DE3CF7">
        <w:rPr>
          <w:rFonts w:ascii="Calibri" w:hAnsi="Calibri" w:cs="Calibri"/>
          <w:szCs w:val="22"/>
          <w:lang w:val="en-US"/>
        </w:rPr>
        <w:t>BGREIT</w:t>
      </w:r>
      <w:r w:rsidRPr="00DE3CF7">
        <w:rPr>
          <w:rFonts w:ascii="Calibri" w:hAnsi="Calibri" w:cs="Calibri"/>
          <w:szCs w:val="22"/>
        </w:rPr>
        <w:t xml:space="preserve"> се характеризира с най нисък спад сред индексите от 3,81% </w:t>
      </w:r>
      <w:r w:rsidRPr="00DE3CF7">
        <w:rPr>
          <w:rFonts w:ascii="Calibri" w:hAnsi="Calibri" w:cs="Calibri"/>
          <w:szCs w:val="22"/>
          <w:lang w:val="en-US"/>
        </w:rPr>
        <w:t>(4</w:t>
      </w:r>
      <w:r w:rsidRPr="00DE3CF7">
        <w:rPr>
          <w:rFonts w:ascii="Calibri" w:hAnsi="Calibri" w:cs="Calibri"/>
          <w:szCs w:val="22"/>
        </w:rPr>
        <w:t>.</w:t>
      </w:r>
      <w:r w:rsidRPr="00DE3CF7">
        <w:rPr>
          <w:rFonts w:ascii="Calibri" w:hAnsi="Calibri" w:cs="Calibri"/>
          <w:szCs w:val="22"/>
          <w:lang w:val="en-US"/>
        </w:rPr>
        <w:t xml:space="preserve">96 </w:t>
      </w:r>
      <w:r w:rsidRPr="00DE3CF7">
        <w:rPr>
          <w:rFonts w:ascii="Calibri" w:hAnsi="Calibri" w:cs="Calibri"/>
          <w:szCs w:val="22"/>
        </w:rPr>
        <w:t>пункта</w:t>
      </w:r>
      <w:r w:rsidRPr="00DE3CF7">
        <w:rPr>
          <w:rFonts w:ascii="Calibri" w:hAnsi="Calibri" w:cs="Calibri"/>
          <w:szCs w:val="22"/>
          <w:lang w:val="en-US"/>
        </w:rPr>
        <w:t>)</w:t>
      </w:r>
      <w:r w:rsidRPr="00DE3CF7">
        <w:rPr>
          <w:rFonts w:ascii="Calibri" w:hAnsi="Calibri" w:cs="Calibri"/>
          <w:szCs w:val="22"/>
        </w:rPr>
        <w:t>.</w:t>
      </w:r>
    </w:p>
    <w:p w:rsidR="0052158E" w:rsidRPr="00F55B63" w:rsidRDefault="0052158E">
      <w:pPr>
        <w:widowControl/>
        <w:jc w:val="left"/>
        <w:rPr>
          <w:rFonts w:cs="Calibri"/>
          <w:highlight w:val="yellow"/>
        </w:rPr>
      </w:pPr>
      <w:r w:rsidRPr="00F55B63">
        <w:rPr>
          <w:rFonts w:cs="Calibri"/>
          <w:highlight w:val="yellow"/>
        </w:rPr>
        <w:br w:type="page"/>
      </w:r>
    </w:p>
    <w:tbl>
      <w:tblPr>
        <w:tblStyle w:val="TableGrid"/>
        <w:tblW w:w="102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tblPr>
      <w:tblGrid>
        <w:gridCol w:w="5362"/>
        <w:gridCol w:w="5342"/>
      </w:tblGrid>
      <w:tr w:rsidR="00146699" w:rsidRPr="006373B2" w:rsidTr="00146699">
        <w:trPr>
          <w:trHeight w:val="170"/>
          <w:jc w:val="center"/>
        </w:trPr>
        <w:tc>
          <w:tcPr>
            <w:tcW w:w="5270" w:type="dxa"/>
          </w:tcPr>
          <w:p w:rsidR="00146699" w:rsidRPr="006373B2" w:rsidRDefault="00146699" w:rsidP="006373B2">
            <w:pPr>
              <w:jc w:val="center"/>
              <w:rPr>
                <w:rFonts w:cs="Calibri"/>
                <w:b/>
              </w:rPr>
            </w:pPr>
            <w:r w:rsidRPr="006373B2">
              <w:rPr>
                <w:rFonts w:cs="Calibri"/>
                <w:b/>
              </w:rPr>
              <w:lastRenderedPageBreak/>
              <w:t>SOFIX Q1 ‘</w:t>
            </w:r>
            <w:r w:rsidR="006373B2" w:rsidRPr="006373B2">
              <w:rPr>
                <w:rFonts w:cs="Calibri"/>
                <w:b/>
              </w:rPr>
              <w:t>20</w:t>
            </w:r>
          </w:p>
        </w:tc>
        <w:tc>
          <w:tcPr>
            <w:tcW w:w="4972" w:type="dxa"/>
          </w:tcPr>
          <w:p w:rsidR="00146699" w:rsidRPr="006373B2" w:rsidRDefault="00146699" w:rsidP="006373B2">
            <w:pPr>
              <w:jc w:val="center"/>
              <w:rPr>
                <w:rFonts w:cs="Calibri"/>
                <w:b/>
              </w:rPr>
            </w:pPr>
            <w:r w:rsidRPr="006373B2">
              <w:rPr>
                <w:rFonts w:cs="Calibri"/>
                <w:b/>
              </w:rPr>
              <w:t>BGTR30 Q1 ‘</w:t>
            </w:r>
            <w:r w:rsidR="006373B2" w:rsidRPr="006373B2">
              <w:rPr>
                <w:rFonts w:cs="Calibri"/>
                <w:b/>
              </w:rPr>
              <w:t>20</w:t>
            </w:r>
          </w:p>
        </w:tc>
      </w:tr>
      <w:tr w:rsidR="00146699" w:rsidRPr="006373B2" w:rsidTr="00146699">
        <w:trPr>
          <w:trHeight w:val="170"/>
          <w:jc w:val="center"/>
        </w:trPr>
        <w:tc>
          <w:tcPr>
            <w:tcW w:w="5270" w:type="dxa"/>
          </w:tcPr>
          <w:p w:rsidR="00146699" w:rsidRPr="006373B2" w:rsidRDefault="006373B2" w:rsidP="00146699">
            <w:pPr>
              <w:rPr>
                <w:rFonts w:cs="Calibri"/>
              </w:rPr>
            </w:pPr>
            <w:r w:rsidRPr="006373B2">
              <w:rPr>
                <w:rFonts w:cs="Calibri"/>
                <w:noProof/>
              </w:rPr>
              <w:drawing>
                <wp:inline distT="0" distB="0" distL="0" distR="0">
                  <wp:extent cx="3315694" cy="2266122"/>
                  <wp:effectExtent l="0" t="0" r="0" b="0"/>
                  <wp:docPr id="4" name="Chart 2">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972" w:type="dxa"/>
          </w:tcPr>
          <w:p w:rsidR="00146699" w:rsidRPr="006373B2" w:rsidRDefault="006373B2" w:rsidP="00146699">
            <w:pPr>
              <w:rPr>
                <w:rFonts w:cs="Calibri"/>
              </w:rPr>
            </w:pPr>
            <w:r w:rsidRPr="006373B2">
              <w:rPr>
                <w:rFonts w:cs="Calibri"/>
                <w:noProof/>
              </w:rPr>
              <w:drawing>
                <wp:inline distT="0" distB="0" distL="0" distR="0">
                  <wp:extent cx="3283889" cy="2305878"/>
                  <wp:effectExtent l="19050" t="0" r="0" b="0"/>
                  <wp:docPr id="8" name="Chart 6">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7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146699" w:rsidRPr="006373B2" w:rsidRDefault="00146699">
      <w:pPr>
        <w:widowControl/>
        <w:jc w:val="left"/>
        <w:rPr>
          <w:rFonts w:cs="Calibri"/>
          <w:sz w:val="12"/>
          <w:szCs w:val="12"/>
        </w:rPr>
      </w:pPr>
    </w:p>
    <w:tbl>
      <w:tblPr>
        <w:tblStyle w:val="TableGrid"/>
        <w:tblW w:w="102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tblPr>
      <w:tblGrid>
        <w:gridCol w:w="5412"/>
        <w:gridCol w:w="5212"/>
      </w:tblGrid>
      <w:tr w:rsidR="00146699" w:rsidRPr="00F55B63" w:rsidTr="00146699">
        <w:trPr>
          <w:trHeight w:val="74"/>
          <w:jc w:val="center"/>
        </w:trPr>
        <w:tc>
          <w:tcPr>
            <w:tcW w:w="5249" w:type="dxa"/>
          </w:tcPr>
          <w:p w:rsidR="00146699" w:rsidRPr="006373B2" w:rsidRDefault="00146699" w:rsidP="006373B2">
            <w:pPr>
              <w:jc w:val="center"/>
              <w:rPr>
                <w:rFonts w:cs="Calibri"/>
                <w:b/>
              </w:rPr>
            </w:pPr>
            <w:r w:rsidRPr="006373B2">
              <w:rPr>
                <w:rFonts w:cs="Calibri"/>
                <w:b/>
              </w:rPr>
              <w:t>BGBX40 Q1 ‘</w:t>
            </w:r>
            <w:r w:rsidR="006373B2" w:rsidRPr="006373B2">
              <w:rPr>
                <w:rFonts w:cs="Calibri"/>
                <w:b/>
              </w:rPr>
              <w:t>20</w:t>
            </w:r>
          </w:p>
        </w:tc>
        <w:tc>
          <w:tcPr>
            <w:tcW w:w="5002" w:type="dxa"/>
          </w:tcPr>
          <w:p w:rsidR="00146699" w:rsidRPr="006373B2" w:rsidRDefault="00146699" w:rsidP="006373B2">
            <w:pPr>
              <w:jc w:val="center"/>
              <w:rPr>
                <w:rFonts w:cs="Calibri"/>
                <w:b/>
              </w:rPr>
            </w:pPr>
            <w:r w:rsidRPr="006373B2">
              <w:rPr>
                <w:rFonts w:cs="Calibri"/>
                <w:b/>
              </w:rPr>
              <w:t>BGREIT Q1 ‘</w:t>
            </w:r>
            <w:r w:rsidR="006373B2" w:rsidRPr="006373B2">
              <w:rPr>
                <w:rFonts w:cs="Calibri"/>
                <w:b/>
              </w:rPr>
              <w:t>20</w:t>
            </w:r>
          </w:p>
        </w:tc>
      </w:tr>
      <w:tr w:rsidR="00146699" w:rsidRPr="00F55B63" w:rsidTr="00146699">
        <w:trPr>
          <w:jc w:val="center"/>
        </w:trPr>
        <w:tc>
          <w:tcPr>
            <w:tcW w:w="5249" w:type="dxa"/>
          </w:tcPr>
          <w:p w:rsidR="00146699" w:rsidRPr="00F55B63" w:rsidRDefault="006373B2" w:rsidP="00146699">
            <w:pPr>
              <w:jc w:val="center"/>
              <w:rPr>
                <w:rFonts w:cs="Calibri"/>
                <w:highlight w:val="yellow"/>
              </w:rPr>
            </w:pPr>
            <w:r w:rsidRPr="006373B2">
              <w:rPr>
                <w:rFonts w:cs="Calibri"/>
                <w:noProof/>
              </w:rPr>
              <w:drawing>
                <wp:inline distT="0" distB="0" distL="0" distR="0">
                  <wp:extent cx="3347499" cy="2321781"/>
                  <wp:effectExtent l="0" t="0" r="0" b="0"/>
                  <wp:docPr id="19" name="Chart 7">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7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5002" w:type="dxa"/>
          </w:tcPr>
          <w:p w:rsidR="00146699" w:rsidRPr="00F55B63" w:rsidRDefault="006373B2" w:rsidP="00146699">
            <w:pPr>
              <w:jc w:val="center"/>
              <w:rPr>
                <w:rFonts w:cs="Calibri"/>
                <w:highlight w:val="yellow"/>
              </w:rPr>
            </w:pPr>
            <w:r w:rsidRPr="006373B2">
              <w:rPr>
                <w:rFonts w:cs="Calibri"/>
                <w:noProof/>
              </w:rPr>
              <w:drawing>
                <wp:inline distT="0" distB="0" distL="0" distR="0">
                  <wp:extent cx="3201229" cy="2321781"/>
                  <wp:effectExtent l="19050" t="0" r="0" b="0"/>
                  <wp:docPr id="11" name="Chart 3">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1A0C3E" w:rsidRPr="006373B2" w:rsidRDefault="001A0C3E" w:rsidP="00DB3B9A">
      <w:pPr>
        <w:pStyle w:val="Mainnumbers"/>
        <w:rPr>
          <w:rFonts w:cs="Calibri"/>
        </w:rPr>
      </w:pPr>
      <w:bookmarkStart w:id="24" w:name="_Toc283112107"/>
      <w:bookmarkStart w:id="25" w:name="_Toc42271149"/>
      <w:r w:rsidRPr="006373B2">
        <w:rPr>
          <w:rFonts w:cs="Calibri"/>
        </w:rPr>
        <w:t xml:space="preserve">Приватизация през </w:t>
      </w:r>
      <w:r w:rsidR="00415B34" w:rsidRPr="006373B2">
        <w:rPr>
          <w:rFonts w:cs="Calibri"/>
        </w:rPr>
        <w:t>Борсата</w:t>
      </w:r>
      <w:bookmarkEnd w:id="24"/>
      <w:bookmarkEnd w:id="25"/>
    </w:p>
    <w:p w:rsidR="00894006" w:rsidRPr="006373B2" w:rsidRDefault="00D652D9" w:rsidP="00D652D9">
      <w:pPr>
        <w:rPr>
          <w:rFonts w:cs="Calibri"/>
        </w:rPr>
      </w:pPr>
      <w:bookmarkStart w:id="26" w:name="_Toc283112110"/>
      <w:r w:rsidRPr="006373B2">
        <w:rPr>
          <w:rFonts w:cs="Calibri"/>
        </w:rPr>
        <w:t xml:space="preserve">През </w:t>
      </w:r>
      <w:r w:rsidR="00146699" w:rsidRPr="006373B2">
        <w:rPr>
          <w:rFonts w:cs="Calibri"/>
        </w:rPr>
        <w:t>първото</w:t>
      </w:r>
      <w:r w:rsidR="00021140" w:rsidRPr="006373B2">
        <w:rPr>
          <w:rFonts w:cs="Calibri"/>
        </w:rPr>
        <w:t xml:space="preserve"> тримесечие</w:t>
      </w:r>
      <w:r w:rsidRPr="006373B2">
        <w:rPr>
          <w:rFonts w:cs="Calibri"/>
        </w:rPr>
        <w:t xml:space="preserve"> </w:t>
      </w:r>
      <w:r w:rsidR="0052158E" w:rsidRPr="006373B2">
        <w:rPr>
          <w:rFonts w:cs="Calibri"/>
        </w:rPr>
        <w:t>на 20</w:t>
      </w:r>
      <w:r w:rsidR="006373B2" w:rsidRPr="006373B2">
        <w:rPr>
          <w:rFonts w:cs="Calibri"/>
        </w:rPr>
        <w:t>20</w:t>
      </w:r>
      <w:r w:rsidR="0052158E" w:rsidRPr="006373B2">
        <w:rPr>
          <w:rFonts w:cs="Calibri"/>
        </w:rPr>
        <w:t xml:space="preserve"> </w:t>
      </w:r>
      <w:r w:rsidRPr="006373B2">
        <w:rPr>
          <w:rFonts w:cs="Calibri"/>
        </w:rPr>
        <w:t>няма регистрирани емисии на сегмент за приватизация.</w:t>
      </w:r>
    </w:p>
    <w:p w:rsidR="00E25C24" w:rsidRPr="006373B2" w:rsidRDefault="00326727" w:rsidP="00DB3B9A">
      <w:pPr>
        <w:pStyle w:val="Mainnumbers"/>
        <w:rPr>
          <w:rFonts w:cs="Calibri"/>
        </w:rPr>
      </w:pPr>
      <w:bookmarkStart w:id="27" w:name="_Toc42271150"/>
      <w:r w:rsidRPr="006373B2">
        <w:rPr>
          <w:rFonts w:cs="Calibri"/>
        </w:rPr>
        <w:t xml:space="preserve">Основни дейности и събития през </w:t>
      </w:r>
      <w:r w:rsidR="00C64CA5" w:rsidRPr="006373B2">
        <w:rPr>
          <w:rFonts w:cs="Calibri"/>
        </w:rPr>
        <w:t>отчетното</w:t>
      </w:r>
      <w:r w:rsidR="00260465" w:rsidRPr="006373B2">
        <w:rPr>
          <w:rFonts w:cs="Calibri"/>
        </w:rPr>
        <w:t xml:space="preserve"> </w:t>
      </w:r>
      <w:r w:rsidR="00D9737F" w:rsidRPr="006373B2">
        <w:rPr>
          <w:rFonts w:cs="Calibri"/>
        </w:rPr>
        <w:t>три</w:t>
      </w:r>
      <w:r w:rsidR="00122383" w:rsidRPr="006373B2">
        <w:rPr>
          <w:rFonts w:cs="Calibri"/>
        </w:rPr>
        <w:t xml:space="preserve">месечие на </w:t>
      </w:r>
      <w:r w:rsidR="00831C04" w:rsidRPr="006373B2">
        <w:rPr>
          <w:rFonts w:cs="Calibri"/>
        </w:rPr>
        <w:t>20</w:t>
      </w:r>
      <w:r w:rsidR="006373B2" w:rsidRPr="006373B2">
        <w:rPr>
          <w:rFonts w:cs="Calibri"/>
        </w:rPr>
        <w:t>20</w:t>
      </w:r>
      <w:r w:rsidR="004E42F0" w:rsidRPr="006373B2">
        <w:rPr>
          <w:rFonts w:cs="Calibri"/>
        </w:rPr>
        <w:t xml:space="preserve"> </w:t>
      </w:r>
      <w:r w:rsidRPr="006373B2">
        <w:rPr>
          <w:rFonts w:cs="Calibri"/>
        </w:rPr>
        <w:t>г.</w:t>
      </w:r>
      <w:bookmarkStart w:id="28" w:name="_Toc283112115"/>
      <w:bookmarkEnd w:id="26"/>
      <w:bookmarkEnd w:id="27"/>
    </w:p>
    <w:p w:rsidR="00146699" w:rsidRPr="00855D27" w:rsidRDefault="00146699" w:rsidP="00146699">
      <w:pPr>
        <w:pStyle w:val="SubNumbers"/>
        <w:tabs>
          <w:tab w:val="left" w:pos="-2127"/>
        </w:tabs>
        <w:spacing w:line="276" w:lineRule="auto"/>
        <w:ind w:left="1134" w:hanging="774"/>
      </w:pPr>
      <w:bookmarkStart w:id="29" w:name="_Toc7535425"/>
      <w:bookmarkStart w:id="30" w:name="_Toc42271151"/>
      <w:bookmarkStart w:id="31" w:name="_Toc481069699"/>
      <w:bookmarkStart w:id="32" w:name="_Toc402281934"/>
      <w:bookmarkEnd w:id="28"/>
      <w:r w:rsidRPr="00855D27">
        <w:t>БФБ отличи посредниците с най-добри резултати през 201</w:t>
      </w:r>
      <w:r w:rsidR="00855D27" w:rsidRPr="00855D27">
        <w:t>9</w:t>
      </w:r>
      <w:r w:rsidRPr="00855D27">
        <w:t xml:space="preserve"> година</w:t>
      </w:r>
      <w:bookmarkEnd w:id="29"/>
      <w:bookmarkEnd w:id="30"/>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На 14.01.2019 г. Българска фондова борса отличи инвестиционните посредници, постигнали най-високи резултати през 2019 г. Броят на сделките на регулиран пазар за изминалата година е 44 167 и отбелязва спад от 19% спрямо 2018 г. На 333 573 998 лв. възлиза оборотът на БФБ през 2019 г. като това е с 39% по-малко в сравнение с предишната година.</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Въпреки отчетените спадове по определени показатели, налице е тенденция за нарастване на набрания капитал чрез Борсата, като през 2019 г. компаниите са набрали финансиране в размер 329 798 641 лв., което е над два пъти повече спрямо предишната година.</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На церемонията, която се провежда за 19-ти път в историята на Фондовата борса, бяха присъдени следните награди:</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За инвестиционен посредник, сключил най-много сделки на БФБ през 2019 г.:</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lastRenderedPageBreak/>
        <w:t>1-во място: Карол АД</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2-ро място: Елана Трейдинг АД</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3-то място: БенчМарк Финанс АД</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rPr>
        <w:br/>
      </w:r>
      <w:r w:rsidRPr="00A67260">
        <w:rPr>
          <w:rFonts w:cs="Arial"/>
          <w:color w:val="000000"/>
          <w:szCs w:val="22"/>
          <w:shd w:val="clear" w:color="auto" w:fill="FFFFFF"/>
        </w:rPr>
        <w:t>За инвестиционен посредник, реализирал най-висок оборот на БФБ през 2019 г.:</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1-во място: Aвал ИН АД</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2-ро място: Интеркапитал Маркетс АД</w:t>
      </w:r>
    </w:p>
    <w:p w:rsidR="00855D27" w:rsidRPr="00A67260" w:rsidRDefault="00855D27" w:rsidP="00855D27">
      <w:pPr>
        <w:spacing w:line="276" w:lineRule="auto"/>
        <w:rPr>
          <w:rFonts w:cs="Arial"/>
          <w:color w:val="000000"/>
          <w:szCs w:val="22"/>
          <w:shd w:val="clear" w:color="auto" w:fill="FFFFFF"/>
        </w:rPr>
      </w:pPr>
      <w:r w:rsidRPr="00A67260">
        <w:rPr>
          <w:rFonts w:cs="Arial"/>
          <w:color w:val="000000"/>
          <w:szCs w:val="22"/>
          <w:shd w:val="clear" w:color="auto" w:fill="FFFFFF"/>
        </w:rPr>
        <w:t>3-то място: Евро - Финанс АД</w:t>
      </w:r>
    </w:p>
    <w:p w:rsidR="00855D27" w:rsidRPr="00A67260" w:rsidRDefault="00855D27" w:rsidP="00855D27">
      <w:pPr>
        <w:spacing w:line="276" w:lineRule="auto"/>
        <w:rPr>
          <w:rFonts w:cs="Arial"/>
          <w:color w:val="000000"/>
          <w:szCs w:val="22"/>
          <w:shd w:val="clear" w:color="auto" w:fill="FFFFFF"/>
        </w:rPr>
      </w:pPr>
      <w:r w:rsidRPr="00D932DC">
        <w:rPr>
          <w:rFonts w:cs="Arial"/>
          <w:color w:val="000000"/>
          <w:sz w:val="24"/>
        </w:rPr>
        <w:br/>
      </w:r>
      <w:r w:rsidRPr="00A67260">
        <w:rPr>
          <w:rFonts w:cs="Arial"/>
          <w:color w:val="000000"/>
          <w:szCs w:val="22"/>
          <w:shd w:val="clear" w:color="auto" w:fill="FFFFFF"/>
        </w:rPr>
        <w:t>Доверие Обединен Холдинг АД получи наградата за емитент с най-голям принос за развитието на капиталовия пазар през изминалата година.</w:t>
      </w:r>
    </w:p>
    <w:p w:rsidR="00855D27" w:rsidRPr="00A67260" w:rsidRDefault="00855D27" w:rsidP="00855D27">
      <w:pPr>
        <w:spacing w:line="276" w:lineRule="auto"/>
        <w:rPr>
          <w:szCs w:val="22"/>
          <w:highlight w:val="yellow"/>
        </w:rPr>
      </w:pPr>
      <w:r w:rsidRPr="00A67260">
        <w:rPr>
          <w:rFonts w:cs="Arial"/>
          <w:color w:val="000000"/>
          <w:szCs w:val="22"/>
          <w:shd w:val="clear" w:color="auto" w:fill="FFFFFF"/>
        </w:rPr>
        <w:t>Отличията за медии с най-голям и сериозен принос при популяризирането на капиталовия пазар през 2019 г. бяха присъдени на Investor.bg и Infostock.bg.</w:t>
      </w:r>
    </w:p>
    <w:p w:rsidR="00855D27" w:rsidRPr="00F55B63" w:rsidRDefault="00855D27" w:rsidP="00146699">
      <w:pPr>
        <w:rPr>
          <w:rFonts w:cs="Calibri"/>
          <w:highlight w:val="yellow"/>
        </w:rPr>
      </w:pPr>
    </w:p>
    <w:p w:rsidR="00146699" w:rsidRPr="00A111E6" w:rsidRDefault="005B314A" w:rsidP="00146699">
      <w:pPr>
        <w:pStyle w:val="SubNumbers"/>
        <w:tabs>
          <w:tab w:val="left" w:pos="-2127"/>
        </w:tabs>
        <w:spacing w:line="276" w:lineRule="auto"/>
        <w:ind w:left="1134" w:hanging="774"/>
      </w:pPr>
      <w:bookmarkStart w:id="33" w:name="_Toc7535426"/>
      <w:bookmarkStart w:id="34" w:name="_Toc42271152"/>
      <w:r w:rsidRPr="00A111E6">
        <w:t>Стартира търговията с дялове от първия „къс” индексен фонд на БФБ</w:t>
      </w:r>
      <w:bookmarkEnd w:id="33"/>
      <w:bookmarkEnd w:id="34"/>
    </w:p>
    <w:p w:rsidR="00A111E6" w:rsidRPr="00A67260" w:rsidRDefault="00A111E6" w:rsidP="00A111E6">
      <w:pPr>
        <w:spacing w:line="276" w:lineRule="auto"/>
        <w:rPr>
          <w:rFonts w:cs="Arial"/>
          <w:color w:val="000000"/>
          <w:szCs w:val="22"/>
          <w:shd w:val="clear" w:color="auto" w:fill="FFFFFF"/>
        </w:rPr>
      </w:pPr>
      <w:r w:rsidRPr="00A67260">
        <w:rPr>
          <w:szCs w:val="22"/>
        </w:rPr>
        <w:t>На 15 януари 2020 г. започна т</w:t>
      </w:r>
      <w:r w:rsidRPr="00A67260">
        <w:rPr>
          <w:rFonts w:cs="Arial"/>
          <w:color w:val="000000"/>
          <w:szCs w:val="22"/>
          <w:shd w:val="clear" w:color="auto" w:fill="FFFFFF"/>
        </w:rPr>
        <w:t>ърговията с дялове от Националния договорен фонд Expat Bulgaria Short SOFIX на Българска фондова борса. Фондът е създаден от управляващото дружество „Експат Асет Мениджмънт” ЕАД и следва обратното движение на индекса SOFIX, калкулиран от „БФБ”. Борсовият му код е BGXS. Фондът се търгува в Сегмент борсово търгувани продукти на Основния пазар BSE на „БФБ”.</w:t>
      </w:r>
    </w:p>
    <w:p w:rsidR="00A111E6" w:rsidRPr="00A67260" w:rsidRDefault="00A111E6" w:rsidP="00A111E6">
      <w:pPr>
        <w:spacing w:line="276" w:lineRule="auto"/>
        <w:rPr>
          <w:rFonts w:cs="Arial"/>
          <w:color w:val="000000"/>
          <w:szCs w:val="22"/>
          <w:shd w:val="clear" w:color="auto" w:fill="FFFFFF"/>
        </w:rPr>
      </w:pPr>
      <w:r>
        <w:rPr>
          <w:rFonts w:cs="Arial"/>
          <w:color w:val="000000"/>
          <w:szCs w:val="22"/>
          <w:shd w:val="clear" w:color="auto" w:fill="FFFFFF"/>
        </w:rPr>
        <w:t>„</w:t>
      </w:r>
      <w:r w:rsidRPr="00A67260">
        <w:rPr>
          <w:rFonts w:cs="Arial"/>
          <w:color w:val="000000"/>
          <w:szCs w:val="22"/>
          <w:shd w:val="clear" w:color="auto" w:fill="FFFFFF"/>
        </w:rPr>
        <w:t>Стартът на търговията с първия „къс“ индексен фонд е знаково събитие за българския капиталов пазар в началото на 2020 г., не само защото това е първия фонд с обратна инвестиционна стратегия, но и защото продуктовото разнообразие е предпоставка за засилване на инвестиционния интерес към пазарите на БФБ</w:t>
      </w:r>
      <w:r>
        <w:rPr>
          <w:rFonts w:cs="Arial"/>
          <w:color w:val="000000"/>
          <w:szCs w:val="22"/>
          <w:shd w:val="clear" w:color="auto" w:fill="FFFFFF"/>
        </w:rPr>
        <w:t>”, каза доц. д-р Маню Моравенов, Изп. директор на БФБ, при откриване на церемонията</w:t>
      </w:r>
      <w:r w:rsidRPr="00A67260">
        <w:rPr>
          <w:rFonts w:cs="Arial"/>
          <w:color w:val="000000"/>
          <w:szCs w:val="22"/>
          <w:shd w:val="clear" w:color="auto" w:fill="FFFFFF"/>
        </w:rPr>
        <w:t xml:space="preserve">. </w:t>
      </w:r>
    </w:p>
    <w:p w:rsidR="00A111E6" w:rsidRDefault="00A111E6" w:rsidP="00A111E6">
      <w:pPr>
        <w:spacing w:line="276" w:lineRule="auto"/>
        <w:rPr>
          <w:rFonts w:cs="Arial"/>
          <w:color w:val="000000"/>
          <w:szCs w:val="22"/>
          <w:shd w:val="clear" w:color="auto" w:fill="FFFFFF"/>
        </w:rPr>
      </w:pPr>
      <w:r w:rsidRPr="00A67260">
        <w:rPr>
          <w:rFonts w:cs="Arial"/>
          <w:color w:val="000000"/>
          <w:szCs w:val="22"/>
          <w:shd w:val="clear" w:color="auto" w:fill="FFFFFF"/>
        </w:rPr>
        <w:t>Номиналната стойност на един дял от фонда е 1 лев. Вид на дяловете: безналични, поименни, свободно прехвърляеми. Маркет-мейкър на емисията е инвестиционният посредник БенчМарк Финанс АД. Максималният размер на отклонението в процент между котировките “купува“ и „продава“ (спред) е 5%. Минимална стойност на котировката в парично изражение към момента на въвеждането й е 2 500 лв.</w:t>
      </w:r>
    </w:p>
    <w:p w:rsidR="00A111E6" w:rsidRPr="00A67260" w:rsidRDefault="00A111E6" w:rsidP="00A111E6">
      <w:pPr>
        <w:spacing w:line="276" w:lineRule="auto"/>
        <w:rPr>
          <w:szCs w:val="22"/>
          <w:highlight w:val="yellow"/>
        </w:rPr>
      </w:pPr>
      <w:r w:rsidRPr="00A67260">
        <w:rPr>
          <w:rFonts w:cs="Arial"/>
          <w:color w:val="000000"/>
          <w:szCs w:val="22"/>
          <w:shd w:val="clear" w:color="auto" w:fill="FFFFFF"/>
        </w:rPr>
        <w:t>Управляващото дружество „Експат Асет Мениджмънт” ЕАД създаде и първия борсово търгуван фонд - Expat Bulgaria SOFIX UCIT ETF, чиито дялове се търгуват успешно вече четири години на Българска фондова борса</w:t>
      </w:r>
      <w:r w:rsidRPr="00A67260">
        <w:rPr>
          <w:rFonts w:ascii="Arial" w:hAnsi="Arial" w:cs="Arial"/>
          <w:color w:val="000000"/>
          <w:szCs w:val="22"/>
          <w:shd w:val="clear" w:color="auto" w:fill="FFFFFF"/>
        </w:rPr>
        <w:t>.</w:t>
      </w:r>
    </w:p>
    <w:p w:rsidR="00A111E6" w:rsidRPr="00F55B63" w:rsidRDefault="00A111E6" w:rsidP="00146699">
      <w:pPr>
        <w:rPr>
          <w:rFonts w:cs="Calibri"/>
          <w:highlight w:val="yellow"/>
        </w:rPr>
      </w:pPr>
    </w:p>
    <w:p w:rsidR="00146699" w:rsidRPr="00A111E6" w:rsidRDefault="00A111E6" w:rsidP="00146699">
      <w:pPr>
        <w:pStyle w:val="SubNumbers"/>
        <w:tabs>
          <w:tab w:val="left" w:pos="-2127"/>
        </w:tabs>
        <w:spacing w:line="276" w:lineRule="auto"/>
        <w:ind w:left="1134" w:hanging="774"/>
      </w:pPr>
      <w:bookmarkStart w:id="35" w:name="_Toc42271153"/>
      <w:bookmarkStart w:id="36" w:name="_Toc7535427"/>
      <w:r w:rsidRPr="00A111E6">
        <w:t xml:space="preserve">Приемане на нови съветници на пазар </w:t>
      </w:r>
      <w:r w:rsidRPr="00A111E6">
        <w:rPr>
          <w:lang w:val="en-US"/>
        </w:rPr>
        <w:t>BEAM</w:t>
      </w:r>
      <w:bookmarkEnd w:id="35"/>
      <w:r w:rsidRPr="00A111E6">
        <w:rPr>
          <w:lang w:val="en-US"/>
        </w:rPr>
        <w:t xml:space="preserve"> </w:t>
      </w:r>
      <w:bookmarkEnd w:id="36"/>
    </w:p>
    <w:p w:rsidR="00A111E6" w:rsidRPr="00DE28E1" w:rsidRDefault="00A111E6" w:rsidP="00A111E6">
      <w:pPr>
        <w:spacing w:line="276" w:lineRule="auto"/>
        <w:rPr>
          <w:rFonts w:cs="Arial"/>
          <w:color w:val="000000"/>
          <w:szCs w:val="22"/>
          <w:shd w:val="clear" w:color="auto" w:fill="FFFFFF"/>
        </w:rPr>
      </w:pPr>
      <w:r w:rsidRPr="00DE28E1">
        <w:rPr>
          <w:rFonts w:cs="Arial"/>
          <w:color w:val="000000"/>
          <w:szCs w:val="22"/>
          <w:shd w:val="clear" w:color="auto" w:fill="FFFFFF"/>
        </w:rPr>
        <w:t>На проведено заседание на Комитета по управление при Българска фондова борса АД  по Протокол № 05/07.01.2020 г. е взето следното решение:</w:t>
      </w:r>
    </w:p>
    <w:p w:rsidR="00A111E6" w:rsidRPr="00DE28E1" w:rsidRDefault="00A111E6" w:rsidP="00A111E6">
      <w:pPr>
        <w:spacing w:line="276" w:lineRule="auto"/>
        <w:rPr>
          <w:b/>
          <w:szCs w:val="22"/>
        </w:rPr>
      </w:pPr>
      <w:r w:rsidRPr="00DE28E1">
        <w:rPr>
          <w:rFonts w:cs="Arial"/>
          <w:color w:val="000000"/>
          <w:szCs w:val="22"/>
          <w:shd w:val="clear" w:color="auto" w:fill="FFFFFF"/>
        </w:rPr>
        <w:t>Във връзка с подадено заявление по чл. 4, ал. 1 от Правилата за дейността на Съветниците на Пазар за растеж на МСП BEAM, Комитетът по управление към БФБ АД,</w:t>
      </w:r>
      <w:r>
        <w:rPr>
          <w:rFonts w:cs="Arial"/>
          <w:color w:val="000000"/>
          <w:szCs w:val="22"/>
          <w:shd w:val="clear" w:color="auto" w:fill="FFFFFF"/>
          <w:lang w:val="en-US"/>
        </w:rPr>
        <w:t xml:space="preserve"> </w:t>
      </w:r>
      <w:r w:rsidRPr="00DE28E1">
        <w:rPr>
          <w:rFonts w:cs="Arial"/>
          <w:color w:val="000000"/>
          <w:szCs w:val="22"/>
          <w:shd w:val="clear" w:color="auto" w:fill="FFFFFF"/>
        </w:rPr>
        <w:t xml:space="preserve">на основание чл. 6, ал. 4 от същите, предоставя на Адвокатско дружество Гюров и Ризов статут на Съветник на пазар BEAM, считано от </w:t>
      </w:r>
      <w:r w:rsidRPr="00DE28E1">
        <w:rPr>
          <w:rFonts w:cs="Arial"/>
          <w:color w:val="000000"/>
          <w:szCs w:val="22"/>
          <w:shd w:val="clear" w:color="auto" w:fill="FFFFFF"/>
        </w:rPr>
        <w:lastRenderedPageBreak/>
        <w:t>датата на влизане в сила на договора между Съветника и Борсата.</w:t>
      </w:r>
    </w:p>
    <w:p w:rsidR="00A111E6" w:rsidRDefault="00A111E6" w:rsidP="00A111E6">
      <w:pPr>
        <w:spacing w:line="276" w:lineRule="auto"/>
        <w:rPr>
          <w:color w:val="000000"/>
          <w:szCs w:val="22"/>
          <w:shd w:val="clear" w:color="auto" w:fill="FFFFFF"/>
          <w:lang w:val="en-US"/>
        </w:rPr>
      </w:pPr>
    </w:p>
    <w:p w:rsidR="00A111E6" w:rsidRPr="00DE28E1" w:rsidRDefault="00A111E6" w:rsidP="00A111E6">
      <w:pPr>
        <w:spacing w:line="276" w:lineRule="auto"/>
        <w:rPr>
          <w:color w:val="000000"/>
          <w:szCs w:val="22"/>
          <w:shd w:val="clear" w:color="auto" w:fill="FFFFFF"/>
        </w:rPr>
      </w:pPr>
      <w:r w:rsidRPr="00DE28E1">
        <w:rPr>
          <w:color w:val="000000"/>
          <w:szCs w:val="22"/>
          <w:shd w:val="clear" w:color="auto" w:fill="FFFFFF"/>
        </w:rPr>
        <w:t>На проведено заседание на Комитета по управление на пазар BEAM при Българска фондова борса АД по Протокол № 06/18.03.2020 г. е взето следното решение:</w:t>
      </w:r>
    </w:p>
    <w:p w:rsidR="00A111E6" w:rsidRPr="00DE28E1" w:rsidRDefault="00A111E6" w:rsidP="00A111E6">
      <w:pPr>
        <w:spacing w:line="276" w:lineRule="auto"/>
        <w:rPr>
          <w:b/>
          <w:szCs w:val="22"/>
        </w:rPr>
      </w:pPr>
      <w:r w:rsidRPr="00DE28E1">
        <w:rPr>
          <w:color w:val="000000"/>
          <w:szCs w:val="22"/>
          <w:shd w:val="clear" w:color="auto" w:fill="FFFFFF"/>
        </w:rPr>
        <w:t>Във връзка с подадено заявление по чл. 4, ал. 1 от Правилата за дейността на  Съветниците на Пазар за растеж на МСП BEAM, Комитетът по управление към БФБ АД,  на основание чл. 6, ал. 4 от същите, предоставя на ИП Карол АД статут на Съветник на пазар BEAM, считано от датата на влизане в сила на договора между Съветника и Борсата.</w:t>
      </w:r>
    </w:p>
    <w:p w:rsidR="00A111E6" w:rsidRPr="00A111E6" w:rsidRDefault="00A111E6" w:rsidP="00146699">
      <w:pPr>
        <w:rPr>
          <w:rFonts w:cs="Calibri"/>
          <w:highlight w:val="yellow"/>
          <w:lang w:val="en-US"/>
        </w:rPr>
      </w:pPr>
    </w:p>
    <w:p w:rsidR="00146699" w:rsidRPr="00A111E6" w:rsidRDefault="00146699" w:rsidP="00146699">
      <w:pPr>
        <w:pStyle w:val="SubNumbers"/>
        <w:tabs>
          <w:tab w:val="left" w:pos="-2127"/>
        </w:tabs>
        <w:spacing w:line="276" w:lineRule="auto"/>
        <w:ind w:left="1134" w:hanging="774"/>
      </w:pPr>
      <w:bookmarkStart w:id="37" w:name="_Toc7535428"/>
      <w:bookmarkStart w:id="38" w:name="_Toc42271154"/>
      <w:r w:rsidRPr="00A111E6">
        <w:t xml:space="preserve">БФБ </w:t>
      </w:r>
      <w:bookmarkEnd w:id="37"/>
      <w:r w:rsidR="00A111E6" w:rsidRPr="00A111E6">
        <w:t>организира представяне на резултатите на дружеството за четвъртото триме</w:t>
      </w:r>
      <w:r w:rsidR="0042539F">
        <w:t>с</w:t>
      </w:r>
      <w:r w:rsidR="00A111E6" w:rsidRPr="00A111E6">
        <w:t>е</w:t>
      </w:r>
      <w:r w:rsidR="0042539F">
        <w:t>ч</w:t>
      </w:r>
      <w:r w:rsidR="00A111E6" w:rsidRPr="00A111E6">
        <w:t>ие на 2019 г.</w:t>
      </w:r>
      <w:bookmarkEnd w:id="38"/>
      <w:r w:rsidR="00A111E6" w:rsidRPr="00A111E6">
        <w:t xml:space="preserve"> </w:t>
      </w:r>
    </w:p>
    <w:p w:rsidR="00A111E6" w:rsidRPr="00E34040" w:rsidRDefault="00A111E6" w:rsidP="00A111E6">
      <w:pPr>
        <w:pStyle w:val="Mainnumbers"/>
        <w:numPr>
          <w:ilvl w:val="0"/>
          <w:numId w:val="0"/>
        </w:numPr>
        <w:spacing w:before="0" w:after="0" w:line="276" w:lineRule="auto"/>
        <w:rPr>
          <w:b w:val="0"/>
        </w:rPr>
      </w:pPr>
      <w:bookmarkStart w:id="39" w:name="_Toc40954570"/>
      <w:bookmarkStart w:id="40" w:name="_Toc42271155"/>
      <w:r w:rsidRPr="00EC67CE">
        <w:rPr>
          <w:rFonts w:cs="Arial"/>
          <w:b w:val="0"/>
          <w:color w:val="000000"/>
          <w:szCs w:val="22"/>
          <w:lang w:eastAsia="bg-BG"/>
        </w:rPr>
        <w:t>Българска фондова борса" АД организира на 29 Януари 2020 в 13:30 ч. представяне на резултатите на дружеството за четвъртото тримесечие на 2019 година</w:t>
      </w:r>
      <w:r w:rsidRPr="00DE28E1">
        <w:rPr>
          <w:rFonts w:cs="Arial"/>
          <w:color w:val="000000"/>
          <w:szCs w:val="22"/>
          <w:lang w:eastAsia="bg-BG"/>
        </w:rPr>
        <w:t xml:space="preserve">. </w:t>
      </w:r>
      <w:r w:rsidRPr="00E34040">
        <w:rPr>
          <w:b w:val="0"/>
        </w:rPr>
        <w:t>Настоящи инвеститори и заинтересовани страни се запознаха с финансовото състояние на борсата за посочения период и имаха възможност да отправят своите въпроси, свързани с презентираната информация, към ръководството на компанията.</w:t>
      </w:r>
      <w:bookmarkEnd w:id="39"/>
      <w:bookmarkEnd w:id="40"/>
    </w:p>
    <w:p w:rsidR="00A111E6" w:rsidRPr="00E34040" w:rsidRDefault="00A111E6" w:rsidP="00A111E6">
      <w:pPr>
        <w:pStyle w:val="Mainnumbers"/>
        <w:numPr>
          <w:ilvl w:val="0"/>
          <w:numId w:val="0"/>
        </w:numPr>
        <w:spacing w:before="0" w:after="0" w:line="276" w:lineRule="auto"/>
        <w:rPr>
          <w:b w:val="0"/>
        </w:rPr>
      </w:pPr>
      <w:bookmarkStart w:id="41" w:name="_Toc30160999"/>
      <w:bookmarkStart w:id="42" w:name="_Toc31376613"/>
      <w:bookmarkStart w:id="43" w:name="_Toc40954571"/>
      <w:bookmarkStart w:id="44" w:name="_Toc42271156"/>
      <w:r w:rsidRPr="00E34040">
        <w:rPr>
          <w:b w:val="0"/>
        </w:rPr>
        <w:t xml:space="preserve">Представянето беше под формата на уебинар и се осъществи на английски език. Информацията бе поднесена от Маню Моравенов, изпълнителен директор и </w:t>
      </w:r>
      <w:r>
        <w:rPr>
          <w:b w:val="0"/>
        </w:rPr>
        <w:t>Снежана Йотинска</w:t>
      </w:r>
      <w:r w:rsidRPr="00E34040">
        <w:rPr>
          <w:b w:val="0"/>
        </w:rPr>
        <w:t>, директор за връзки с инвеститорите. Запис на уебинара е на разположение в Youtube канала на БФБ.</w:t>
      </w:r>
      <w:bookmarkEnd w:id="41"/>
      <w:bookmarkEnd w:id="42"/>
      <w:bookmarkEnd w:id="43"/>
      <w:bookmarkEnd w:id="44"/>
    </w:p>
    <w:p w:rsidR="00A111E6" w:rsidRDefault="00A111E6" w:rsidP="00146699">
      <w:pPr>
        <w:rPr>
          <w:rFonts w:cs="Calibri"/>
          <w:highlight w:val="yellow"/>
        </w:rPr>
      </w:pPr>
    </w:p>
    <w:p w:rsidR="00146699" w:rsidRPr="00A111E6" w:rsidRDefault="00A111E6" w:rsidP="00146699">
      <w:pPr>
        <w:pStyle w:val="SubNumbers"/>
        <w:tabs>
          <w:tab w:val="left" w:pos="-2127"/>
        </w:tabs>
        <w:spacing w:line="276" w:lineRule="auto"/>
        <w:ind w:left="1134" w:hanging="774"/>
      </w:pPr>
      <w:bookmarkStart w:id="45" w:name="_Toc7535429"/>
      <w:bookmarkStart w:id="46" w:name="_Toc42271157"/>
      <w:r w:rsidRPr="00A111E6">
        <w:t xml:space="preserve">Промяна в индексите, изчислявани от </w:t>
      </w:r>
      <w:r w:rsidR="00146699" w:rsidRPr="00A111E6">
        <w:t>БФБ</w:t>
      </w:r>
      <w:bookmarkEnd w:id="45"/>
      <w:bookmarkEnd w:id="46"/>
    </w:p>
    <w:p w:rsidR="00A111E6" w:rsidRPr="00DE28E1" w:rsidRDefault="00A111E6" w:rsidP="00A111E6">
      <w:pPr>
        <w:shd w:val="clear" w:color="auto" w:fill="FFFFFF"/>
        <w:spacing w:line="276" w:lineRule="auto"/>
        <w:rPr>
          <w:szCs w:val="22"/>
        </w:rPr>
      </w:pPr>
      <w:r w:rsidRPr="00DE28E1">
        <w:rPr>
          <w:szCs w:val="22"/>
        </w:rPr>
        <w:t>На проведено заседание на Съвета на директорите на БФБ АД по Протокол № 10 от 09.03.2020 г., са взети следните решения:</w:t>
      </w:r>
    </w:p>
    <w:p w:rsidR="00A111E6" w:rsidRPr="00DE28E1" w:rsidRDefault="00A111E6" w:rsidP="00A111E6">
      <w:pPr>
        <w:shd w:val="clear" w:color="auto" w:fill="FFFFFF"/>
        <w:spacing w:line="276" w:lineRule="auto"/>
        <w:rPr>
          <w:szCs w:val="22"/>
        </w:rPr>
      </w:pPr>
      <w:r w:rsidRPr="00DE28E1">
        <w:rPr>
          <w:szCs w:val="22"/>
        </w:rPr>
        <w:t>II. Преразглеждане на базата на BGBX 40</w:t>
      </w:r>
    </w:p>
    <w:p w:rsidR="00A111E6" w:rsidRPr="00DE28E1" w:rsidRDefault="00A111E6" w:rsidP="00A111E6">
      <w:pPr>
        <w:shd w:val="clear" w:color="auto" w:fill="FFFFFF"/>
        <w:spacing w:line="276" w:lineRule="auto"/>
        <w:rPr>
          <w:szCs w:val="22"/>
        </w:rPr>
      </w:pPr>
      <w:r w:rsidRPr="00DE28E1">
        <w:rPr>
          <w:szCs w:val="22"/>
        </w:rPr>
        <w:t>На основание чл. 15, т. 4 от Правилата за изчисляване на индекси на БФБ във връзка с т. 15 от Приложение № 2 (Методология за изчисляване на BGBX 40), Съветът на директорите изключва следните три емисии акции от базата на индекса BGBX 40:</w:t>
      </w:r>
    </w:p>
    <w:p w:rsidR="00A111E6" w:rsidRPr="00DE28E1" w:rsidRDefault="00A111E6" w:rsidP="00A111E6">
      <w:pPr>
        <w:shd w:val="clear" w:color="auto" w:fill="FFFFFF"/>
        <w:spacing w:line="276" w:lineRule="auto"/>
        <w:rPr>
          <w:szCs w:val="22"/>
        </w:rPr>
      </w:pPr>
      <w:r w:rsidRPr="00DE28E1">
        <w:rPr>
          <w:szCs w:val="22"/>
        </w:rPr>
        <w:t>6N3 Холдинг Нов Век АД-София;</w:t>
      </w:r>
    </w:p>
    <w:p w:rsidR="00A111E6" w:rsidRPr="00DE28E1" w:rsidRDefault="00A111E6" w:rsidP="00A111E6">
      <w:pPr>
        <w:shd w:val="clear" w:color="auto" w:fill="FFFFFF"/>
        <w:spacing w:line="276" w:lineRule="auto"/>
        <w:rPr>
          <w:szCs w:val="22"/>
        </w:rPr>
      </w:pPr>
      <w:r w:rsidRPr="00DE28E1">
        <w:rPr>
          <w:szCs w:val="22"/>
        </w:rPr>
        <w:t>6S4 Северкооп Гъмза Холдинг АД-София; и</w:t>
      </w:r>
    </w:p>
    <w:p w:rsidR="00A111E6" w:rsidRPr="00DE28E1" w:rsidRDefault="00A111E6" w:rsidP="00A111E6">
      <w:pPr>
        <w:shd w:val="clear" w:color="auto" w:fill="FFFFFF"/>
        <w:spacing w:line="276" w:lineRule="auto"/>
        <w:rPr>
          <w:szCs w:val="22"/>
        </w:rPr>
      </w:pPr>
      <w:r w:rsidRPr="00DE28E1">
        <w:rPr>
          <w:szCs w:val="22"/>
        </w:rPr>
        <w:t>BPY Браво Пропърти Фонд АДСИЦ-София</w:t>
      </w:r>
    </w:p>
    <w:p w:rsidR="00A111E6" w:rsidRPr="00DE28E1" w:rsidRDefault="00A111E6" w:rsidP="00A111E6">
      <w:pPr>
        <w:shd w:val="clear" w:color="auto" w:fill="FFFFFF"/>
        <w:spacing w:line="276" w:lineRule="auto"/>
        <w:rPr>
          <w:szCs w:val="22"/>
        </w:rPr>
      </w:pPr>
      <w:r w:rsidRPr="00DE28E1">
        <w:rPr>
          <w:szCs w:val="22"/>
        </w:rPr>
        <w:br/>
        <w:t>и добавя следните три емисии акции в базата на индекса BGBX 40:</w:t>
      </w:r>
    </w:p>
    <w:p w:rsidR="00A111E6" w:rsidRPr="00DE28E1" w:rsidRDefault="00A111E6" w:rsidP="00A111E6">
      <w:pPr>
        <w:shd w:val="clear" w:color="auto" w:fill="FFFFFF"/>
        <w:spacing w:line="276" w:lineRule="auto"/>
        <w:rPr>
          <w:szCs w:val="22"/>
        </w:rPr>
      </w:pPr>
      <w:r w:rsidRPr="00DE28E1">
        <w:rPr>
          <w:szCs w:val="22"/>
        </w:rPr>
        <w:t>5AX Актив Пропъртис АДСИЦ-Пловдив;</w:t>
      </w:r>
    </w:p>
    <w:p w:rsidR="00A111E6" w:rsidRPr="00DE28E1" w:rsidRDefault="00A111E6" w:rsidP="00A111E6">
      <w:pPr>
        <w:shd w:val="clear" w:color="auto" w:fill="FFFFFF"/>
        <w:spacing w:line="276" w:lineRule="auto"/>
        <w:rPr>
          <w:szCs w:val="22"/>
        </w:rPr>
      </w:pPr>
      <w:r w:rsidRPr="00DE28E1">
        <w:rPr>
          <w:szCs w:val="22"/>
        </w:rPr>
        <w:t>1VX Велграф Асет Мениджмънт АД-София; и</w:t>
      </w:r>
    </w:p>
    <w:p w:rsidR="00A111E6" w:rsidRPr="00DE28E1" w:rsidRDefault="00A111E6" w:rsidP="00A111E6">
      <w:pPr>
        <w:shd w:val="clear" w:color="auto" w:fill="FFFFFF"/>
        <w:spacing w:line="276" w:lineRule="auto"/>
        <w:rPr>
          <w:szCs w:val="22"/>
        </w:rPr>
      </w:pPr>
      <w:r w:rsidRPr="00DE28E1">
        <w:rPr>
          <w:szCs w:val="22"/>
        </w:rPr>
        <w:t>6R2 Родна Земя Холдинг АД-Добрич</w:t>
      </w:r>
    </w:p>
    <w:p w:rsidR="00A111E6" w:rsidRPr="00DE28E1" w:rsidRDefault="00A111E6" w:rsidP="00A111E6">
      <w:pPr>
        <w:shd w:val="clear" w:color="auto" w:fill="FFFFFF"/>
        <w:spacing w:line="276" w:lineRule="auto"/>
        <w:rPr>
          <w:szCs w:val="22"/>
        </w:rPr>
      </w:pPr>
      <w:r w:rsidRPr="00DE28E1">
        <w:rPr>
          <w:szCs w:val="22"/>
        </w:rPr>
        <w:t>III. Преразглеждане на базата на BG REIT</w:t>
      </w:r>
    </w:p>
    <w:p w:rsidR="00A111E6" w:rsidRPr="00DE28E1" w:rsidRDefault="00A111E6" w:rsidP="00A111E6">
      <w:pPr>
        <w:shd w:val="clear" w:color="auto" w:fill="FFFFFF"/>
        <w:spacing w:line="276" w:lineRule="auto"/>
        <w:rPr>
          <w:szCs w:val="22"/>
        </w:rPr>
      </w:pPr>
      <w:r w:rsidRPr="00DE28E1">
        <w:rPr>
          <w:szCs w:val="22"/>
        </w:rPr>
        <w:t>На основание чл. 15, т. 4 от Правилата за изчисляване на индекси на БФБ във връзка с т. 12 от Приложение № 3 (Методология за изчисляване на BG REIT), Съветът на директорите не извършва промени в базата на индекса BG REIT.</w:t>
      </w:r>
    </w:p>
    <w:p w:rsidR="00A111E6" w:rsidRPr="00DE28E1" w:rsidRDefault="00A111E6" w:rsidP="00A111E6">
      <w:pPr>
        <w:shd w:val="clear" w:color="auto" w:fill="FFFFFF"/>
        <w:spacing w:line="276" w:lineRule="auto"/>
        <w:rPr>
          <w:szCs w:val="22"/>
        </w:rPr>
      </w:pPr>
      <w:r w:rsidRPr="00DE28E1">
        <w:rPr>
          <w:szCs w:val="22"/>
        </w:rPr>
        <w:br/>
      </w:r>
      <w:r w:rsidRPr="00DE28E1">
        <w:rPr>
          <w:szCs w:val="22"/>
        </w:rPr>
        <w:lastRenderedPageBreak/>
        <w:t>IV. Преразглеждане на базата на BG TR30</w:t>
      </w:r>
    </w:p>
    <w:p w:rsidR="00A111E6" w:rsidRPr="00DE28E1" w:rsidRDefault="00A111E6" w:rsidP="00A111E6">
      <w:pPr>
        <w:shd w:val="clear" w:color="auto" w:fill="FFFFFF"/>
        <w:spacing w:line="276" w:lineRule="auto"/>
        <w:rPr>
          <w:szCs w:val="22"/>
        </w:rPr>
      </w:pPr>
      <w:r w:rsidRPr="00DE28E1">
        <w:rPr>
          <w:szCs w:val="22"/>
        </w:rPr>
        <w:t>На основание чл. 15, т. 4 от Правилата за изчисляване на индекси на БФБ във връзка с т.17 от Приложение № 4 (Методология за изчисляване на BG TR30), Съветът на</w:t>
      </w:r>
      <w:r>
        <w:rPr>
          <w:szCs w:val="22"/>
          <w:lang w:val="en-US"/>
        </w:rPr>
        <w:t xml:space="preserve"> </w:t>
      </w:r>
      <w:r w:rsidRPr="00DE28E1">
        <w:rPr>
          <w:szCs w:val="22"/>
        </w:rPr>
        <w:t>директорите изключва следните шест емисии акции от базата на индекса BG TR30:</w:t>
      </w:r>
    </w:p>
    <w:p w:rsidR="00A111E6" w:rsidRPr="00DE28E1" w:rsidRDefault="00A111E6" w:rsidP="00A111E6">
      <w:pPr>
        <w:shd w:val="clear" w:color="auto" w:fill="FFFFFF"/>
        <w:spacing w:line="276" w:lineRule="auto"/>
        <w:rPr>
          <w:szCs w:val="22"/>
        </w:rPr>
      </w:pPr>
      <w:r w:rsidRPr="00DE28E1">
        <w:rPr>
          <w:szCs w:val="22"/>
        </w:rPr>
        <w:t>4HS Холдинг Света София АД-София;</w:t>
      </w:r>
    </w:p>
    <w:p w:rsidR="00A111E6" w:rsidRPr="00DE28E1" w:rsidRDefault="00A111E6" w:rsidP="00A111E6">
      <w:pPr>
        <w:shd w:val="clear" w:color="auto" w:fill="FFFFFF"/>
        <w:spacing w:line="276" w:lineRule="auto"/>
        <w:rPr>
          <w:szCs w:val="22"/>
        </w:rPr>
      </w:pPr>
      <w:r w:rsidRPr="00DE28E1">
        <w:rPr>
          <w:szCs w:val="22"/>
        </w:rPr>
        <w:t>4IN Инвестор.БГ АД-София;</w:t>
      </w:r>
    </w:p>
    <w:p w:rsidR="00A111E6" w:rsidRPr="00DE28E1" w:rsidRDefault="00A111E6" w:rsidP="00A111E6">
      <w:pPr>
        <w:shd w:val="clear" w:color="auto" w:fill="FFFFFF"/>
        <w:spacing w:line="276" w:lineRule="auto"/>
        <w:rPr>
          <w:szCs w:val="22"/>
        </w:rPr>
      </w:pPr>
      <w:r w:rsidRPr="00DE28E1">
        <w:rPr>
          <w:szCs w:val="22"/>
        </w:rPr>
        <w:t>6N3 Холдинг Нов Век АД-София;</w:t>
      </w:r>
    </w:p>
    <w:p w:rsidR="00A111E6" w:rsidRPr="00DE28E1" w:rsidRDefault="00A111E6" w:rsidP="00A111E6">
      <w:pPr>
        <w:shd w:val="clear" w:color="auto" w:fill="FFFFFF"/>
        <w:spacing w:line="276" w:lineRule="auto"/>
        <w:rPr>
          <w:szCs w:val="22"/>
        </w:rPr>
      </w:pPr>
      <w:r w:rsidRPr="00DE28E1">
        <w:rPr>
          <w:szCs w:val="22"/>
        </w:rPr>
        <w:t>6S4 Северкооп Гъмза Холдинг АД-София;</w:t>
      </w:r>
    </w:p>
    <w:p w:rsidR="00A111E6" w:rsidRPr="00DE28E1" w:rsidRDefault="00A111E6" w:rsidP="00A111E6">
      <w:pPr>
        <w:shd w:val="clear" w:color="auto" w:fill="FFFFFF"/>
        <w:spacing w:line="276" w:lineRule="auto"/>
        <w:rPr>
          <w:szCs w:val="22"/>
        </w:rPr>
      </w:pPr>
      <w:r w:rsidRPr="00DE28E1">
        <w:rPr>
          <w:szCs w:val="22"/>
        </w:rPr>
        <w:t>94G 235 Холдингс АД-София; и</w:t>
      </w:r>
    </w:p>
    <w:p w:rsidR="00A111E6" w:rsidRPr="00DE28E1" w:rsidRDefault="00A111E6" w:rsidP="00A111E6">
      <w:pPr>
        <w:shd w:val="clear" w:color="auto" w:fill="FFFFFF"/>
        <w:spacing w:line="276" w:lineRule="auto"/>
        <w:rPr>
          <w:szCs w:val="22"/>
        </w:rPr>
      </w:pPr>
      <w:r w:rsidRPr="00DE28E1">
        <w:rPr>
          <w:szCs w:val="22"/>
        </w:rPr>
        <w:t>EHN Синтетика АД-София</w:t>
      </w:r>
    </w:p>
    <w:p w:rsidR="00A111E6" w:rsidRPr="00DE28E1" w:rsidRDefault="00A111E6" w:rsidP="00A111E6">
      <w:pPr>
        <w:shd w:val="clear" w:color="auto" w:fill="FFFFFF"/>
        <w:spacing w:line="276" w:lineRule="auto"/>
        <w:rPr>
          <w:szCs w:val="22"/>
        </w:rPr>
      </w:pPr>
    </w:p>
    <w:p w:rsidR="00A111E6" w:rsidRPr="00DE28E1" w:rsidRDefault="00A111E6" w:rsidP="00A111E6">
      <w:pPr>
        <w:shd w:val="clear" w:color="auto" w:fill="FFFFFF"/>
        <w:spacing w:line="276" w:lineRule="auto"/>
        <w:rPr>
          <w:szCs w:val="22"/>
        </w:rPr>
      </w:pPr>
      <w:r w:rsidRPr="00DE28E1">
        <w:rPr>
          <w:szCs w:val="22"/>
        </w:rPr>
        <w:t>и добавя следните шест емисии акции в базата на индекса BG TR30:</w:t>
      </w:r>
    </w:p>
    <w:p w:rsidR="00A111E6" w:rsidRPr="00DE28E1" w:rsidRDefault="00A111E6" w:rsidP="00A111E6">
      <w:pPr>
        <w:shd w:val="clear" w:color="auto" w:fill="FFFFFF"/>
        <w:spacing w:line="276" w:lineRule="auto"/>
        <w:rPr>
          <w:szCs w:val="22"/>
        </w:rPr>
      </w:pPr>
      <w:r w:rsidRPr="00DE28E1">
        <w:rPr>
          <w:szCs w:val="22"/>
        </w:rPr>
        <w:t>6R2 Родна Земя Холдинг АД-Добрич;</w:t>
      </w:r>
    </w:p>
    <w:p w:rsidR="00A111E6" w:rsidRPr="00DE28E1" w:rsidRDefault="00A111E6" w:rsidP="00A111E6">
      <w:pPr>
        <w:shd w:val="clear" w:color="auto" w:fill="FFFFFF"/>
        <w:spacing w:line="276" w:lineRule="auto"/>
        <w:rPr>
          <w:szCs w:val="22"/>
        </w:rPr>
      </w:pPr>
      <w:r w:rsidRPr="00DE28E1">
        <w:rPr>
          <w:szCs w:val="22"/>
        </w:rPr>
        <w:t>58E Химснаб България АД-София;</w:t>
      </w:r>
    </w:p>
    <w:p w:rsidR="00A111E6" w:rsidRPr="00DE28E1" w:rsidRDefault="00A111E6" w:rsidP="00A111E6">
      <w:pPr>
        <w:shd w:val="clear" w:color="auto" w:fill="FFFFFF"/>
        <w:spacing w:line="276" w:lineRule="auto"/>
        <w:rPr>
          <w:szCs w:val="22"/>
        </w:rPr>
      </w:pPr>
      <w:r w:rsidRPr="00DE28E1">
        <w:rPr>
          <w:szCs w:val="22"/>
        </w:rPr>
        <w:t>0SP Спиди АД-София;</w:t>
      </w:r>
    </w:p>
    <w:p w:rsidR="00A111E6" w:rsidRPr="00DE28E1" w:rsidRDefault="00A111E6" w:rsidP="00A111E6">
      <w:pPr>
        <w:shd w:val="clear" w:color="auto" w:fill="FFFFFF"/>
        <w:spacing w:line="276" w:lineRule="auto"/>
        <w:rPr>
          <w:szCs w:val="22"/>
        </w:rPr>
      </w:pPr>
      <w:r w:rsidRPr="00DE28E1">
        <w:rPr>
          <w:szCs w:val="22"/>
        </w:rPr>
        <w:t>5AX Актив Пропъртис АДСИЦ-Пловдив;</w:t>
      </w:r>
    </w:p>
    <w:p w:rsidR="00A111E6" w:rsidRPr="00DE28E1" w:rsidRDefault="00A111E6" w:rsidP="00A111E6">
      <w:pPr>
        <w:shd w:val="clear" w:color="auto" w:fill="FFFFFF"/>
        <w:spacing w:line="276" w:lineRule="auto"/>
        <w:rPr>
          <w:szCs w:val="22"/>
        </w:rPr>
      </w:pPr>
      <w:r w:rsidRPr="00DE28E1">
        <w:rPr>
          <w:szCs w:val="22"/>
        </w:rPr>
        <w:t>4I8 Индустриален Капитал Холдинг АД-София; и</w:t>
      </w:r>
    </w:p>
    <w:p w:rsidR="00A111E6" w:rsidRPr="00DE28E1" w:rsidRDefault="00A111E6" w:rsidP="00A111E6">
      <w:pPr>
        <w:shd w:val="clear" w:color="auto" w:fill="FFFFFF"/>
        <w:spacing w:line="276" w:lineRule="auto"/>
        <w:rPr>
          <w:szCs w:val="22"/>
        </w:rPr>
      </w:pPr>
      <w:r w:rsidRPr="00DE28E1">
        <w:rPr>
          <w:szCs w:val="22"/>
        </w:rPr>
        <w:t>5CQ Кепитъл Мениджмънт АДСИЦ-София.</w:t>
      </w:r>
    </w:p>
    <w:p w:rsidR="00A111E6" w:rsidRDefault="00A111E6" w:rsidP="00A111E6">
      <w:pPr>
        <w:spacing w:line="276" w:lineRule="auto"/>
        <w:rPr>
          <w:szCs w:val="22"/>
        </w:rPr>
      </w:pPr>
    </w:p>
    <w:p w:rsidR="00A111E6" w:rsidRPr="00DE28E1" w:rsidRDefault="00A111E6" w:rsidP="00A111E6">
      <w:pPr>
        <w:spacing w:line="276" w:lineRule="auto"/>
        <w:rPr>
          <w:rFonts w:cs="Calibri"/>
          <w:szCs w:val="22"/>
          <w:lang w:val="en-US"/>
        </w:rPr>
      </w:pPr>
      <w:r w:rsidRPr="00DE28E1">
        <w:rPr>
          <w:szCs w:val="22"/>
        </w:rPr>
        <w:t>Решенията за промяна в базите на индексите влизат в сила, считано от 23 март 2020 г.</w:t>
      </w:r>
    </w:p>
    <w:p w:rsidR="00A111E6" w:rsidRPr="00F55B63" w:rsidRDefault="00A111E6" w:rsidP="00146699">
      <w:pPr>
        <w:rPr>
          <w:rFonts w:cs="Calibri"/>
          <w:highlight w:val="yellow"/>
        </w:rPr>
      </w:pPr>
    </w:p>
    <w:p w:rsidR="00146699" w:rsidRPr="008D1C49" w:rsidRDefault="00A111E6" w:rsidP="00146699">
      <w:pPr>
        <w:pStyle w:val="SubNumbers"/>
        <w:tabs>
          <w:tab w:val="left" w:pos="-2127"/>
        </w:tabs>
        <w:spacing w:line="276" w:lineRule="auto"/>
        <w:ind w:left="1134" w:hanging="774"/>
      </w:pPr>
      <w:bookmarkStart w:id="47" w:name="_Toc7535430"/>
      <w:bookmarkStart w:id="48" w:name="_Toc42271158"/>
      <w:r w:rsidRPr="008D1C49">
        <w:t xml:space="preserve">Информация относно </w:t>
      </w:r>
      <w:r w:rsidR="008D1C49" w:rsidRPr="008D1C49">
        <w:t>представяне на финансови отчети на БФБ в рамките на удължените срокове</w:t>
      </w:r>
      <w:bookmarkEnd w:id="47"/>
      <w:bookmarkEnd w:id="48"/>
    </w:p>
    <w:p w:rsidR="008D1C49" w:rsidRPr="00386757" w:rsidRDefault="008D1C49" w:rsidP="008D1C49">
      <w:pPr>
        <w:spacing w:line="276" w:lineRule="auto"/>
        <w:ind w:firstLine="708"/>
      </w:pPr>
      <w:r w:rsidRPr="003A3FDC">
        <w:t xml:space="preserve">Във връзка със съобщение на КФН от 27.03.2020 г., публикувано на интернет страницата на регулатора, относно представяне на финансовите отчети от емитентите в рамките на удължените срокове и оповествяване на прогнозна дата за публикуване на финансовите отчети </w:t>
      </w:r>
      <w:r w:rsidRPr="00386757">
        <w:t xml:space="preserve">и причините за това, </w:t>
      </w:r>
      <w:r>
        <w:t>на 3</w:t>
      </w:r>
      <w:r>
        <w:rPr>
          <w:lang w:val="en-US"/>
        </w:rPr>
        <w:t>0</w:t>
      </w:r>
      <w:r>
        <w:t xml:space="preserve">.03.2020 г. БФБ </w:t>
      </w:r>
      <w:r w:rsidRPr="00386757">
        <w:t>уведом</w:t>
      </w:r>
      <w:r>
        <w:t>и</w:t>
      </w:r>
      <w:r w:rsidRPr="00386757">
        <w:t xml:space="preserve"> </w:t>
      </w:r>
      <w:r>
        <w:t xml:space="preserve">КФН и обществеността </w:t>
      </w:r>
      <w:r w:rsidRPr="00386757">
        <w:t xml:space="preserve">за следното: </w:t>
      </w:r>
    </w:p>
    <w:p w:rsidR="008D1C49" w:rsidRPr="00386757" w:rsidRDefault="008D1C49" w:rsidP="008D1C49">
      <w:pPr>
        <w:pStyle w:val="ListParagraph"/>
        <w:widowControl/>
        <w:numPr>
          <w:ilvl w:val="0"/>
          <w:numId w:val="44"/>
        </w:numPr>
        <w:spacing w:line="276" w:lineRule="auto"/>
        <w:ind w:left="709" w:hanging="709"/>
      </w:pPr>
      <w:r w:rsidRPr="00386757">
        <w:t>прогнозната дата за представяне на Одитирания годишен финансов отчет на „Българска фондова борса“ АД за 2019 г., на индивидуална и консолидирана основа е съответно - 30.04.2020 г. и 20.05.2020 г. ;</w:t>
      </w:r>
    </w:p>
    <w:p w:rsidR="008D1C49" w:rsidRPr="00386757" w:rsidRDefault="008D1C49" w:rsidP="008D1C49">
      <w:pPr>
        <w:pStyle w:val="ListParagraph"/>
        <w:widowControl/>
        <w:numPr>
          <w:ilvl w:val="0"/>
          <w:numId w:val="44"/>
        </w:numPr>
        <w:spacing w:line="276" w:lineRule="auto"/>
        <w:ind w:left="709" w:hanging="709"/>
      </w:pPr>
      <w:r w:rsidRPr="00386757">
        <w:t xml:space="preserve">прогнозната дата за представяне на междинен финансов отчет на дружеството за първо тримесечие на 2020 г., на индивидуална и консолидирана основа е съответно - 29.05.2020 г. и 26.06.2020 г. </w:t>
      </w:r>
    </w:p>
    <w:p w:rsidR="008D1C49" w:rsidRDefault="008D1C49" w:rsidP="008D1C49">
      <w:pPr>
        <w:spacing w:line="276" w:lineRule="auto"/>
        <w:ind w:firstLine="708"/>
      </w:pPr>
      <w:r w:rsidRPr="003A3FDC">
        <w:t xml:space="preserve">Причините за промяна в срока за публикуване </w:t>
      </w:r>
      <w:r>
        <w:t xml:space="preserve">на </w:t>
      </w:r>
      <w:r w:rsidRPr="003A3FDC">
        <w:t>финансов</w:t>
      </w:r>
      <w:r>
        <w:t>ите</w:t>
      </w:r>
      <w:r w:rsidRPr="003A3FDC">
        <w:t xml:space="preserve"> отчет</w:t>
      </w:r>
      <w:r>
        <w:t>и</w:t>
      </w:r>
      <w:r w:rsidRPr="003A3FDC">
        <w:t xml:space="preserve"> са свързани с обявеното от Народното събрание от 13.03.2020 г. извънредно положение в страната и приетия в тази връзка Закон за мерките и действията по време на извънредното положение, обнародван в Държавен вестник, брой 28 от 24.03.2020 г. </w:t>
      </w:r>
    </w:p>
    <w:p w:rsidR="008D1C49" w:rsidRDefault="008D1C49">
      <w:pPr>
        <w:widowControl/>
        <w:jc w:val="left"/>
        <w:rPr>
          <w:rFonts w:cs="Calibri"/>
          <w:highlight w:val="yellow"/>
        </w:rPr>
      </w:pPr>
      <w:r>
        <w:rPr>
          <w:rFonts w:cs="Calibri"/>
          <w:highlight w:val="yellow"/>
        </w:rPr>
        <w:br w:type="page"/>
      </w:r>
    </w:p>
    <w:p w:rsidR="00D65947" w:rsidRPr="003479F3" w:rsidRDefault="00D65947" w:rsidP="0098489E">
      <w:pPr>
        <w:pStyle w:val="SubNumbers"/>
        <w:tabs>
          <w:tab w:val="left" w:pos="-2127"/>
          <w:tab w:val="left" w:pos="1134"/>
        </w:tabs>
        <w:ind w:left="1134" w:hanging="774"/>
        <w:rPr>
          <w:rFonts w:cs="Calibri"/>
        </w:rPr>
      </w:pPr>
      <w:bookmarkStart w:id="49" w:name="_Toc394323724"/>
      <w:bookmarkStart w:id="50" w:name="_Toc425846373"/>
      <w:bookmarkStart w:id="51" w:name="_Toc42271159"/>
      <w:bookmarkEnd w:id="31"/>
      <w:bookmarkEnd w:id="32"/>
      <w:r w:rsidRPr="003479F3">
        <w:rPr>
          <w:rFonts w:cs="Calibri"/>
        </w:rPr>
        <w:lastRenderedPageBreak/>
        <w:t>Търговия със собствени акции на Борсата</w:t>
      </w:r>
      <w:bookmarkEnd w:id="49"/>
      <w:bookmarkEnd w:id="50"/>
      <w:bookmarkEnd w:id="51"/>
    </w:p>
    <w:tbl>
      <w:tblPr>
        <w:tblStyle w:val="TableGrid"/>
        <w:tblpPr w:leftFromText="142" w:rightFromText="142" w:vertAnchor="text" w:horzAnchor="margin" w:tblpXSpec="right" w:tblpY="58"/>
        <w:tblOverlap w:val="never"/>
        <w:tblW w:w="592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920"/>
      </w:tblGrid>
      <w:tr w:rsidR="00213EB1" w:rsidRPr="00F55B63" w:rsidTr="00925AC3">
        <w:trPr>
          <w:cantSplit/>
          <w:jc w:val="right"/>
        </w:trPr>
        <w:tc>
          <w:tcPr>
            <w:tcW w:w="5920" w:type="dxa"/>
          </w:tcPr>
          <w:p w:rsidR="00213EB1" w:rsidRPr="00F55B63" w:rsidRDefault="00213EB1" w:rsidP="0098489E">
            <w:pPr>
              <w:spacing w:line="276" w:lineRule="auto"/>
              <w:ind w:left="38"/>
              <w:jc w:val="left"/>
              <w:rPr>
                <w:rFonts w:cs="Calibri"/>
                <w:b/>
                <w:sz w:val="20"/>
                <w:szCs w:val="20"/>
                <w:highlight w:val="yellow"/>
              </w:rPr>
            </w:pPr>
            <w:r w:rsidRPr="003479F3">
              <w:rPr>
                <w:rFonts w:cs="Calibri"/>
                <w:b/>
                <w:sz w:val="20"/>
                <w:szCs w:val="20"/>
              </w:rPr>
              <w:t>Графика 6а: Движение на цената и оборот с акциите на „БФБ“ АД през периода (по сесии) и сравнение</w:t>
            </w:r>
          </w:p>
        </w:tc>
      </w:tr>
      <w:tr w:rsidR="00213EB1" w:rsidRPr="00F55B63" w:rsidTr="00925AC3">
        <w:trPr>
          <w:cantSplit/>
          <w:jc w:val="right"/>
        </w:trPr>
        <w:tc>
          <w:tcPr>
            <w:tcW w:w="5920" w:type="dxa"/>
          </w:tcPr>
          <w:p w:rsidR="00213EB1" w:rsidRPr="00F55B63" w:rsidRDefault="003479F3" w:rsidP="002F0E89">
            <w:pPr>
              <w:ind w:left="38"/>
              <w:jc w:val="center"/>
              <w:rPr>
                <w:rFonts w:cs="Calibri"/>
                <w:sz w:val="20"/>
                <w:szCs w:val="20"/>
                <w:highlight w:val="yellow"/>
              </w:rPr>
            </w:pPr>
            <w:r w:rsidRPr="003479F3">
              <w:rPr>
                <w:rFonts w:cs="Calibri"/>
                <w:noProof/>
                <w:sz w:val="20"/>
                <w:szCs w:val="20"/>
              </w:rPr>
              <w:drawing>
                <wp:inline distT="0" distB="0" distL="0" distR="0">
                  <wp:extent cx="3582890" cy="2957885"/>
                  <wp:effectExtent l="19050" t="0" r="0" b="0"/>
                  <wp:docPr id="14" name="Chart 3">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A424E073-C2EE-4619-ADE7-52515E406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3479F3" w:rsidRDefault="003479F3" w:rsidP="003479F3">
      <w:pPr>
        <w:spacing w:line="276" w:lineRule="auto"/>
        <w:rPr>
          <w:rFonts w:cs="Calibri"/>
        </w:rPr>
      </w:pPr>
      <w:r w:rsidRPr="00310B1D">
        <w:rPr>
          <w:rFonts w:cs="Calibri"/>
        </w:rPr>
        <w:t>Търговията със собствени акции на „Българска фондова борса“ АД (борсов код BSO) бе с по-висока</w:t>
      </w:r>
      <w:r w:rsidRPr="00310B1D">
        <w:rPr>
          <w:rFonts w:cs="Calibri"/>
          <w:lang w:val="en-US"/>
        </w:rPr>
        <w:t xml:space="preserve"> </w:t>
      </w:r>
      <w:r w:rsidRPr="00310B1D">
        <w:rPr>
          <w:rFonts w:cs="Calibri"/>
        </w:rPr>
        <w:t xml:space="preserve">активност, отколкото през предходното четвърто тримесечие. </w:t>
      </w:r>
      <w:r w:rsidRPr="002406C4">
        <w:rPr>
          <w:rFonts w:cs="Calibri"/>
        </w:rPr>
        <w:t xml:space="preserve">Средната цена през тримесечието беше </w:t>
      </w:r>
      <w:r w:rsidRPr="002406C4">
        <w:rPr>
          <w:rFonts w:cs="Calibri"/>
          <w:lang w:val="en-US"/>
        </w:rPr>
        <w:t>4</w:t>
      </w:r>
      <w:r w:rsidRPr="002406C4">
        <w:rPr>
          <w:rFonts w:cs="Calibri"/>
        </w:rPr>
        <w:t>,</w:t>
      </w:r>
      <w:r w:rsidRPr="002406C4">
        <w:rPr>
          <w:rFonts w:cs="Calibri"/>
          <w:lang w:val="en-US"/>
        </w:rPr>
        <w:t>625</w:t>
      </w:r>
      <w:r w:rsidRPr="002406C4">
        <w:rPr>
          <w:rFonts w:cs="Calibri"/>
        </w:rPr>
        <w:t xml:space="preserve"> лв. за акция. Цената в края на тримесечието се понижи спрямо тази в началото с 0,58 лв. за акция или 11,98% (от 4,84 лева за акция цена на затваряне на 30 декември до 4,26 лева за акция цена при затваряне на 31 март). Минималната цена за периода беше 3,8 лева за акция, а максималната 5,10 лв. за </w:t>
      </w:r>
      <w:r w:rsidRPr="00A459C8">
        <w:rPr>
          <w:rFonts w:cs="Calibri"/>
        </w:rPr>
        <w:t xml:space="preserve">акция. Общо бяха прехвърлени 50 122 лота в 149 </w:t>
      </w:r>
      <w:r w:rsidRPr="00A459C8">
        <w:rPr>
          <w:rFonts w:cs="Calibri"/>
          <w:szCs w:val="22"/>
        </w:rPr>
        <w:t>сделки, оборотът бе 23</w:t>
      </w:r>
      <w:r w:rsidRPr="00A459C8">
        <w:rPr>
          <w:rFonts w:cs="Calibri"/>
          <w:szCs w:val="22"/>
          <w:lang w:val="en-US"/>
        </w:rPr>
        <w:t>0</w:t>
      </w:r>
      <w:r w:rsidRPr="00A459C8">
        <w:rPr>
          <w:rFonts w:cs="Calibri"/>
          <w:szCs w:val="22"/>
        </w:rPr>
        <w:t xml:space="preserve"> </w:t>
      </w:r>
      <w:r w:rsidRPr="00A459C8">
        <w:rPr>
          <w:rFonts w:cs="Calibri"/>
          <w:szCs w:val="22"/>
          <w:lang w:val="en-US"/>
        </w:rPr>
        <w:t>015</w:t>
      </w:r>
      <w:r w:rsidRPr="00A459C8">
        <w:rPr>
          <w:color w:val="000000"/>
          <w:szCs w:val="22"/>
          <w:lang w:val="en-US"/>
        </w:rPr>
        <w:t xml:space="preserve"> </w:t>
      </w:r>
      <w:r w:rsidRPr="00A459C8">
        <w:rPr>
          <w:rFonts w:cs="Calibri"/>
          <w:szCs w:val="22"/>
        </w:rPr>
        <w:t xml:space="preserve">лв., което в сравнение с прехвърлените през четвъртото тримесечие </w:t>
      </w:r>
      <w:r w:rsidRPr="00A459C8">
        <w:rPr>
          <w:rFonts w:cs="Calibri"/>
        </w:rPr>
        <w:t xml:space="preserve">45 614 лота в 107 </w:t>
      </w:r>
      <w:r w:rsidRPr="00A459C8">
        <w:rPr>
          <w:rFonts w:cs="Calibri"/>
          <w:szCs w:val="22"/>
        </w:rPr>
        <w:t xml:space="preserve">сделки и оборот от 219 </w:t>
      </w:r>
      <w:r w:rsidRPr="00A459C8">
        <w:rPr>
          <w:rFonts w:cs="Calibri"/>
          <w:szCs w:val="22"/>
          <w:lang w:val="en-US"/>
        </w:rPr>
        <w:t>541</w:t>
      </w:r>
      <w:r w:rsidRPr="00A459C8">
        <w:rPr>
          <w:rFonts w:cs="Calibri"/>
          <w:szCs w:val="22"/>
        </w:rPr>
        <w:t xml:space="preserve"> лв</w:t>
      </w:r>
      <w:r w:rsidRPr="00A459C8">
        <w:rPr>
          <w:rFonts w:cs="Calibri"/>
        </w:rPr>
        <w:t xml:space="preserve">. представлява увеличение в прехвърления обем с 9,9%, ръст на оборота с </w:t>
      </w:r>
      <w:r w:rsidRPr="00A459C8">
        <w:rPr>
          <w:rFonts w:cs="Calibri"/>
          <w:lang w:val="en-US"/>
        </w:rPr>
        <w:t>4</w:t>
      </w:r>
      <w:r w:rsidRPr="00A459C8">
        <w:rPr>
          <w:rFonts w:cs="Calibri"/>
        </w:rPr>
        <w:t>,</w:t>
      </w:r>
      <w:r w:rsidRPr="00A459C8">
        <w:rPr>
          <w:rFonts w:cs="Calibri"/>
          <w:lang w:val="en-US"/>
        </w:rPr>
        <w:t>8</w:t>
      </w:r>
      <w:r w:rsidRPr="00A459C8">
        <w:rPr>
          <w:rFonts w:cs="Calibri"/>
        </w:rPr>
        <w:t>% и ръст в броя сделки от 39%. Търговия имаше в 38 от общо 63 сесии за периода.</w:t>
      </w:r>
    </w:p>
    <w:p w:rsidR="003479F3" w:rsidRDefault="003479F3" w:rsidP="003479F3">
      <w:pPr>
        <w:spacing w:line="276" w:lineRule="auto"/>
        <w:rPr>
          <w:rFonts w:cs="Calibri"/>
        </w:rPr>
      </w:pPr>
    </w:p>
    <w:tbl>
      <w:tblPr>
        <w:tblStyle w:val="TableGrid"/>
        <w:tblpPr w:leftFromText="142" w:rightFromText="142" w:vertAnchor="text" w:horzAnchor="margin" w:tblpXSpec="right" w:tblpY="-31"/>
        <w:tblOverlap w:val="never"/>
        <w:tblW w:w="58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tblPr>
      <w:tblGrid>
        <w:gridCol w:w="5882"/>
      </w:tblGrid>
      <w:tr w:rsidR="00254DE0" w:rsidRPr="00F55B63" w:rsidTr="00EB7D81">
        <w:trPr>
          <w:cantSplit/>
        </w:trPr>
        <w:tc>
          <w:tcPr>
            <w:tcW w:w="5882" w:type="dxa"/>
          </w:tcPr>
          <w:p w:rsidR="00254DE0" w:rsidRPr="00F55B63" w:rsidRDefault="00254DE0" w:rsidP="009C622E">
            <w:pPr>
              <w:spacing w:line="276" w:lineRule="auto"/>
              <w:ind w:left="38"/>
              <w:rPr>
                <w:rFonts w:cs="Calibri"/>
                <w:highlight w:val="yellow"/>
              </w:rPr>
            </w:pPr>
            <w:r w:rsidRPr="003479F3">
              <w:rPr>
                <w:rFonts w:cs="Calibri"/>
                <w:b/>
                <w:sz w:val="20"/>
                <w:szCs w:val="20"/>
              </w:rPr>
              <w:t>Графика 6б: Движение на цената и оборота с акциите на „</w:t>
            </w:r>
            <w:r w:rsidR="00165C3F" w:rsidRPr="003479F3">
              <w:rPr>
                <w:rFonts w:cs="Calibri"/>
                <w:b/>
                <w:sz w:val="20"/>
                <w:szCs w:val="20"/>
              </w:rPr>
              <w:t>БФБ</w:t>
            </w:r>
            <w:r w:rsidRPr="003479F3">
              <w:rPr>
                <w:rFonts w:cs="Calibri"/>
                <w:b/>
                <w:sz w:val="20"/>
                <w:szCs w:val="20"/>
              </w:rPr>
              <w:t>“ АД през периода (сделка по сделка)</w:t>
            </w:r>
          </w:p>
        </w:tc>
      </w:tr>
      <w:tr w:rsidR="00254DE0" w:rsidRPr="00F55B63" w:rsidTr="00EB7D81">
        <w:tblPrEx>
          <w:tblCellMar>
            <w:left w:w="108" w:type="dxa"/>
            <w:right w:w="108" w:type="dxa"/>
          </w:tblCellMar>
        </w:tblPrEx>
        <w:trPr>
          <w:cantSplit/>
        </w:trPr>
        <w:tc>
          <w:tcPr>
            <w:tcW w:w="5882" w:type="dxa"/>
          </w:tcPr>
          <w:p w:rsidR="00254DE0" w:rsidRPr="00F55B63" w:rsidRDefault="003479F3" w:rsidP="009C622E">
            <w:pPr>
              <w:spacing w:line="276" w:lineRule="auto"/>
              <w:ind w:left="38"/>
              <w:rPr>
                <w:rFonts w:cs="Calibri"/>
                <w:highlight w:val="yellow"/>
              </w:rPr>
            </w:pPr>
            <w:r w:rsidRPr="003479F3">
              <w:rPr>
                <w:rFonts w:cs="Calibri"/>
                <w:noProof/>
              </w:rPr>
              <w:drawing>
                <wp:inline distT="0" distB="0" distL="0" distR="0">
                  <wp:extent cx="3768007" cy="2655736"/>
                  <wp:effectExtent l="19050" t="0" r="0" b="0"/>
                  <wp:docPr id="21" name="Chart 2">
                    <a:extLst xmlns:a="http://schemas.openxmlformats.org/drawingml/2006/main">
                      <a:ext uri="{FF2B5EF4-FFF2-40B4-BE49-F238E27FC236}">
                        <a16:creationId xmlns:lc="http://schemas.openxmlformats.org/drawingml/2006/lockedCanvas" xmlns:a16="http://schemas.microsoft.com/office/drawing/2014/main" xmlns="" xmlns:xdr="http://schemas.openxmlformats.org/drawingml/2006/spreadsheetDrawing" xmlns:w="http://schemas.openxmlformats.org/wordprocessingml/2006/main" xmlns:w10="urn:schemas-microsoft-com:office:word" xmlns:v="urn:schemas-microsoft-com:vml" xmlns:o="urn:schemas-microsoft-com:office:office" id="{00000000-0008-0000-08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3479F3" w:rsidRDefault="003479F3" w:rsidP="003479F3">
      <w:pPr>
        <w:spacing w:line="276" w:lineRule="auto"/>
        <w:rPr>
          <w:rFonts w:cs="Calibri"/>
          <w:highlight w:val="yellow"/>
        </w:rPr>
      </w:pPr>
      <w:r w:rsidRPr="00310B1D">
        <w:rPr>
          <w:rFonts w:cs="Calibri"/>
        </w:rPr>
        <w:t xml:space="preserve">Таблица 11А показва сравнение с показателите за предходното четвърто тримесечие на 2019 г. </w:t>
      </w:r>
      <w:r w:rsidRPr="00737ED1">
        <w:rPr>
          <w:rFonts w:cs="Calibri"/>
        </w:rPr>
        <w:t>При сравнение на двете тримесечия се забелязва ръст на показателите оборот и брой сделки през месец януари спрямо съответния месец на предходното тримесечие.</w:t>
      </w:r>
    </w:p>
    <w:p w:rsidR="003479F3" w:rsidRDefault="003479F3" w:rsidP="003479F3">
      <w:pPr>
        <w:spacing w:line="276" w:lineRule="auto"/>
        <w:rPr>
          <w:rFonts w:cs="Calibri"/>
        </w:rPr>
      </w:pPr>
      <w:r w:rsidRPr="00737ED1">
        <w:rPr>
          <w:rFonts w:cs="Calibri"/>
        </w:rPr>
        <w:t xml:space="preserve">Таблица 11Б показва сравнение </w:t>
      </w:r>
      <w:r w:rsidRPr="00372F9F">
        <w:rPr>
          <w:rFonts w:cs="Calibri"/>
        </w:rPr>
        <w:t xml:space="preserve">по месеци спрямо предходния месец. Движението тук е разнопосочно, като прави впечатление, че през януари и февруари оборотът нараства. През месец март, оборотът намалява с 42%, докато броят на сделките през февруари и март нараства. </w:t>
      </w:r>
    </w:p>
    <w:p w:rsidR="003479F3" w:rsidRDefault="003479F3">
      <w:pPr>
        <w:widowControl/>
        <w:jc w:val="left"/>
        <w:rPr>
          <w:rFonts w:cs="Calibri"/>
        </w:rPr>
      </w:pPr>
      <w:r>
        <w:rPr>
          <w:rFonts w:cs="Calibri"/>
        </w:rPr>
        <w:br w:type="page"/>
      </w:r>
    </w:p>
    <w:p w:rsidR="009C622E" w:rsidRPr="00481EF3" w:rsidRDefault="00213EB1" w:rsidP="003479F3">
      <w:pPr>
        <w:spacing w:before="240"/>
        <w:rPr>
          <w:rFonts w:cs="Calibri"/>
          <w:b/>
          <w:sz w:val="20"/>
          <w:szCs w:val="20"/>
        </w:rPr>
      </w:pPr>
      <w:r w:rsidRPr="00481EF3">
        <w:rPr>
          <w:rFonts w:cs="Calibri"/>
          <w:b/>
          <w:sz w:val="20"/>
          <w:szCs w:val="20"/>
        </w:rPr>
        <w:lastRenderedPageBreak/>
        <w:t xml:space="preserve">Таблица 11А: Обем, оборот и брой сделки с акции на БФБ </w:t>
      </w:r>
      <w:r w:rsidR="00165C3F" w:rsidRPr="00481EF3">
        <w:rPr>
          <w:rFonts w:cs="Calibri"/>
          <w:b/>
          <w:sz w:val="20"/>
          <w:szCs w:val="20"/>
        </w:rPr>
        <w:t>АД</w:t>
      </w:r>
      <w:r w:rsidRPr="00481EF3">
        <w:rPr>
          <w:rFonts w:cs="Calibri"/>
          <w:b/>
          <w:sz w:val="20"/>
          <w:szCs w:val="20"/>
        </w:rPr>
        <w:t>– сравнение</w:t>
      </w:r>
    </w:p>
    <w:tbl>
      <w:tblPr>
        <w:tblW w:w="10331" w:type="dxa"/>
        <w:jc w:val="center"/>
        <w:tblCellMar>
          <w:left w:w="70" w:type="dxa"/>
          <w:right w:w="70" w:type="dxa"/>
        </w:tblCellMar>
        <w:tblLook w:val="04A0"/>
      </w:tblPr>
      <w:tblGrid>
        <w:gridCol w:w="1494"/>
        <w:gridCol w:w="971"/>
        <w:gridCol w:w="1964"/>
        <w:gridCol w:w="946"/>
        <w:gridCol w:w="2122"/>
        <w:gridCol w:w="881"/>
        <w:gridCol w:w="1953"/>
      </w:tblGrid>
      <w:tr w:rsidR="009C622E" w:rsidRPr="00481EF3" w:rsidTr="00C13EB0">
        <w:trPr>
          <w:trHeight w:val="170"/>
          <w:jc w:val="center"/>
        </w:trPr>
        <w:tc>
          <w:tcPr>
            <w:tcW w:w="1494"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Месец</w:t>
            </w:r>
          </w:p>
        </w:tc>
        <w:tc>
          <w:tcPr>
            <w:tcW w:w="97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Обем лотове</w:t>
            </w:r>
          </w:p>
        </w:tc>
        <w:tc>
          <w:tcPr>
            <w:tcW w:w="196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481EF3">
            <w:pPr>
              <w:widowControl/>
              <w:jc w:val="center"/>
              <w:rPr>
                <w:color w:val="FFFFFF"/>
                <w:szCs w:val="22"/>
              </w:rPr>
            </w:pPr>
            <w:r w:rsidRPr="00481EF3">
              <w:rPr>
                <w:color w:val="FFFFFF"/>
                <w:szCs w:val="22"/>
              </w:rPr>
              <w:t>% промяна спрямо съответния месец на Q4 '1</w:t>
            </w:r>
            <w:r w:rsidR="00481EF3">
              <w:rPr>
                <w:color w:val="FFFFFF"/>
                <w:szCs w:val="22"/>
              </w:rPr>
              <w:t>9</w:t>
            </w:r>
          </w:p>
        </w:tc>
        <w:tc>
          <w:tcPr>
            <w:tcW w:w="946"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Оборот</w:t>
            </w:r>
          </w:p>
        </w:tc>
        <w:tc>
          <w:tcPr>
            <w:tcW w:w="2122"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481EF3">
            <w:pPr>
              <w:widowControl/>
              <w:jc w:val="center"/>
              <w:rPr>
                <w:color w:val="FFFFFF"/>
                <w:szCs w:val="22"/>
              </w:rPr>
            </w:pPr>
            <w:r w:rsidRPr="00481EF3">
              <w:rPr>
                <w:color w:val="FFFFFF"/>
                <w:szCs w:val="22"/>
              </w:rPr>
              <w:t>% промяна спрямо съответния месец на Q4 '1</w:t>
            </w:r>
            <w:r w:rsidR="00481EF3">
              <w:rPr>
                <w:color w:val="FFFFFF"/>
                <w:szCs w:val="22"/>
              </w:rPr>
              <w:t>9</w:t>
            </w:r>
          </w:p>
        </w:tc>
        <w:tc>
          <w:tcPr>
            <w:tcW w:w="88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Брой сделки</w:t>
            </w:r>
          </w:p>
        </w:tc>
        <w:tc>
          <w:tcPr>
            <w:tcW w:w="1953"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481EF3">
            <w:pPr>
              <w:widowControl/>
              <w:jc w:val="center"/>
              <w:rPr>
                <w:color w:val="FFFFFF"/>
                <w:szCs w:val="22"/>
              </w:rPr>
            </w:pPr>
            <w:r w:rsidRPr="00481EF3">
              <w:rPr>
                <w:color w:val="FFFFFF"/>
                <w:szCs w:val="22"/>
              </w:rPr>
              <w:t>% промяна спрямо съответния месец на Q4 '1</w:t>
            </w:r>
            <w:r w:rsidR="00481EF3">
              <w:rPr>
                <w:color w:val="FFFFFF"/>
                <w:szCs w:val="22"/>
              </w:rPr>
              <w:t>9</w:t>
            </w: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октомври '1</w:t>
            </w:r>
            <w:r>
              <w:rPr>
                <w:color w:val="000000"/>
                <w:szCs w:val="22"/>
              </w:rPr>
              <w:t>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3 676</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18 479</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9</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ноември '1</w:t>
            </w:r>
            <w:r>
              <w:rPr>
                <w:color w:val="000000"/>
                <w:szCs w:val="22"/>
              </w:rPr>
              <w:t>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28 037</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136 262</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56</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декември '1</w:t>
            </w:r>
            <w:r>
              <w:rPr>
                <w:color w:val="000000"/>
                <w:szCs w:val="22"/>
              </w:rPr>
              <w:t>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13 901</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64 799</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42</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януари '</w:t>
            </w:r>
            <w:r>
              <w:rPr>
                <w:color w:val="000000"/>
                <w:szCs w:val="22"/>
              </w:rPr>
              <w:t>20</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17 492</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375,84%</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84 625</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357,95%</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32</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255,56%</w:t>
            </w: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февруари '</w:t>
            </w:r>
            <w:r>
              <w:rPr>
                <w:color w:val="000000"/>
                <w:szCs w:val="22"/>
              </w:rPr>
              <w:t>20</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19 497</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-30,46%</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91 938</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-32,53%</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52</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-7,14%</w:t>
            </w:r>
          </w:p>
        </w:tc>
      </w:tr>
      <w:tr w:rsidR="00481EF3" w:rsidRPr="00481EF3" w:rsidTr="00C13EB0">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left"/>
              <w:rPr>
                <w:color w:val="000000"/>
                <w:szCs w:val="22"/>
              </w:rPr>
            </w:pPr>
            <w:r w:rsidRPr="00E41648">
              <w:rPr>
                <w:color w:val="000000"/>
                <w:szCs w:val="22"/>
              </w:rPr>
              <w:t>март '</w:t>
            </w:r>
            <w:r>
              <w:rPr>
                <w:color w:val="000000"/>
                <w:szCs w:val="22"/>
              </w:rPr>
              <w:t>20</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13 133</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-5,52%</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53 452</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-17,51%</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65</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E41648" w:rsidRDefault="00481EF3" w:rsidP="00F3551F">
            <w:pPr>
              <w:widowControl/>
              <w:jc w:val="right"/>
              <w:rPr>
                <w:color w:val="000000"/>
                <w:szCs w:val="22"/>
              </w:rPr>
            </w:pPr>
            <w:r>
              <w:rPr>
                <w:color w:val="000000"/>
                <w:szCs w:val="22"/>
              </w:rPr>
              <w:t>54,76%</w:t>
            </w:r>
          </w:p>
        </w:tc>
      </w:tr>
    </w:tbl>
    <w:p w:rsidR="009C622E" w:rsidRPr="00481EF3" w:rsidRDefault="00213EB1" w:rsidP="0098489E">
      <w:pPr>
        <w:spacing w:before="240"/>
        <w:rPr>
          <w:rFonts w:cs="Calibri"/>
          <w:b/>
          <w:sz w:val="20"/>
          <w:szCs w:val="20"/>
        </w:rPr>
      </w:pPr>
      <w:r w:rsidRPr="00481EF3">
        <w:rPr>
          <w:rFonts w:cs="Calibri"/>
          <w:b/>
          <w:sz w:val="20"/>
          <w:szCs w:val="20"/>
        </w:rPr>
        <w:t>Таблица 11Б: Обем, оборот и брой сделки с акции на „</w:t>
      </w:r>
      <w:r w:rsidR="00165C3F" w:rsidRPr="00481EF3">
        <w:rPr>
          <w:rFonts w:cs="Calibri"/>
          <w:b/>
          <w:sz w:val="20"/>
          <w:szCs w:val="20"/>
        </w:rPr>
        <w:t>Българска фондова борса</w:t>
      </w:r>
      <w:r w:rsidRPr="00481EF3">
        <w:rPr>
          <w:rFonts w:cs="Calibri"/>
          <w:b/>
          <w:sz w:val="20"/>
          <w:szCs w:val="20"/>
        </w:rPr>
        <w:t xml:space="preserve">“ </w:t>
      </w:r>
      <w:r w:rsidR="00165C3F" w:rsidRPr="00481EF3">
        <w:rPr>
          <w:rFonts w:cs="Calibri"/>
          <w:b/>
          <w:sz w:val="20"/>
          <w:szCs w:val="20"/>
        </w:rPr>
        <w:t>АД</w:t>
      </w:r>
      <w:r w:rsidRPr="00481EF3">
        <w:rPr>
          <w:rFonts w:cs="Calibri"/>
          <w:b/>
          <w:sz w:val="20"/>
          <w:szCs w:val="20"/>
        </w:rPr>
        <w:t>– сравнение</w:t>
      </w:r>
    </w:p>
    <w:tbl>
      <w:tblPr>
        <w:tblW w:w="10456" w:type="dxa"/>
        <w:jc w:val="center"/>
        <w:tblCellMar>
          <w:left w:w="70" w:type="dxa"/>
          <w:right w:w="70" w:type="dxa"/>
        </w:tblCellMar>
        <w:tblLook w:val="04A0"/>
      </w:tblPr>
      <w:tblGrid>
        <w:gridCol w:w="1536"/>
        <w:gridCol w:w="1000"/>
        <w:gridCol w:w="2106"/>
        <w:gridCol w:w="1034"/>
        <w:gridCol w:w="1925"/>
        <w:gridCol w:w="911"/>
        <w:gridCol w:w="1944"/>
      </w:tblGrid>
      <w:tr w:rsidR="009C622E" w:rsidRPr="00481EF3" w:rsidTr="00C13EB0">
        <w:trPr>
          <w:trHeight w:val="170"/>
          <w:jc w:val="center"/>
        </w:trPr>
        <w:tc>
          <w:tcPr>
            <w:tcW w:w="1536" w:type="dxa"/>
            <w:tcBorders>
              <w:top w:val="single" w:sz="4" w:space="0" w:color="auto"/>
              <w:left w:val="single" w:sz="4" w:space="0" w:color="auto"/>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Месец</w:t>
            </w:r>
          </w:p>
        </w:tc>
        <w:tc>
          <w:tcPr>
            <w:tcW w:w="1000"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Обем лотове</w:t>
            </w:r>
          </w:p>
        </w:tc>
        <w:tc>
          <w:tcPr>
            <w:tcW w:w="2106"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 промяна спрямо предходния месец</w:t>
            </w:r>
          </w:p>
        </w:tc>
        <w:tc>
          <w:tcPr>
            <w:tcW w:w="103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Оборот</w:t>
            </w:r>
          </w:p>
        </w:tc>
        <w:tc>
          <w:tcPr>
            <w:tcW w:w="1925"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 промяна спрямо предходния месец</w:t>
            </w:r>
          </w:p>
        </w:tc>
        <w:tc>
          <w:tcPr>
            <w:tcW w:w="91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Брой сделки</w:t>
            </w:r>
          </w:p>
        </w:tc>
        <w:tc>
          <w:tcPr>
            <w:tcW w:w="194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9C622E" w:rsidRPr="00481EF3" w:rsidRDefault="009C622E" w:rsidP="00C13EB0">
            <w:pPr>
              <w:widowControl/>
              <w:jc w:val="center"/>
              <w:rPr>
                <w:color w:val="FFFFFF"/>
                <w:szCs w:val="22"/>
              </w:rPr>
            </w:pPr>
            <w:r w:rsidRPr="00481EF3">
              <w:rPr>
                <w:color w:val="FFFFFF"/>
                <w:szCs w:val="22"/>
              </w:rPr>
              <w:t>% промяна спрямо предходния месец</w:t>
            </w:r>
          </w:p>
        </w:tc>
      </w:tr>
      <w:tr w:rsidR="00481EF3" w:rsidRPr="00481EF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октомври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3 676</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left"/>
              <w:rPr>
                <w:color w:val="000000"/>
                <w:szCs w:val="22"/>
              </w:rPr>
            </w:pP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18 479</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left"/>
              <w:rPr>
                <w:color w:val="000000"/>
                <w:szCs w:val="22"/>
              </w:rPr>
            </w:pP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9</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left"/>
              <w:rPr>
                <w:color w:val="000000"/>
                <w:szCs w:val="22"/>
              </w:rPr>
            </w:pPr>
          </w:p>
        </w:tc>
      </w:tr>
      <w:tr w:rsidR="00481EF3" w:rsidRPr="00481EF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ноември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28 037</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662,70%</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136 262</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637,39%</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56</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522,22%</w:t>
            </w:r>
          </w:p>
        </w:tc>
      </w:tr>
      <w:tr w:rsidR="00481EF3" w:rsidRPr="00481EF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декември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13 901</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-50,42%</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64 799</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-52,45%</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42</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-25,00%</w:t>
            </w:r>
          </w:p>
        </w:tc>
      </w:tr>
      <w:tr w:rsidR="00481EF3" w:rsidRPr="00481EF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януари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17 492</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25,83%</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84 625</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30,60%</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32</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-23,81%</w:t>
            </w:r>
          </w:p>
        </w:tc>
      </w:tr>
      <w:tr w:rsidR="00481EF3" w:rsidRPr="00481EF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февруари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19 497</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11,46%</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91 938</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8,64%</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52</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62,50%</w:t>
            </w:r>
          </w:p>
        </w:tc>
      </w:tr>
      <w:tr w:rsidR="00481EF3" w:rsidRPr="00F55B63" w:rsidTr="00C13EB0">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481EF3" w:rsidRPr="00481EF3" w:rsidRDefault="00481EF3" w:rsidP="00C13EB0">
            <w:pPr>
              <w:widowControl/>
              <w:jc w:val="left"/>
              <w:rPr>
                <w:color w:val="000000"/>
                <w:szCs w:val="22"/>
              </w:rPr>
            </w:pPr>
            <w:r w:rsidRPr="00481EF3">
              <w:rPr>
                <w:color w:val="000000"/>
                <w:szCs w:val="22"/>
              </w:rPr>
              <w:t>март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13 133</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-32,64%</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53 452</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-41,86%</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sidRPr="00DC4765">
              <w:rPr>
                <w:color w:val="000000"/>
                <w:szCs w:val="22"/>
              </w:rPr>
              <w:t>65</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81EF3" w:rsidRPr="00DC4765" w:rsidRDefault="00481EF3" w:rsidP="00F3551F">
            <w:pPr>
              <w:widowControl/>
              <w:jc w:val="right"/>
              <w:rPr>
                <w:color w:val="000000"/>
                <w:szCs w:val="22"/>
              </w:rPr>
            </w:pPr>
            <w:r>
              <w:rPr>
                <w:color w:val="000000"/>
                <w:szCs w:val="22"/>
              </w:rPr>
              <w:t>25,00%</w:t>
            </w:r>
          </w:p>
        </w:tc>
      </w:tr>
    </w:tbl>
    <w:p w:rsidR="00D65947" w:rsidRPr="004B7166" w:rsidRDefault="00D65947" w:rsidP="0098559B">
      <w:pPr>
        <w:pStyle w:val="SubNumbers"/>
        <w:ind w:left="1418" w:hanging="916"/>
        <w:rPr>
          <w:rFonts w:cs="Calibri"/>
        </w:rPr>
      </w:pPr>
      <w:bookmarkStart w:id="52" w:name="_Toc394323725"/>
      <w:bookmarkStart w:id="53" w:name="_Ref428452964"/>
      <w:bookmarkStart w:id="54" w:name="_Toc42271160"/>
      <w:r w:rsidRPr="004B7166">
        <w:rPr>
          <w:rFonts w:cs="Calibri"/>
        </w:rPr>
        <w:t>Индекс CGIX</w:t>
      </w:r>
      <w:bookmarkEnd w:id="52"/>
      <w:bookmarkEnd w:id="53"/>
      <w:bookmarkEnd w:id="54"/>
    </w:p>
    <w:tbl>
      <w:tblPr>
        <w:tblStyle w:val="TableGrid"/>
        <w:tblpPr w:leftFromText="180" w:rightFromText="180" w:vertAnchor="text" w:horzAnchor="margin" w:tblpY="61"/>
        <w:tblW w:w="5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37"/>
      </w:tblGrid>
      <w:tr w:rsidR="00E40AD2" w:rsidRPr="00F55B63" w:rsidTr="000F6334">
        <w:tc>
          <w:tcPr>
            <w:tcW w:w="5637" w:type="dxa"/>
          </w:tcPr>
          <w:p w:rsidR="00E40AD2" w:rsidRPr="00F55B63" w:rsidRDefault="004B7166" w:rsidP="00E40AD2">
            <w:pPr>
              <w:pStyle w:val="NoSpacing"/>
              <w:jc w:val="center"/>
              <w:rPr>
                <w:rFonts w:ascii="Calibri" w:hAnsi="Calibri" w:cs="Calibri"/>
                <w:sz w:val="12"/>
                <w:szCs w:val="12"/>
                <w:highlight w:val="yellow"/>
              </w:rPr>
            </w:pPr>
            <w:bookmarkStart w:id="55" w:name="_Toc394323726"/>
            <w:r w:rsidRPr="004B7166">
              <w:rPr>
                <w:rFonts w:ascii="Calibri" w:hAnsi="Calibri" w:cs="Calibri"/>
                <w:noProof/>
                <w:sz w:val="12"/>
                <w:szCs w:val="12"/>
              </w:rPr>
              <w:drawing>
                <wp:inline distT="0" distB="0" distL="0" distR="0">
                  <wp:extent cx="3296644" cy="2122999"/>
                  <wp:effectExtent l="0" t="0" r="0" b="0"/>
                  <wp:docPr id="23" name="Chart 1">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7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4B7166" w:rsidRDefault="004B7166" w:rsidP="004B7166">
      <w:pPr>
        <w:pStyle w:val="Mainnumbers"/>
        <w:numPr>
          <w:ilvl w:val="0"/>
          <w:numId w:val="0"/>
        </w:numPr>
        <w:spacing w:before="0" w:after="0" w:line="276" w:lineRule="auto"/>
        <w:rPr>
          <w:b w:val="0"/>
        </w:rPr>
      </w:pPr>
      <w:bookmarkStart w:id="56" w:name="_Toc42271161"/>
      <w:r w:rsidRPr="004B7166">
        <w:rPr>
          <w:b w:val="0"/>
        </w:rPr>
        <w:t>Стойността на индекса CGIX се понижи от 1</w:t>
      </w:r>
      <w:r w:rsidRPr="004B7166">
        <w:rPr>
          <w:b w:val="0"/>
          <w:lang w:val="en-US"/>
        </w:rPr>
        <w:t>41</w:t>
      </w:r>
      <w:r w:rsidRPr="004B7166">
        <w:rPr>
          <w:b w:val="0"/>
        </w:rPr>
        <w:t>,</w:t>
      </w:r>
      <w:r w:rsidRPr="004B7166">
        <w:rPr>
          <w:b w:val="0"/>
          <w:lang w:val="en-US"/>
        </w:rPr>
        <w:t>44</w:t>
      </w:r>
      <w:r w:rsidRPr="004B7166">
        <w:rPr>
          <w:b w:val="0"/>
        </w:rPr>
        <w:t xml:space="preserve"> до 1</w:t>
      </w:r>
      <w:r w:rsidRPr="004B7166">
        <w:rPr>
          <w:b w:val="0"/>
          <w:lang w:val="en-US"/>
        </w:rPr>
        <w:t>02</w:t>
      </w:r>
      <w:r w:rsidRPr="004B7166">
        <w:rPr>
          <w:b w:val="0"/>
        </w:rPr>
        <w:t>,</w:t>
      </w:r>
      <w:r w:rsidRPr="004B7166">
        <w:rPr>
          <w:b w:val="0"/>
          <w:lang w:val="en-US"/>
        </w:rPr>
        <w:t>38</w:t>
      </w:r>
      <w:r w:rsidRPr="004B7166">
        <w:rPr>
          <w:b w:val="0"/>
        </w:rPr>
        <w:t xml:space="preserve"> пункта през тримесечието, което представлява спад от </w:t>
      </w:r>
      <w:r w:rsidRPr="004B7166">
        <w:rPr>
          <w:b w:val="0"/>
          <w:lang w:val="en-US"/>
        </w:rPr>
        <w:t>39</w:t>
      </w:r>
      <w:r w:rsidRPr="004B7166">
        <w:rPr>
          <w:b w:val="0"/>
        </w:rPr>
        <w:t>,</w:t>
      </w:r>
      <w:r w:rsidRPr="004B7166">
        <w:rPr>
          <w:b w:val="0"/>
          <w:lang w:val="en-US"/>
        </w:rPr>
        <w:t>0</w:t>
      </w:r>
      <w:r w:rsidRPr="004B7166">
        <w:rPr>
          <w:b w:val="0"/>
        </w:rPr>
        <w:t xml:space="preserve">6 пункта или </w:t>
      </w:r>
      <w:r w:rsidRPr="004B7166">
        <w:rPr>
          <w:b w:val="0"/>
          <w:lang w:val="en-US"/>
        </w:rPr>
        <w:t>27</w:t>
      </w:r>
      <w:r w:rsidRPr="004B7166">
        <w:rPr>
          <w:b w:val="0"/>
        </w:rPr>
        <w:t>,6%. Както се вижда и от графиката, тримесечието се характеризираше с ръст в началото на януари и спад през месеците февруари и март. Най-ниската стойност на CGIX през тримесечието беше на 19 март и бе 97,51 пункта, а най-високата бе на 16 януари и достигна 146,06 пункта.</w:t>
      </w:r>
      <w:bookmarkEnd w:id="56"/>
    </w:p>
    <w:p w:rsidR="004B7166" w:rsidRPr="004B7166" w:rsidRDefault="004B7166" w:rsidP="004B7166">
      <w:pPr>
        <w:pStyle w:val="Mainnumbers"/>
        <w:numPr>
          <w:ilvl w:val="0"/>
          <w:numId w:val="0"/>
        </w:numPr>
        <w:spacing w:before="0" w:after="0" w:line="276" w:lineRule="auto"/>
        <w:rPr>
          <w:b w:val="0"/>
        </w:rPr>
      </w:pPr>
    </w:p>
    <w:p w:rsidR="00D65947" w:rsidRPr="004B7166" w:rsidRDefault="00D65947" w:rsidP="0098559B">
      <w:pPr>
        <w:pStyle w:val="SubNumbers"/>
        <w:ind w:left="1418" w:hanging="916"/>
        <w:rPr>
          <w:rFonts w:cs="Calibri"/>
        </w:rPr>
      </w:pPr>
      <w:bookmarkStart w:id="57" w:name="_Toc42271162"/>
      <w:r w:rsidRPr="004B7166">
        <w:rPr>
          <w:rFonts w:cs="Calibri"/>
        </w:rPr>
        <w:t>Корпоративно управление</w:t>
      </w:r>
      <w:bookmarkEnd w:id="55"/>
      <w:bookmarkEnd w:id="57"/>
    </w:p>
    <w:p w:rsidR="00974E1B" w:rsidRPr="004B7166" w:rsidRDefault="00974E1B" w:rsidP="00974E1B">
      <w:pPr>
        <w:rPr>
          <w:rFonts w:cstheme="minorHAnsi"/>
        </w:rPr>
      </w:pPr>
      <w:bookmarkStart w:id="58" w:name="_Toc283112121"/>
      <w:r w:rsidRPr="004B7166">
        <w:rPr>
          <w:rFonts w:cstheme="minorHAnsi"/>
        </w:rPr>
        <w:t xml:space="preserve">Във връзка със законовите задължения на Българска фондова борса в качеството й на публично дружество, през </w:t>
      </w:r>
      <w:r w:rsidR="009C622E" w:rsidRPr="004B7166">
        <w:rPr>
          <w:rFonts w:cstheme="minorHAnsi"/>
        </w:rPr>
        <w:t>първото</w:t>
      </w:r>
      <w:r w:rsidRPr="004B7166">
        <w:rPr>
          <w:rFonts w:cstheme="minorHAnsi"/>
        </w:rPr>
        <w:t xml:space="preserve"> тримесечие на 20</w:t>
      </w:r>
      <w:r w:rsidR="004B7166" w:rsidRPr="004B7166">
        <w:rPr>
          <w:rFonts w:cstheme="minorHAnsi"/>
        </w:rPr>
        <w:t>20</w:t>
      </w:r>
      <w:r w:rsidRPr="004B7166">
        <w:rPr>
          <w:rFonts w:cstheme="minorHAnsi"/>
        </w:rPr>
        <w:t xml:space="preserve"> година Борсата оповести пред публичността и изпрати в Комисията за финансов надзор следната информация:</w:t>
      </w:r>
    </w:p>
    <w:p w:rsidR="004B7166" w:rsidRPr="004B7166" w:rsidRDefault="004B7166" w:rsidP="004B7166">
      <w:pPr>
        <w:pStyle w:val="ListParagraph"/>
        <w:numPr>
          <w:ilvl w:val="0"/>
          <w:numId w:val="25"/>
        </w:numPr>
        <w:spacing w:line="276" w:lineRule="auto"/>
        <w:rPr>
          <w:rFonts w:cs="Calibri"/>
        </w:rPr>
      </w:pPr>
      <w:bookmarkStart w:id="59" w:name="_Hlk536445665"/>
      <w:r w:rsidRPr="004B7166">
        <w:rPr>
          <w:rFonts w:cs="Calibri"/>
        </w:rPr>
        <w:t>28.01.20</w:t>
      </w:r>
      <w:r w:rsidRPr="004B7166">
        <w:rPr>
          <w:rFonts w:cs="Calibri"/>
          <w:lang w:val="en-US"/>
        </w:rPr>
        <w:t>20</w:t>
      </w:r>
      <w:r w:rsidRPr="004B7166">
        <w:rPr>
          <w:rFonts w:cs="Calibri"/>
        </w:rPr>
        <w:t xml:space="preserve"> г - Тримесечен отчет за четвърто тримесечие на 201</w:t>
      </w:r>
      <w:r w:rsidRPr="004B7166">
        <w:rPr>
          <w:rFonts w:cs="Calibri"/>
          <w:lang w:val="en-US"/>
        </w:rPr>
        <w:t xml:space="preserve">9 </w:t>
      </w:r>
      <w:r w:rsidRPr="004B7166">
        <w:rPr>
          <w:rFonts w:cs="Calibri"/>
        </w:rPr>
        <w:t>г.;</w:t>
      </w:r>
    </w:p>
    <w:p w:rsidR="004B7166" w:rsidRPr="004B7166" w:rsidRDefault="004B7166" w:rsidP="004B7166">
      <w:pPr>
        <w:pStyle w:val="ListParagraph"/>
        <w:numPr>
          <w:ilvl w:val="0"/>
          <w:numId w:val="25"/>
        </w:numPr>
        <w:spacing w:line="276" w:lineRule="auto"/>
        <w:rPr>
          <w:rFonts w:cs="Calibri"/>
        </w:rPr>
      </w:pPr>
      <w:r w:rsidRPr="004B7166">
        <w:rPr>
          <w:rFonts w:cs="Calibri"/>
        </w:rPr>
        <w:t>2</w:t>
      </w:r>
      <w:r w:rsidRPr="004B7166">
        <w:rPr>
          <w:rFonts w:cs="Calibri"/>
          <w:lang w:val="en-US"/>
        </w:rPr>
        <w:t>9</w:t>
      </w:r>
      <w:r w:rsidRPr="004B7166">
        <w:rPr>
          <w:rFonts w:cs="Calibri"/>
        </w:rPr>
        <w:t>.02.20</w:t>
      </w:r>
      <w:r w:rsidRPr="004B7166">
        <w:rPr>
          <w:rFonts w:cs="Calibri"/>
          <w:lang w:val="en-US"/>
        </w:rPr>
        <w:t>20</w:t>
      </w:r>
      <w:r w:rsidRPr="004B7166">
        <w:rPr>
          <w:rFonts w:cs="Calibri"/>
        </w:rPr>
        <w:t xml:space="preserve"> г. - Тримесечен консолидиран отчет за четвърто тримесечие на 201</w:t>
      </w:r>
      <w:r w:rsidRPr="004B7166">
        <w:rPr>
          <w:rFonts w:cs="Calibri"/>
          <w:lang w:val="en-US"/>
        </w:rPr>
        <w:t>9</w:t>
      </w:r>
      <w:r w:rsidRPr="004B7166">
        <w:rPr>
          <w:rFonts w:cs="Calibri"/>
        </w:rPr>
        <w:t xml:space="preserve"> г.;</w:t>
      </w:r>
    </w:p>
    <w:p w:rsidR="004B7166" w:rsidRPr="004B7166" w:rsidRDefault="004B7166" w:rsidP="004B7166">
      <w:pPr>
        <w:pStyle w:val="ListParagraph"/>
        <w:numPr>
          <w:ilvl w:val="0"/>
          <w:numId w:val="25"/>
        </w:numPr>
        <w:spacing w:line="276" w:lineRule="auto"/>
        <w:rPr>
          <w:rFonts w:cs="Calibri"/>
        </w:rPr>
      </w:pPr>
      <w:r w:rsidRPr="004B7166">
        <w:rPr>
          <w:rFonts w:cs="Calibri"/>
          <w:szCs w:val="22"/>
          <w:lang w:val="en-US"/>
        </w:rPr>
        <w:t>30</w:t>
      </w:r>
      <w:r w:rsidRPr="004B7166">
        <w:rPr>
          <w:rFonts w:cs="Calibri"/>
          <w:szCs w:val="22"/>
        </w:rPr>
        <w:t xml:space="preserve">.03.2020 г. - </w:t>
      </w:r>
      <w:r w:rsidR="003D57A5" w:rsidRPr="004B7166">
        <w:fldChar w:fldCharType="begin"/>
      </w:r>
      <w:r w:rsidRPr="004B7166">
        <w:instrText>HYPERLINK "javascript:showNews('3',136798);"</w:instrText>
      </w:r>
      <w:r w:rsidR="003D57A5" w:rsidRPr="004B7166">
        <w:fldChar w:fldCharType="separate"/>
      </w:r>
      <w:r w:rsidRPr="004B7166">
        <w:rPr>
          <w:rStyle w:val="Hyperlink"/>
          <w:rFonts w:cs="Arial"/>
          <w:color w:val="000000"/>
          <w:szCs w:val="22"/>
          <w:u w:val="none"/>
          <w:bdr w:val="none" w:sz="0" w:space="0" w:color="auto" w:frame="1"/>
          <w:shd w:val="clear" w:color="auto" w:fill="FFFFFF"/>
        </w:rPr>
        <w:t>Вътрешна информация по чл. 17, §1, във вр. с чл. 7 от Регламент №596/2014 на ЕП и на Съвета</w:t>
      </w:r>
      <w:r w:rsidR="003D57A5" w:rsidRPr="004B7166">
        <w:fldChar w:fldCharType="end"/>
      </w:r>
    </w:p>
    <w:bookmarkEnd w:id="59"/>
    <w:p w:rsidR="0014628B" w:rsidRPr="004B7166" w:rsidRDefault="0014628B" w:rsidP="0014628B">
      <w:pPr>
        <w:pStyle w:val="ListParagraph"/>
        <w:autoSpaceDE w:val="0"/>
        <w:autoSpaceDN w:val="0"/>
        <w:adjustRightInd w:val="0"/>
        <w:spacing w:line="276" w:lineRule="auto"/>
        <w:ind w:left="0"/>
        <w:rPr>
          <w:rFonts w:cs="Calibri"/>
          <w:szCs w:val="22"/>
        </w:rPr>
      </w:pPr>
      <w:r w:rsidRPr="004B7166">
        <w:rPr>
          <w:rFonts w:cs="Calibri"/>
          <w:szCs w:val="22"/>
        </w:rPr>
        <w:t>Финансовите отчети на дружеството и новините бяха оповестени едновременно на български и английски език.</w:t>
      </w:r>
    </w:p>
    <w:p w:rsidR="00954C2C" w:rsidRPr="00E26869" w:rsidRDefault="00954C2C" w:rsidP="00954C2C">
      <w:pPr>
        <w:pStyle w:val="SubNumbers"/>
        <w:ind w:left="1418" w:hanging="916"/>
        <w:rPr>
          <w:rFonts w:cs="Calibri"/>
        </w:rPr>
      </w:pPr>
      <w:bookmarkStart w:id="60" w:name="_Toc42271163"/>
      <w:r w:rsidRPr="00E26869">
        <w:rPr>
          <w:rFonts w:cs="Calibri"/>
        </w:rPr>
        <w:lastRenderedPageBreak/>
        <w:t>Основни характеристики на дейността на дъщерното дружество „Българска независима енергийна борса“ ЕАД</w:t>
      </w:r>
      <w:bookmarkEnd w:id="60"/>
    </w:p>
    <w:p w:rsidR="00954C2C" w:rsidRPr="00E26869" w:rsidRDefault="00954C2C" w:rsidP="00954C2C">
      <w:pPr>
        <w:spacing w:line="276" w:lineRule="auto"/>
        <w:rPr>
          <w:rFonts w:cs="Calibri"/>
        </w:rPr>
      </w:pPr>
      <w:r w:rsidRPr="00E26869">
        <w:rPr>
          <w:rFonts w:cs="Calibri"/>
        </w:rPr>
        <w:t>Дейността на „Българска независима енергийна борса“ ЕАД (БНЕБ) е тясно свързана с процеса на либерализация и обединяване на електроенергийните пазари в Европейския съюз и западните балкани и гарантира прозрачност, равнопоставеност и сигурност за участниците на пазара на електрическа енергия.</w:t>
      </w:r>
    </w:p>
    <w:p w:rsidR="00954C2C" w:rsidRPr="00E26869" w:rsidRDefault="00954C2C" w:rsidP="00954C2C">
      <w:pPr>
        <w:spacing w:line="276" w:lineRule="auto"/>
        <w:rPr>
          <w:rFonts w:cs="Calibri"/>
        </w:rPr>
      </w:pPr>
      <w:r w:rsidRPr="00E26869">
        <w:rPr>
          <w:rFonts w:cs="Calibri"/>
        </w:rPr>
        <w:t>БНЕБ допринася за развитието на пазара на електроенергия в България, като чрез интегрирането на нови сегменти за търговия дава възможност за въвеждане на нови инструменти и продукти за търговия и задоволява нарастващите нужди на търговските участници, като им дава възможност за гъвкавост в управлението на портф</w:t>
      </w:r>
      <w:r w:rsidR="002B2F3A" w:rsidRPr="00E26869">
        <w:rPr>
          <w:rFonts w:cs="Calibri"/>
        </w:rPr>
        <w:t>ейли</w:t>
      </w:r>
      <w:r w:rsidRPr="00E26869">
        <w:rPr>
          <w:rFonts w:cs="Calibri"/>
        </w:rPr>
        <w:t xml:space="preserve"> им.</w:t>
      </w:r>
    </w:p>
    <w:p w:rsidR="00954C2C" w:rsidRPr="00E26869" w:rsidRDefault="00954C2C" w:rsidP="00954C2C">
      <w:pPr>
        <w:spacing w:line="276" w:lineRule="auto"/>
        <w:rPr>
          <w:rFonts w:cs="Calibri"/>
        </w:rPr>
      </w:pPr>
      <w:r w:rsidRPr="00E26869">
        <w:rPr>
          <w:rFonts w:cs="Calibri"/>
        </w:rPr>
        <w:t>Лицензионната дейност, която дружеството развива, включва борсов пазар със сегменти:</w:t>
      </w:r>
    </w:p>
    <w:p w:rsidR="00954C2C" w:rsidRPr="00E26869" w:rsidRDefault="00954C2C" w:rsidP="00954C2C">
      <w:pPr>
        <w:pStyle w:val="ListParagraph"/>
        <w:numPr>
          <w:ilvl w:val="0"/>
          <w:numId w:val="15"/>
        </w:numPr>
        <w:spacing w:line="276" w:lineRule="auto"/>
        <w:rPr>
          <w:rFonts w:cs="Calibri"/>
        </w:rPr>
      </w:pPr>
      <w:r w:rsidRPr="00E26869">
        <w:rPr>
          <w:rFonts w:cs="Calibri"/>
        </w:rPr>
        <w:t>„Ден напред“ (Day Ahead market - DAM);</w:t>
      </w:r>
    </w:p>
    <w:p w:rsidR="00954C2C" w:rsidRPr="00E26869" w:rsidRDefault="00954C2C" w:rsidP="00954C2C">
      <w:pPr>
        <w:pStyle w:val="ListParagraph"/>
        <w:numPr>
          <w:ilvl w:val="0"/>
          <w:numId w:val="15"/>
        </w:numPr>
        <w:spacing w:line="276" w:lineRule="auto"/>
        <w:rPr>
          <w:rFonts w:cs="Calibri"/>
        </w:rPr>
      </w:pPr>
      <w:r w:rsidRPr="00E26869">
        <w:rPr>
          <w:rFonts w:cs="Calibri"/>
        </w:rPr>
        <w:t>„В рамките на деня“ (Intraday market</w:t>
      </w:r>
      <w:r w:rsidR="00C77B79" w:rsidRPr="00E26869">
        <w:rPr>
          <w:rFonts w:cs="Calibri"/>
        </w:rPr>
        <w:t xml:space="preserve"> </w:t>
      </w:r>
      <w:r w:rsidRPr="00E26869">
        <w:rPr>
          <w:rFonts w:cs="Calibri"/>
        </w:rPr>
        <w:t>- IDM);</w:t>
      </w:r>
    </w:p>
    <w:p w:rsidR="00954C2C" w:rsidRPr="00E26869" w:rsidRDefault="00954C2C" w:rsidP="00954C2C">
      <w:pPr>
        <w:pStyle w:val="ListParagraph"/>
        <w:numPr>
          <w:ilvl w:val="0"/>
          <w:numId w:val="15"/>
        </w:numPr>
        <w:spacing w:line="276" w:lineRule="auto"/>
        <w:rPr>
          <w:rFonts w:cs="Calibri"/>
        </w:rPr>
      </w:pPr>
      <w:r w:rsidRPr="00E26869">
        <w:rPr>
          <w:rFonts w:cs="Calibri"/>
        </w:rPr>
        <w:t xml:space="preserve">Централизиран пазар за покупко продажба на електрическа енергия посредством двустранни договори (Centralized market for bilateral contracts - CMBC). </w:t>
      </w:r>
    </w:p>
    <w:p w:rsidR="00954C2C" w:rsidRPr="00E26869" w:rsidRDefault="00954C2C" w:rsidP="00954C2C">
      <w:pPr>
        <w:spacing w:line="276" w:lineRule="auto"/>
        <w:rPr>
          <w:rFonts w:cs="Calibri"/>
        </w:rPr>
      </w:pPr>
      <w:r w:rsidRPr="00E26869">
        <w:rPr>
          <w:rFonts w:cs="Calibri"/>
        </w:rPr>
        <w:t>Два от тези пазарни сегмента следва да участват в обединение с вътрешнообщностните за Европейския съюз електроенергийни борсови пазари DAM и IDM, съгласно възприетите на европейско ниво механизми и целеви модел и в изпълнение на Регламент 1222/2015 на ЕК.</w:t>
      </w:r>
    </w:p>
    <w:p w:rsidR="00954C2C" w:rsidRPr="00E26869" w:rsidRDefault="00954C2C" w:rsidP="009158CC">
      <w:pPr>
        <w:spacing w:line="276" w:lineRule="auto"/>
        <w:rPr>
          <w:rFonts w:cs="Calibri"/>
        </w:rPr>
      </w:pPr>
      <w:r w:rsidRPr="00E26869">
        <w:rPr>
          <w:rFonts w:cs="Calibri"/>
        </w:rPr>
        <w:t>Нелицензионната дейност, която дружеството продължава да развива, включва и предоставяне на услуга по докладване на данни съгласно изискванията на REMIT.</w:t>
      </w:r>
    </w:p>
    <w:p w:rsidR="009158CC" w:rsidRDefault="009158CC" w:rsidP="009158CC">
      <w:pPr>
        <w:spacing w:line="276" w:lineRule="auto"/>
        <w:rPr>
          <w:rFonts w:asciiTheme="minorHAnsi" w:hAnsiTheme="minorHAnsi"/>
          <w:szCs w:val="22"/>
        </w:rPr>
      </w:pPr>
    </w:p>
    <w:p w:rsidR="009158CC" w:rsidRPr="009158CC" w:rsidRDefault="009158CC" w:rsidP="009158CC">
      <w:pPr>
        <w:spacing w:line="276" w:lineRule="auto"/>
        <w:rPr>
          <w:rFonts w:asciiTheme="minorHAnsi" w:hAnsiTheme="minorHAnsi"/>
          <w:szCs w:val="22"/>
        </w:rPr>
      </w:pPr>
      <w:r w:rsidRPr="009158CC">
        <w:rPr>
          <w:rFonts w:asciiTheme="minorHAnsi" w:hAnsiTheme="minorHAnsi"/>
          <w:szCs w:val="22"/>
        </w:rPr>
        <w:t>През първото тримесечие на 2020 г. Българска Независима Енергийна Борса (БНЕБ ЕАД) продължи успешно с реализацията на основните си цели, а именно  - активното участие в интеграционните процеси в региона на Югоизточна Европа, както и в развитието на българския електроенергиен пазар. Статусът на най-съществените проекти, в които дружеството съсредоточи своите усилия през гореспоменатия период биха могли да се резюмират накратко с изброяването, както следва:</w:t>
      </w:r>
    </w:p>
    <w:p w:rsidR="009158CC" w:rsidRPr="009158CC" w:rsidRDefault="009158CC" w:rsidP="009158CC">
      <w:pPr>
        <w:pStyle w:val="ListParagraph"/>
        <w:widowControl/>
        <w:numPr>
          <w:ilvl w:val="0"/>
          <w:numId w:val="46"/>
        </w:numPr>
        <w:spacing w:line="276" w:lineRule="auto"/>
        <w:rPr>
          <w:rFonts w:asciiTheme="minorHAnsi" w:hAnsiTheme="minorHAnsi"/>
          <w:szCs w:val="22"/>
        </w:rPr>
      </w:pPr>
      <w:r w:rsidRPr="009158CC">
        <w:rPr>
          <w:rFonts w:asciiTheme="minorHAnsi" w:hAnsiTheme="minorHAnsi"/>
          <w:szCs w:val="22"/>
        </w:rPr>
        <w:t>С оглед на стратегическата цел пред БНЕБ ЕАД за максимална бърза интеграция на краткосрочните пазари с физическа доставка с тези на страните от ЕС съобразно Европейското законодателство, както и във връзка с изпълнение на своите непосредствени задачи, на 11.10.2019 г. се проведе среща с представителите на Румънските преносен и пазарен оператори, както и с участието на представителите на регулаторните органи на двете страни, на която се реши предприемането на действия за стартирането на проект за пазарно обединение, който да приключи три месеца след успешното завършване на т.нар. Interim Project</w:t>
      </w:r>
      <w:r w:rsidRPr="009158CC">
        <w:rPr>
          <w:rStyle w:val="FootnoteReference"/>
          <w:rFonts w:asciiTheme="minorHAnsi" w:hAnsiTheme="minorHAnsi"/>
          <w:szCs w:val="22"/>
        </w:rPr>
        <w:footnoteReference w:id="1"/>
      </w:r>
      <w:r w:rsidRPr="009158CC">
        <w:rPr>
          <w:rFonts w:asciiTheme="minorHAnsi" w:hAnsiTheme="minorHAnsi"/>
          <w:szCs w:val="22"/>
        </w:rPr>
        <w:t xml:space="preserve">. </w:t>
      </w:r>
    </w:p>
    <w:p w:rsidR="009158CC" w:rsidRPr="009158CC" w:rsidRDefault="009158CC" w:rsidP="009158CC">
      <w:pPr>
        <w:pStyle w:val="ListParagraph"/>
        <w:spacing w:line="276" w:lineRule="auto"/>
        <w:rPr>
          <w:rFonts w:asciiTheme="minorHAnsi" w:hAnsiTheme="minorHAnsi"/>
          <w:szCs w:val="22"/>
        </w:rPr>
      </w:pPr>
      <w:r w:rsidRPr="009158CC">
        <w:rPr>
          <w:rFonts w:asciiTheme="minorHAnsi" w:hAnsiTheme="minorHAnsi"/>
          <w:szCs w:val="22"/>
        </w:rPr>
        <w:t xml:space="preserve">Проектът стартира през м. януари с изготвянето и одобрението на пътната карта, документ описващ структурата и организацията по вземане на решения, както и техническо описание на необходимите стъпки и етапи за успешно развитие и приключване на пазарното обединение. През м. март, Управляващият комитет на проекта одобри и представи на </w:t>
      </w:r>
      <w:r w:rsidRPr="009158CC">
        <w:rPr>
          <w:rFonts w:asciiTheme="minorHAnsi" w:hAnsiTheme="minorHAnsi"/>
          <w:szCs w:val="22"/>
        </w:rPr>
        <w:lastRenderedPageBreak/>
        <w:t>съответните органи на Европейско ниво официалната кандидатура на проекта и плана за включване към единния пазар „Ден напред” (</w:t>
      </w:r>
      <w:r w:rsidRPr="009158CC">
        <w:rPr>
          <w:rFonts w:asciiTheme="minorHAnsi" w:hAnsiTheme="minorHAnsi"/>
          <w:szCs w:val="22"/>
          <w:lang w:val="en-GB"/>
        </w:rPr>
        <w:t>SDAC</w:t>
      </w:r>
      <w:r w:rsidRPr="009158CC">
        <w:rPr>
          <w:rFonts w:asciiTheme="minorHAnsi" w:hAnsiTheme="minorHAnsi"/>
          <w:szCs w:val="22"/>
        </w:rPr>
        <w:t>).</w:t>
      </w:r>
    </w:p>
    <w:p w:rsidR="009158CC" w:rsidRPr="009158CC" w:rsidRDefault="009158CC" w:rsidP="009158CC">
      <w:pPr>
        <w:pStyle w:val="ListParagraph"/>
        <w:spacing w:line="276" w:lineRule="auto"/>
        <w:ind w:left="714"/>
        <w:contextualSpacing w:val="0"/>
        <w:rPr>
          <w:rFonts w:asciiTheme="minorHAnsi" w:hAnsiTheme="minorHAnsi"/>
          <w:szCs w:val="22"/>
        </w:rPr>
      </w:pPr>
      <w:r w:rsidRPr="009158CC">
        <w:rPr>
          <w:rFonts w:asciiTheme="minorHAnsi" w:hAnsiTheme="minorHAnsi"/>
          <w:szCs w:val="22"/>
        </w:rPr>
        <w:t>Очакваният срок за осъществяването на пазарното обединение е м. декември 2020 г.</w:t>
      </w:r>
    </w:p>
    <w:p w:rsidR="009158CC" w:rsidRPr="009158CC" w:rsidRDefault="009158CC" w:rsidP="009158CC">
      <w:pPr>
        <w:pStyle w:val="ListParagraph"/>
        <w:widowControl/>
        <w:numPr>
          <w:ilvl w:val="0"/>
          <w:numId w:val="46"/>
        </w:numPr>
        <w:spacing w:line="276" w:lineRule="auto"/>
        <w:ind w:left="714" w:hanging="357"/>
        <w:contextualSpacing w:val="0"/>
        <w:rPr>
          <w:rFonts w:asciiTheme="minorHAnsi" w:hAnsiTheme="minorHAnsi"/>
          <w:szCs w:val="22"/>
        </w:rPr>
      </w:pPr>
      <w:r w:rsidRPr="009158CC">
        <w:rPr>
          <w:rFonts w:asciiTheme="minorHAnsi" w:hAnsiTheme="minorHAnsi"/>
          <w:szCs w:val="22"/>
        </w:rPr>
        <w:t xml:space="preserve">Присъединяването към проекта </w:t>
      </w:r>
      <w:r w:rsidRPr="009158CC">
        <w:rPr>
          <w:rFonts w:asciiTheme="minorHAnsi" w:hAnsiTheme="minorHAnsi"/>
          <w:szCs w:val="22"/>
          <w:lang w:val="en-GB"/>
        </w:rPr>
        <w:t>IBWT</w:t>
      </w:r>
      <w:r w:rsidRPr="009158CC">
        <w:rPr>
          <w:rStyle w:val="FootnoteReference"/>
          <w:rFonts w:asciiTheme="minorHAnsi" w:hAnsiTheme="minorHAnsi"/>
          <w:szCs w:val="22"/>
          <w:lang w:val="en-GB"/>
        </w:rPr>
        <w:footnoteReference w:id="2"/>
      </w:r>
      <w:r w:rsidRPr="009158CC">
        <w:rPr>
          <w:rFonts w:asciiTheme="minorHAnsi" w:hAnsiTheme="minorHAnsi"/>
          <w:szCs w:val="22"/>
        </w:rPr>
        <w:t xml:space="preserve"> (</w:t>
      </w:r>
      <w:r w:rsidRPr="009158CC">
        <w:rPr>
          <w:rFonts w:asciiTheme="minorHAnsi" w:hAnsiTheme="minorHAnsi"/>
          <w:szCs w:val="22"/>
          <w:lang w:val="en-GB"/>
        </w:rPr>
        <w:t>Italian</w:t>
      </w:r>
      <w:r w:rsidRPr="009158CC">
        <w:rPr>
          <w:rFonts w:asciiTheme="minorHAnsi" w:hAnsiTheme="minorHAnsi"/>
          <w:szCs w:val="22"/>
        </w:rPr>
        <w:t xml:space="preserve"> </w:t>
      </w:r>
      <w:r w:rsidRPr="009158CC">
        <w:rPr>
          <w:rFonts w:asciiTheme="minorHAnsi" w:hAnsiTheme="minorHAnsi"/>
          <w:szCs w:val="22"/>
          <w:lang w:val="en-GB"/>
        </w:rPr>
        <w:t>borders</w:t>
      </w:r>
      <w:r w:rsidRPr="009158CC">
        <w:rPr>
          <w:rFonts w:asciiTheme="minorHAnsi" w:hAnsiTheme="minorHAnsi"/>
          <w:szCs w:val="22"/>
        </w:rPr>
        <w:t xml:space="preserve"> </w:t>
      </w:r>
      <w:r w:rsidRPr="009158CC">
        <w:rPr>
          <w:rFonts w:asciiTheme="minorHAnsi" w:hAnsiTheme="minorHAnsi"/>
          <w:szCs w:val="22"/>
          <w:lang w:val="en-GB"/>
        </w:rPr>
        <w:t>working</w:t>
      </w:r>
      <w:r w:rsidRPr="009158CC">
        <w:rPr>
          <w:rFonts w:asciiTheme="minorHAnsi" w:hAnsiTheme="minorHAnsi"/>
          <w:szCs w:val="22"/>
        </w:rPr>
        <w:t xml:space="preserve"> </w:t>
      </w:r>
      <w:r w:rsidRPr="009158CC">
        <w:rPr>
          <w:rFonts w:asciiTheme="minorHAnsi" w:hAnsiTheme="minorHAnsi"/>
          <w:szCs w:val="22"/>
          <w:lang w:val="en-GB"/>
        </w:rPr>
        <w:t>table</w:t>
      </w:r>
      <w:r w:rsidRPr="009158CC">
        <w:rPr>
          <w:rFonts w:asciiTheme="minorHAnsi" w:hAnsiTheme="minorHAnsi"/>
          <w:szCs w:val="22"/>
        </w:rPr>
        <w:t xml:space="preserve">), след одобрението от страна на всички регулаторни органи на страните участнички, приключи успешно през м. февруари. Българската страна получи официална подкрепа от страна на всички регулаторни органи на страните участнички в проекта, като БНЕБ ЕАД вече официално се присъедини към Управляващия комитет на </w:t>
      </w:r>
      <w:r w:rsidRPr="009158CC">
        <w:rPr>
          <w:rFonts w:asciiTheme="minorHAnsi" w:hAnsiTheme="minorHAnsi"/>
          <w:szCs w:val="22"/>
          <w:lang w:val="en-GB"/>
        </w:rPr>
        <w:t>IBWT</w:t>
      </w:r>
      <w:r w:rsidRPr="009158CC">
        <w:rPr>
          <w:rFonts w:asciiTheme="minorHAnsi" w:hAnsiTheme="minorHAnsi"/>
          <w:szCs w:val="22"/>
        </w:rPr>
        <w:t>. Това позволи стартиране на проекта за пазарно обединение на пазари „Ден напред“ с пазарната зона на Република Гърция с хоризонт първо тримесечие на 2021 г. До края на първото тримесечие на 2020 г. всички дейности планирани в пътната карта на проекта се изпълняват в срок и страните работят интензивно за успешното финализиране на това пазарно обединение до края на м. март 2021 г.</w:t>
      </w:r>
    </w:p>
    <w:p w:rsidR="009158CC" w:rsidRPr="009158CC" w:rsidRDefault="009158CC" w:rsidP="009158CC">
      <w:pPr>
        <w:pStyle w:val="ListParagraph"/>
        <w:widowControl/>
        <w:numPr>
          <w:ilvl w:val="0"/>
          <w:numId w:val="46"/>
        </w:numPr>
        <w:spacing w:line="276" w:lineRule="auto"/>
        <w:ind w:left="714" w:hanging="357"/>
        <w:contextualSpacing w:val="0"/>
        <w:rPr>
          <w:rFonts w:asciiTheme="minorHAnsi" w:hAnsiTheme="minorHAnsi"/>
          <w:szCs w:val="22"/>
        </w:rPr>
      </w:pPr>
      <w:r w:rsidRPr="009158CC">
        <w:rPr>
          <w:rFonts w:asciiTheme="minorHAnsi" w:hAnsiTheme="minorHAnsi"/>
          <w:szCs w:val="22"/>
        </w:rPr>
        <w:t xml:space="preserve">Проектът за присъединяване на българската пазарна зона в сегмент „В рамките на деня” към </w:t>
      </w:r>
      <w:r w:rsidRPr="009158CC">
        <w:rPr>
          <w:rFonts w:asciiTheme="minorHAnsi" w:hAnsiTheme="minorHAnsi"/>
          <w:szCs w:val="22"/>
          <w:lang w:val="en-GB"/>
        </w:rPr>
        <w:t>XBID</w:t>
      </w:r>
      <w:r w:rsidRPr="009158CC">
        <w:rPr>
          <w:rFonts w:asciiTheme="minorHAnsi" w:hAnsiTheme="minorHAnsi"/>
          <w:szCs w:val="22"/>
          <w:vertAlign w:val="superscript"/>
          <w:lang w:val="en-GB"/>
        </w:rPr>
        <w:footnoteReference w:id="3"/>
      </w:r>
      <w:r w:rsidRPr="009158CC">
        <w:rPr>
          <w:rFonts w:asciiTheme="minorHAnsi" w:hAnsiTheme="minorHAnsi"/>
          <w:szCs w:val="22"/>
        </w:rPr>
        <w:t xml:space="preserve"> чрез включване в </w:t>
      </w:r>
      <w:r w:rsidRPr="009158CC">
        <w:rPr>
          <w:rFonts w:asciiTheme="minorHAnsi" w:hAnsiTheme="minorHAnsi"/>
          <w:szCs w:val="22"/>
          <w:lang w:val="en-GB"/>
        </w:rPr>
        <w:t>LIP</w:t>
      </w:r>
      <w:r w:rsidRPr="009158CC">
        <w:rPr>
          <w:rFonts w:asciiTheme="minorHAnsi" w:hAnsiTheme="minorHAnsi"/>
          <w:szCs w:val="22"/>
        </w:rPr>
        <w:t xml:space="preserve"> 14</w:t>
      </w:r>
      <w:r w:rsidRPr="009158CC">
        <w:rPr>
          <w:rStyle w:val="FootnoteReference"/>
          <w:rFonts w:asciiTheme="minorHAnsi" w:hAnsiTheme="minorHAnsi"/>
          <w:szCs w:val="22"/>
        </w:rPr>
        <w:footnoteReference w:id="4"/>
      </w:r>
      <w:r w:rsidRPr="009158CC">
        <w:rPr>
          <w:rFonts w:asciiTheme="minorHAnsi" w:hAnsiTheme="minorHAnsi"/>
          <w:szCs w:val="22"/>
        </w:rPr>
        <w:t xml:space="preserve"> чрез българо-гръцка граница стартира успешно, като реалният старт на пазарното обединение ще се осъществи в края на първото тримесечие на 2021 г. Очаква се старта на тестовете по този проекта през м. септември.</w:t>
      </w:r>
    </w:p>
    <w:p w:rsidR="009158CC" w:rsidRPr="009158CC" w:rsidRDefault="009158CC" w:rsidP="009158CC">
      <w:pPr>
        <w:pStyle w:val="ListParagraph"/>
        <w:spacing w:line="276" w:lineRule="auto"/>
        <w:ind w:left="714"/>
        <w:contextualSpacing w:val="0"/>
        <w:rPr>
          <w:rFonts w:asciiTheme="minorHAnsi" w:hAnsiTheme="minorHAnsi"/>
          <w:szCs w:val="22"/>
        </w:rPr>
      </w:pPr>
      <w:r w:rsidRPr="009158CC">
        <w:rPr>
          <w:rFonts w:asciiTheme="minorHAnsi" w:hAnsiTheme="minorHAnsi"/>
          <w:szCs w:val="22"/>
        </w:rPr>
        <w:t>Чрез успешното завършване на този проект, българската страна ще изпълни своите задължения свързани с разширението на единното обединение на пазарите „В рамките на деня” (</w:t>
      </w:r>
      <w:r w:rsidRPr="009158CC">
        <w:rPr>
          <w:rFonts w:asciiTheme="minorHAnsi" w:hAnsiTheme="minorHAnsi"/>
          <w:szCs w:val="22"/>
          <w:lang w:val="en-GB"/>
        </w:rPr>
        <w:t>SIDC</w:t>
      </w:r>
      <w:r w:rsidRPr="009158CC">
        <w:rPr>
          <w:rFonts w:asciiTheme="minorHAnsi" w:hAnsiTheme="minorHAnsi"/>
          <w:szCs w:val="22"/>
        </w:rPr>
        <w:t xml:space="preserve">) на всички свои ЕС граници. </w:t>
      </w:r>
    </w:p>
    <w:p w:rsidR="009158CC" w:rsidRPr="009158CC" w:rsidRDefault="009158CC" w:rsidP="009158CC">
      <w:pPr>
        <w:pStyle w:val="ListParagraph"/>
        <w:widowControl/>
        <w:numPr>
          <w:ilvl w:val="0"/>
          <w:numId w:val="46"/>
        </w:numPr>
        <w:spacing w:line="276" w:lineRule="auto"/>
        <w:rPr>
          <w:rFonts w:asciiTheme="minorHAnsi" w:hAnsiTheme="minorHAnsi"/>
          <w:szCs w:val="22"/>
        </w:rPr>
      </w:pPr>
      <w:r w:rsidRPr="009158CC">
        <w:rPr>
          <w:rFonts w:asciiTheme="minorHAnsi" w:hAnsiTheme="minorHAnsi"/>
          <w:szCs w:val="22"/>
        </w:rPr>
        <w:t xml:space="preserve">Освен проектите свързани непосредствено с реализацията на Европейския целеви модел по отношение на краткосрочните пазари на електрическа енергия с физическа доставка, БНЕБ активно участва и в 4-те проекта по програмата HORIZON 2020 (H2020), които са с научна и демонстрационна цел и способстват за пазарната интеграция и интеграцията на </w:t>
      </w:r>
      <w:r w:rsidR="00D3364E">
        <w:rPr>
          <w:rFonts w:asciiTheme="minorHAnsi" w:hAnsiTheme="minorHAnsi"/>
          <w:szCs w:val="22"/>
        </w:rPr>
        <w:t xml:space="preserve">възобновяеми енергийни източници </w:t>
      </w:r>
      <w:r w:rsidR="00D3364E">
        <w:rPr>
          <w:rFonts w:asciiTheme="minorHAnsi" w:hAnsiTheme="minorHAnsi"/>
          <w:szCs w:val="22"/>
          <w:lang w:val="en-US"/>
        </w:rPr>
        <w:t>(</w:t>
      </w:r>
      <w:r w:rsidRPr="009158CC">
        <w:rPr>
          <w:rFonts w:asciiTheme="minorHAnsi" w:hAnsiTheme="minorHAnsi"/>
          <w:szCs w:val="22"/>
        </w:rPr>
        <w:t>ВЕИ</w:t>
      </w:r>
      <w:r w:rsidR="00D3364E">
        <w:rPr>
          <w:rFonts w:asciiTheme="minorHAnsi" w:hAnsiTheme="minorHAnsi"/>
          <w:szCs w:val="22"/>
          <w:lang w:val="en-US"/>
        </w:rPr>
        <w:t>)</w:t>
      </w:r>
      <w:r w:rsidRPr="009158CC">
        <w:rPr>
          <w:rFonts w:asciiTheme="minorHAnsi" w:hAnsiTheme="minorHAnsi"/>
          <w:szCs w:val="22"/>
        </w:rPr>
        <w:t xml:space="preserve"> на пазарен принцип, чрез нови технически и технологични решения. Такива са проектите</w:t>
      </w:r>
      <w:r w:rsidRPr="009158CC">
        <w:rPr>
          <w:rFonts w:asciiTheme="minorHAnsi" w:hAnsiTheme="minorHAnsi"/>
          <w:szCs w:val="22"/>
          <w:lang w:val="en-GB"/>
        </w:rPr>
        <w:t>:</w:t>
      </w:r>
    </w:p>
    <w:p w:rsidR="009158CC" w:rsidRPr="009158CC" w:rsidRDefault="009158CC" w:rsidP="009158CC">
      <w:pPr>
        <w:pStyle w:val="ListParagraph"/>
        <w:widowControl/>
        <w:numPr>
          <w:ilvl w:val="1"/>
          <w:numId w:val="46"/>
        </w:numPr>
        <w:spacing w:line="276" w:lineRule="auto"/>
        <w:rPr>
          <w:rFonts w:asciiTheme="minorHAnsi" w:hAnsiTheme="minorHAnsi"/>
          <w:szCs w:val="22"/>
        </w:rPr>
      </w:pPr>
      <w:r w:rsidRPr="009158CC">
        <w:rPr>
          <w:rFonts w:asciiTheme="minorHAnsi" w:hAnsiTheme="minorHAnsi"/>
          <w:szCs w:val="22"/>
        </w:rPr>
        <w:t>FLEXITRANSTORE - интегрирана платформа за повишена гъвкавост в интелигентните мрежи за пренос на данни със субекти за съхранение и голямо проникване на ВЕИ;</w:t>
      </w:r>
    </w:p>
    <w:p w:rsidR="009158CC" w:rsidRPr="009158CC" w:rsidRDefault="009158CC" w:rsidP="009158CC">
      <w:pPr>
        <w:pStyle w:val="ListParagraph"/>
        <w:widowControl/>
        <w:numPr>
          <w:ilvl w:val="1"/>
          <w:numId w:val="46"/>
        </w:numPr>
        <w:spacing w:line="276" w:lineRule="auto"/>
        <w:rPr>
          <w:rFonts w:asciiTheme="minorHAnsi" w:hAnsiTheme="minorHAnsi"/>
          <w:szCs w:val="22"/>
        </w:rPr>
      </w:pPr>
      <w:r w:rsidRPr="009158CC">
        <w:rPr>
          <w:rFonts w:asciiTheme="minorHAnsi" w:hAnsiTheme="minorHAnsi"/>
          <w:szCs w:val="22"/>
          <w:lang w:val="en-GB"/>
        </w:rPr>
        <w:t>I</w:t>
      </w:r>
      <w:r w:rsidRPr="009158CC">
        <w:rPr>
          <w:rFonts w:asciiTheme="minorHAnsi" w:hAnsiTheme="minorHAnsi"/>
          <w:szCs w:val="22"/>
        </w:rPr>
        <w:t>NTERRFACE - създаване на интегрирана платформа за предоставяне на иновативни мрежови услуги и подобряване на ефективността на електроенергийните системи;</w:t>
      </w:r>
    </w:p>
    <w:p w:rsidR="009158CC" w:rsidRPr="009158CC" w:rsidRDefault="009158CC" w:rsidP="009158CC">
      <w:pPr>
        <w:pStyle w:val="ListParagraph"/>
        <w:widowControl/>
        <w:numPr>
          <w:ilvl w:val="1"/>
          <w:numId w:val="46"/>
        </w:numPr>
        <w:spacing w:line="276" w:lineRule="auto"/>
        <w:rPr>
          <w:rFonts w:asciiTheme="minorHAnsi" w:hAnsiTheme="minorHAnsi"/>
          <w:szCs w:val="22"/>
        </w:rPr>
      </w:pPr>
      <w:r w:rsidRPr="009158CC">
        <w:rPr>
          <w:rFonts w:asciiTheme="minorHAnsi" w:hAnsiTheme="minorHAnsi"/>
          <w:szCs w:val="22"/>
        </w:rPr>
        <w:t>TRINITY (</w:t>
      </w:r>
      <w:proofErr w:type="spellStart"/>
      <w:r w:rsidRPr="009158CC">
        <w:rPr>
          <w:rFonts w:asciiTheme="minorHAnsi" w:hAnsiTheme="minorHAnsi"/>
          <w:b/>
          <w:bCs/>
          <w:szCs w:val="22"/>
          <w:lang w:val="en-GB"/>
        </w:rPr>
        <w:t>TR</w:t>
      </w:r>
      <w:r w:rsidRPr="009158CC">
        <w:rPr>
          <w:rFonts w:asciiTheme="minorHAnsi" w:hAnsiTheme="minorHAnsi"/>
          <w:szCs w:val="22"/>
          <w:lang w:val="en-GB"/>
        </w:rPr>
        <w:t>ansmission</w:t>
      </w:r>
      <w:proofErr w:type="spellEnd"/>
      <w:r w:rsidRPr="009158CC">
        <w:rPr>
          <w:rFonts w:asciiTheme="minorHAnsi" w:hAnsiTheme="minorHAnsi"/>
          <w:szCs w:val="22"/>
          <w:lang w:val="en-GB"/>
        </w:rPr>
        <w:t xml:space="preserve"> system enhancement of </w:t>
      </w:r>
      <w:proofErr w:type="spellStart"/>
      <w:r w:rsidRPr="009158CC">
        <w:rPr>
          <w:rFonts w:asciiTheme="minorHAnsi" w:hAnsiTheme="minorHAnsi"/>
          <w:szCs w:val="22"/>
          <w:lang w:val="en-GB"/>
        </w:rPr>
        <w:t>reg</w:t>
      </w:r>
      <w:r w:rsidRPr="009158CC">
        <w:rPr>
          <w:rFonts w:asciiTheme="minorHAnsi" w:hAnsiTheme="minorHAnsi"/>
          <w:b/>
          <w:bCs/>
          <w:szCs w:val="22"/>
          <w:lang w:val="en-GB"/>
        </w:rPr>
        <w:t>I</w:t>
      </w:r>
      <w:r w:rsidRPr="009158CC">
        <w:rPr>
          <w:rFonts w:asciiTheme="minorHAnsi" w:hAnsiTheme="minorHAnsi"/>
          <w:szCs w:val="22"/>
          <w:lang w:val="en-GB"/>
        </w:rPr>
        <w:t>o</w:t>
      </w:r>
      <w:r w:rsidRPr="009158CC">
        <w:rPr>
          <w:rFonts w:asciiTheme="minorHAnsi" w:hAnsiTheme="minorHAnsi"/>
          <w:b/>
          <w:bCs/>
          <w:szCs w:val="22"/>
          <w:lang w:val="en-GB"/>
        </w:rPr>
        <w:t>N</w:t>
      </w:r>
      <w:r w:rsidRPr="009158CC">
        <w:rPr>
          <w:rFonts w:asciiTheme="minorHAnsi" w:hAnsiTheme="minorHAnsi"/>
          <w:szCs w:val="22"/>
          <w:lang w:val="en-GB"/>
        </w:rPr>
        <w:t>al</w:t>
      </w:r>
      <w:proofErr w:type="spellEnd"/>
      <w:r w:rsidRPr="009158CC">
        <w:rPr>
          <w:rFonts w:asciiTheme="minorHAnsi" w:hAnsiTheme="minorHAnsi"/>
          <w:szCs w:val="22"/>
          <w:lang w:val="en-GB"/>
        </w:rPr>
        <w:t xml:space="preserve"> borders by means of </w:t>
      </w:r>
      <w:proofErr w:type="spellStart"/>
      <w:r w:rsidRPr="009158CC">
        <w:rPr>
          <w:rFonts w:asciiTheme="minorHAnsi" w:hAnsiTheme="minorHAnsi"/>
          <w:b/>
          <w:bCs/>
          <w:szCs w:val="22"/>
          <w:lang w:val="en-GB"/>
        </w:rPr>
        <w:t>I</w:t>
      </w:r>
      <w:r w:rsidRPr="009158CC">
        <w:rPr>
          <w:rFonts w:asciiTheme="minorHAnsi" w:hAnsiTheme="minorHAnsi"/>
          <w:szCs w:val="22"/>
          <w:lang w:val="en-GB"/>
        </w:rPr>
        <w:t>ntelligen</w:t>
      </w:r>
      <w:r w:rsidRPr="009158CC">
        <w:rPr>
          <w:rFonts w:asciiTheme="minorHAnsi" w:hAnsiTheme="minorHAnsi"/>
          <w:b/>
          <w:bCs/>
          <w:szCs w:val="22"/>
          <w:lang w:val="en-GB"/>
        </w:rPr>
        <w:t>T</w:t>
      </w:r>
      <w:proofErr w:type="spellEnd"/>
      <w:r w:rsidRPr="009158CC">
        <w:rPr>
          <w:rFonts w:asciiTheme="minorHAnsi" w:hAnsiTheme="minorHAnsi"/>
          <w:szCs w:val="22"/>
          <w:lang w:val="en-GB"/>
        </w:rPr>
        <w:t xml:space="preserve"> market </w:t>
      </w:r>
      <w:proofErr w:type="spellStart"/>
      <w:r w:rsidRPr="009158CC">
        <w:rPr>
          <w:rFonts w:asciiTheme="minorHAnsi" w:hAnsiTheme="minorHAnsi"/>
          <w:szCs w:val="22"/>
          <w:lang w:val="en-GB"/>
        </w:rPr>
        <w:t>technolog</w:t>
      </w:r>
      <w:r w:rsidRPr="009158CC">
        <w:rPr>
          <w:rFonts w:asciiTheme="minorHAnsi" w:hAnsiTheme="minorHAnsi"/>
          <w:b/>
          <w:bCs/>
          <w:szCs w:val="22"/>
          <w:lang w:val="en-GB"/>
        </w:rPr>
        <w:t>Y</w:t>
      </w:r>
      <w:proofErr w:type="spellEnd"/>
      <w:r w:rsidRPr="009158CC">
        <w:rPr>
          <w:rFonts w:asciiTheme="minorHAnsi" w:hAnsiTheme="minorHAnsi"/>
          <w:szCs w:val="22"/>
        </w:rPr>
        <w:t>);</w:t>
      </w:r>
    </w:p>
    <w:p w:rsidR="009158CC" w:rsidRPr="009158CC" w:rsidRDefault="009158CC" w:rsidP="009158CC">
      <w:pPr>
        <w:pStyle w:val="ListParagraph"/>
        <w:widowControl/>
        <w:numPr>
          <w:ilvl w:val="1"/>
          <w:numId w:val="46"/>
        </w:numPr>
        <w:spacing w:line="276" w:lineRule="auto"/>
        <w:rPr>
          <w:rFonts w:asciiTheme="minorHAnsi" w:hAnsiTheme="minorHAnsi"/>
          <w:szCs w:val="22"/>
        </w:rPr>
      </w:pPr>
      <w:r w:rsidRPr="009158CC">
        <w:rPr>
          <w:rFonts w:asciiTheme="minorHAnsi" w:hAnsiTheme="minorHAnsi"/>
          <w:szCs w:val="22"/>
        </w:rPr>
        <w:t xml:space="preserve">FARCROSS </w:t>
      </w:r>
      <w:r w:rsidRPr="009158CC">
        <w:rPr>
          <w:rFonts w:asciiTheme="minorHAnsi" w:hAnsiTheme="minorHAnsi"/>
          <w:szCs w:val="22"/>
          <w:lang w:val="en-GB"/>
        </w:rPr>
        <w:t>(</w:t>
      </w:r>
      <w:proofErr w:type="spellStart"/>
      <w:r w:rsidRPr="009158CC">
        <w:rPr>
          <w:rFonts w:asciiTheme="minorHAnsi" w:hAnsiTheme="minorHAnsi"/>
          <w:b/>
          <w:bCs/>
          <w:szCs w:val="22"/>
          <w:lang w:val="en-GB"/>
        </w:rPr>
        <w:t>FA</w:t>
      </w:r>
      <w:r w:rsidRPr="009158CC">
        <w:rPr>
          <w:rFonts w:asciiTheme="minorHAnsi" w:hAnsiTheme="minorHAnsi"/>
          <w:szCs w:val="22"/>
          <w:lang w:val="en-GB"/>
        </w:rPr>
        <w:t>cilitating</w:t>
      </w:r>
      <w:proofErr w:type="spellEnd"/>
      <w:r w:rsidRPr="009158CC">
        <w:rPr>
          <w:rFonts w:asciiTheme="minorHAnsi" w:hAnsiTheme="minorHAnsi"/>
          <w:szCs w:val="22"/>
          <w:lang w:val="en-GB"/>
        </w:rPr>
        <w:t xml:space="preserve"> </w:t>
      </w:r>
      <w:r w:rsidRPr="009158CC">
        <w:rPr>
          <w:rFonts w:asciiTheme="minorHAnsi" w:hAnsiTheme="minorHAnsi"/>
          <w:b/>
          <w:bCs/>
          <w:szCs w:val="22"/>
          <w:lang w:val="en-GB"/>
        </w:rPr>
        <w:t>R</w:t>
      </w:r>
      <w:r w:rsidRPr="009158CC">
        <w:rPr>
          <w:rFonts w:asciiTheme="minorHAnsi" w:hAnsiTheme="minorHAnsi"/>
          <w:szCs w:val="22"/>
          <w:lang w:val="en-GB"/>
        </w:rPr>
        <w:t xml:space="preserve">egional </w:t>
      </w:r>
      <w:r w:rsidRPr="009158CC">
        <w:rPr>
          <w:rFonts w:asciiTheme="minorHAnsi" w:hAnsiTheme="minorHAnsi"/>
          <w:b/>
          <w:bCs/>
          <w:szCs w:val="22"/>
          <w:lang w:val="en-GB"/>
        </w:rPr>
        <w:t>CROSS</w:t>
      </w:r>
      <w:r w:rsidRPr="009158CC">
        <w:rPr>
          <w:rFonts w:asciiTheme="minorHAnsi" w:hAnsiTheme="minorHAnsi"/>
          <w:szCs w:val="22"/>
          <w:lang w:val="en-GB"/>
        </w:rPr>
        <w:t>-border Electricity Transmission through Innovation).</w:t>
      </w:r>
    </w:p>
    <w:p w:rsidR="009158CC" w:rsidRPr="00E040A5" w:rsidRDefault="009158CC" w:rsidP="009158CC">
      <w:pPr>
        <w:spacing w:line="360" w:lineRule="auto"/>
        <w:ind w:left="360"/>
        <w:rPr>
          <w:rFonts w:ascii="Verdana" w:hAnsi="Verdana"/>
          <w:sz w:val="20"/>
          <w:szCs w:val="20"/>
        </w:rPr>
      </w:pPr>
    </w:p>
    <w:p w:rsidR="009158CC" w:rsidRPr="00F55B63" w:rsidRDefault="009158CC" w:rsidP="00F134D5">
      <w:pPr>
        <w:spacing w:line="276" w:lineRule="auto"/>
        <w:rPr>
          <w:rFonts w:cs="Calibri"/>
          <w:szCs w:val="22"/>
          <w:highlight w:val="yellow"/>
        </w:rPr>
      </w:pPr>
    </w:p>
    <w:p w:rsidR="00DD62C3" w:rsidRPr="00F3551F" w:rsidRDefault="00DD62C3" w:rsidP="00DD62C3">
      <w:pPr>
        <w:pStyle w:val="SubNumbers"/>
        <w:ind w:left="1418" w:hanging="916"/>
        <w:rPr>
          <w:rFonts w:asciiTheme="minorHAnsi" w:hAnsiTheme="minorHAnsi" w:cs="Calibri"/>
        </w:rPr>
      </w:pPr>
      <w:bookmarkStart w:id="61" w:name="_Toc42271164"/>
      <w:r w:rsidRPr="00F3551F">
        <w:rPr>
          <w:rFonts w:asciiTheme="minorHAnsi" w:hAnsiTheme="minorHAnsi" w:cs="Calibri"/>
        </w:rPr>
        <w:lastRenderedPageBreak/>
        <w:t>Основни характеристики на дейността на дъщерното дружество „Сервиз финансови пазари“ ЕООД</w:t>
      </w:r>
      <w:bookmarkEnd w:id="61"/>
    </w:p>
    <w:p w:rsidR="00F3551F" w:rsidRPr="00F3551F" w:rsidRDefault="0062076E" w:rsidP="00F3551F">
      <w:pPr>
        <w:pStyle w:val="HTMLPreformatted"/>
        <w:spacing w:line="276" w:lineRule="auto"/>
        <w:jc w:val="both"/>
        <w:rPr>
          <w:rFonts w:asciiTheme="minorHAnsi" w:hAnsiTheme="minorHAnsi"/>
          <w:sz w:val="24"/>
          <w:szCs w:val="24"/>
        </w:rPr>
      </w:pPr>
      <w:r w:rsidRPr="00F3551F">
        <w:rPr>
          <w:rFonts w:asciiTheme="minorHAnsi" w:hAnsiTheme="minorHAnsi" w:cs="Calibri"/>
          <w:sz w:val="22"/>
          <w:szCs w:val="22"/>
        </w:rPr>
        <w:t xml:space="preserve">Дейността на </w:t>
      </w:r>
      <w:r w:rsidR="003E5CD6">
        <w:rPr>
          <w:rFonts w:asciiTheme="minorHAnsi" w:hAnsiTheme="minorHAnsi" w:cs="Calibri"/>
          <w:sz w:val="22"/>
          <w:szCs w:val="22"/>
        </w:rPr>
        <w:t>„</w:t>
      </w:r>
      <w:r w:rsidRPr="00F3551F">
        <w:rPr>
          <w:rFonts w:asciiTheme="minorHAnsi" w:hAnsiTheme="minorHAnsi" w:cs="Calibri"/>
          <w:sz w:val="22"/>
          <w:szCs w:val="22"/>
        </w:rPr>
        <w:t xml:space="preserve">Сервиз финансови пазари" ЕООД </w:t>
      </w:r>
      <w:r w:rsidR="00836CE4" w:rsidRPr="00F3551F">
        <w:rPr>
          <w:rFonts w:asciiTheme="minorHAnsi" w:hAnsiTheme="minorHAnsi" w:cs="Calibri"/>
          <w:sz w:val="22"/>
          <w:szCs w:val="22"/>
        </w:rPr>
        <w:t xml:space="preserve">(СФП) </w:t>
      </w:r>
      <w:r w:rsidRPr="00F3551F">
        <w:rPr>
          <w:rFonts w:asciiTheme="minorHAnsi" w:hAnsiTheme="minorHAnsi" w:cs="Calibri"/>
          <w:sz w:val="22"/>
          <w:szCs w:val="22"/>
        </w:rPr>
        <w:t>през първото тримесечие на 20</w:t>
      </w:r>
      <w:r w:rsidR="00F3551F" w:rsidRPr="00F3551F">
        <w:rPr>
          <w:rFonts w:asciiTheme="minorHAnsi" w:hAnsiTheme="minorHAnsi" w:cs="Calibri"/>
          <w:sz w:val="22"/>
          <w:szCs w:val="22"/>
        </w:rPr>
        <w:t>20</w:t>
      </w:r>
      <w:r w:rsidRPr="00F3551F">
        <w:rPr>
          <w:rFonts w:asciiTheme="minorHAnsi" w:hAnsiTheme="minorHAnsi" w:cs="Calibri"/>
          <w:sz w:val="22"/>
          <w:szCs w:val="22"/>
        </w:rPr>
        <w:t xml:space="preserve"> г. </w:t>
      </w:r>
      <w:r w:rsidR="00836CE4" w:rsidRPr="00F3551F">
        <w:rPr>
          <w:rFonts w:asciiTheme="minorHAnsi" w:hAnsiTheme="minorHAnsi" w:cs="Calibri"/>
          <w:sz w:val="22"/>
          <w:szCs w:val="22"/>
        </w:rPr>
        <w:t>б</w:t>
      </w:r>
      <w:r w:rsidRPr="00F3551F">
        <w:rPr>
          <w:rFonts w:asciiTheme="minorHAnsi" w:hAnsiTheme="minorHAnsi" w:cs="Calibri"/>
          <w:sz w:val="22"/>
          <w:szCs w:val="22"/>
        </w:rPr>
        <w:t xml:space="preserve">е </w:t>
      </w:r>
      <w:r w:rsidR="00836CE4" w:rsidRPr="00F3551F">
        <w:rPr>
          <w:rFonts w:asciiTheme="minorHAnsi" w:hAnsiTheme="minorHAnsi" w:cs="Calibri"/>
          <w:sz w:val="22"/>
          <w:szCs w:val="22"/>
        </w:rPr>
        <w:t xml:space="preserve">свързана </w:t>
      </w:r>
      <w:r w:rsidR="003E5CD6" w:rsidRPr="00F3551F">
        <w:rPr>
          <w:rFonts w:asciiTheme="minorHAnsi" w:hAnsiTheme="minorHAnsi" w:cs="Calibri"/>
          <w:sz w:val="22"/>
          <w:szCs w:val="22"/>
        </w:rPr>
        <w:t xml:space="preserve">предимно </w:t>
      </w:r>
      <w:r w:rsidRPr="00F3551F">
        <w:rPr>
          <w:rFonts w:asciiTheme="minorHAnsi" w:hAnsiTheme="minorHAnsi" w:cs="Calibri"/>
          <w:sz w:val="22"/>
          <w:szCs w:val="22"/>
        </w:rPr>
        <w:t xml:space="preserve">с поддържането на </w:t>
      </w:r>
      <w:r w:rsidR="00836CE4" w:rsidRPr="00F3551F">
        <w:rPr>
          <w:rFonts w:asciiTheme="minorHAnsi" w:hAnsiTheme="minorHAnsi" w:cs="Calibri"/>
          <w:sz w:val="22"/>
          <w:szCs w:val="22"/>
        </w:rPr>
        <w:t xml:space="preserve">продукта </w:t>
      </w:r>
      <w:r w:rsidRPr="00F3551F">
        <w:rPr>
          <w:rFonts w:asciiTheme="minorHAnsi" w:hAnsiTheme="minorHAnsi" w:cs="Calibri"/>
          <w:sz w:val="22"/>
          <w:szCs w:val="22"/>
        </w:rPr>
        <w:t xml:space="preserve">X3 News. В момента </w:t>
      </w:r>
      <w:r w:rsidR="00F3551F" w:rsidRPr="00F3551F">
        <w:rPr>
          <w:rFonts w:asciiTheme="minorHAnsi" w:hAnsiTheme="minorHAnsi" w:cs="Calibri"/>
          <w:sz w:val="22"/>
          <w:szCs w:val="22"/>
        </w:rPr>
        <w:t xml:space="preserve">дружеството </w:t>
      </w:r>
      <w:r w:rsidRPr="00F3551F">
        <w:rPr>
          <w:rFonts w:asciiTheme="minorHAnsi" w:hAnsiTheme="minorHAnsi" w:cs="Calibri"/>
          <w:sz w:val="22"/>
          <w:szCs w:val="22"/>
        </w:rPr>
        <w:t>е предприел</w:t>
      </w:r>
      <w:r w:rsidR="00F3551F" w:rsidRPr="00F3551F">
        <w:rPr>
          <w:rFonts w:asciiTheme="minorHAnsi" w:hAnsiTheme="minorHAnsi" w:cs="Calibri"/>
          <w:sz w:val="22"/>
          <w:szCs w:val="22"/>
        </w:rPr>
        <w:t>о</w:t>
      </w:r>
      <w:r w:rsidRPr="00F3551F">
        <w:rPr>
          <w:rFonts w:asciiTheme="minorHAnsi" w:hAnsiTheme="minorHAnsi" w:cs="Calibri"/>
          <w:sz w:val="22"/>
          <w:szCs w:val="22"/>
        </w:rPr>
        <w:t xml:space="preserve"> няколко проекта за подобряване на продукта </w:t>
      </w:r>
      <w:r w:rsidR="00F3551F" w:rsidRPr="00F3551F">
        <w:rPr>
          <w:rFonts w:asciiTheme="minorHAnsi" w:hAnsiTheme="minorHAnsi"/>
          <w:sz w:val="22"/>
          <w:szCs w:val="22"/>
        </w:rPr>
        <w:t>X3Anа</w:t>
      </w:r>
      <w:proofErr w:type="spellStart"/>
      <w:r w:rsidR="00F3551F" w:rsidRPr="00F3551F">
        <w:rPr>
          <w:rFonts w:asciiTheme="minorHAnsi" w:hAnsiTheme="minorHAnsi"/>
          <w:sz w:val="22"/>
          <w:szCs w:val="22"/>
          <w:lang w:val="en-US"/>
        </w:rPr>
        <w:t>lytics</w:t>
      </w:r>
      <w:proofErr w:type="spellEnd"/>
      <w:r w:rsidRPr="00F3551F">
        <w:rPr>
          <w:rFonts w:asciiTheme="minorHAnsi" w:hAnsiTheme="minorHAnsi" w:cs="Calibri"/>
          <w:sz w:val="22"/>
          <w:szCs w:val="22"/>
        </w:rPr>
        <w:t xml:space="preserve">, </w:t>
      </w:r>
      <w:r w:rsidR="00836CE4" w:rsidRPr="00F3551F">
        <w:rPr>
          <w:rFonts w:asciiTheme="minorHAnsi" w:hAnsiTheme="minorHAnsi" w:cs="Calibri"/>
          <w:sz w:val="22"/>
          <w:szCs w:val="22"/>
        </w:rPr>
        <w:t>целящи</w:t>
      </w:r>
      <w:r w:rsidRPr="00F3551F">
        <w:rPr>
          <w:rFonts w:asciiTheme="minorHAnsi" w:hAnsiTheme="minorHAnsi" w:cs="Calibri"/>
          <w:sz w:val="22"/>
          <w:szCs w:val="22"/>
        </w:rPr>
        <w:t xml:space="preserve"> </w:t>
      </w:r>
      <w:r w:rsidR="00836CE4" w:rsidRPr="00F3551F">
        <w:rPr>
          <w:rFonts w:asciiTheme="minorHAnsi" w:hAnsiTheme="minorHAnsi" w:cs="Calibri"/>
          <w:sz w:val="22"/>
          <w:szCs w:val="22"/>
        </w:rPr>
        <w:t xml:space="preserve">продуктът </w:t>
      </w:r>
      <w:r w:rsidRPr="00F3551F">
        <w:rPr>
          <w:rFonts w:asciiTheme="minorHAnsi" w:hAnsiTheme="minorHAnsi" w:cs="Calibri"/>
          <w:sz w:val="22"/>
          <w:szCs w:val="22"/>
        </w:rPr>
        <w:t xml:space="preserve">да се предложи на клиенти за употреба </w:t>
      </w:r>
      <w:r w:rsidR="00F3551F" w:rsidRPr="00F3551F">
        <w:rPr>
          <w:rFonts w:asciiTheme="minorHAnsi" w:hAnsiTheme="minorHAnsi" w:cs="Calibri"/>
          <w:sz w:val="22"/>
          <w:szCs w:val="22"/>
        </w:rPr>
        <w:t>до края на 2020</w:t>
      </w:r>
      <w:r w:rsidRPr="00F3551F">
        <w:rPr>
          <w:rFonts w:asciiTheme="minorHAnsi" w:hAnsiTheme="minorHAnsi" w:cs="Calibri"/>
          <w:sz w:val="22"/>
          <w:szCs w:val="22"/>
        </w:rPr>
        <w:t xml:space="preserve"> година. </w:t>
      </w:r>
      <w:r w:rsidR="00F3551F" w:rsidRPr="00F3551F">
        <w:rPr>
          <w:rFonts w:asciiTheme="minorHAnsi" w:hAnsiTheme="minorHAnsi"/>
          <w:sz w:val="22"/>
          <w:szCs w:val="22"/>
        </w:rPr>
        <w:t>През първото тримесечие на 2020 година беше започнат проект и разработка на продукт</w:t>
      </w:r>
      <w:r w:rsidR="00F3551F">
        <w:rPr>
          <w:rFonts w:asciiTheme="minorHAnsi" w:hAnsiTheme="minorHAnsi"/>
          <w:sz w:val="22"/>
          <w:szCs w:val="22"/>
        </w:rPr>
        <w:t>,</w:t>
      </w:r>
      <w:r w:rsidR="00F3551F" w:rsidRPr="00F3551F">
        <w:rPr>
          <w:rFonts w:asciiTheme="minorHAnsi" w:hAnsiTheme="minorHAnsi"/>
          <w:sz w:val="22"/>
          <w:szCs w:val="22"/>
        </w:rPr>
        <w:t xml:space="preserve"> който да помогн</w:t>
      </w:r>
      <w:r w:rsidR="00F3551F">
        <w:rPr>
          <w:rFonts w:asciiTheme="minorHAnsi" w:hAnsiTheme="minorHAnsi"/>
          <w:sz w:val="22"/>
          <w:szCs w:val="22"/>
        </w:rPr>
        <w:t>е</w:t>
      </w:r>
      <w:r w:rsidR="00F3551F" w:rsidRPr="00F3551F">
        <w:rPr>
          <w:rFonts w:asciiTheme="minorHAnsi" w:hAnsiTheme="minorHAnsi"/>
          <w:sz w:val="22"/>
          <w:szCs w:val="22"/>
        </w:rPr>
        <w:t xml:space="preserve"> на клиентите на </w:t>
      </w:r>
      <w:r w:rsidR="003E5CD6">
        <w:rPr>
          <w:rFonts w:asciiTheme="minorHAnsi" w:hAnsiTheme="minorHAnsi"/>
          <w:sz w:val="22"/>
          <w:szCs w:val="22"/>
        </w:rPr>
        <w:t>„</w:t>
      </w:r>
      <w:r w:rsidR="00F3551F" w:rsidRPr="00F3551F">
        <w:rPr>
          <w:rFonts w:asciiTheme="minorHAnsi" w:hAnsiTheme="minorHAnsi"/>
          <w:sz w:val="22"/>
          <w:szCs w:val="22"/>
        </w:rPr>
        <w:t>СФП</w:t>
      </w:r>
      <w:r w:rsidR="003E5CD6">
        <w:rPr>
          <w:rFonts w:asciiTheme="minorHAnsi" w:hAnsiTheme="minorHAnsi"/>
          <w:sz w:val="22"/>
          <w:szCs w:val="22"/>
        </w:rPr>
        <w:t>”</w:t>
      </w:r>
      <w:r w:rsidR="00F3551F" w:rsidRPr="00F3551F">
        <w:rPr>
          <w:rFonts w:asciiTheme="minorHAnsi" w:hAnsiTheme="minorHAnsi"/>
          <w:sz w:val="22"/>
          <w:szCs w:val="22"/>
        </w:rPr>
        <w:t xml:space="preserve"> ЕООД да спазват регламентите на </w:t>
      </w:r>
      <w:r w:rsidR="00F3551F" w:rsidRPr="00F3551F">
        <w:rPr>
          <w:rFonts w:asciiTheme="minorHAnsi" w:hAnsiTheme="minorHAnsi"/>
          <w:sz w:val="22"/>
          <w:szCs w:val="22"/>
          <w:lang w:val="en-US"/>
        </w:rPr>
        <w:t>ESMA</w:t>
      </w:r>
      <w:r w:rsidR="00F3551F">
        <w:rPr>
          <w:rFonts w:asciiTheme="minorHAnsi" w:hAnsiTheme="minorHAnsi"/>
          <w:sz w:val="22"/>
          <w:szCs w:val="22"/>
        </w:rPr>
        <w:t>,</w:t>
      </w:r>
      <w:r w:rsidR="00F3551F" w:rsidRPr="00F3551F">
        <w:rPr>
          <w:rFonts w:asciiTheme="minorHAnsi" w:hAnsiTheme="minorHAnsi"/>
          <w:sz w:val="22"/>
          <w:szCs w:val="22"/>
          <w:lang w:val="en-US"/>
        </w:rPr>
        <w:t xml:space="preserve"> </w:t>
      </w:r>
      <w:r w:rsidR="00F3551F" w:rsidRPr="00F3551F">
        <w:rPr>
          <w:rFonts w:asciiTheme="minorHAnsi" w:hAnsiTheme="minorHAnsi"/>
          <w:sz w:val="22"/>
          <w:szCs w:val="22"/>
        </w:rPr>
        <w:t xml:space="preserve">свързани с дигитални отчети и </w:t>
      </w:r>
      <w:r w:rsidR="00F3551F" w:rsidRPr="00F3551F">
        <w:rPr>
          <w:rFonts w:asciiTheme="minorHAnsi" w:hAnsiTheme="minorHAnsi"/>
          <w:sz w:val="22"/>
          <w:szCs w:val="22"/>
          <w:lang w:val="en-US"/>
        </w:rPr>
        <w:t xml:space="preserve">XBRL </w:t>
      </w:r>
      <w:r w:rsidR="00F3551F" w:rsidRPr="00F3551F">
        <w:rPr>
          <w:rFonts w:asciiTheme="minorHAnsi" w:hAnsiTheme="minorHAnsi"/>
          <w:sz w:val="22"/>
          <w:szCs w:val="22"/>
        </w:rPr>
        <w:t>стандарта.</w:t>
      </w:r>
    </w:p>
    <w:p w:rsidR="00DA5050" w:rsidRPr="00F55B63" w:rsidRDefault="00DA5050" w:rsidP="00DD62C3">
      <w:pPr>
        <w:spacing w:line="276" w:lineRule="auto"/>
        <w:rPr>
          <w:rFonts w:cs="Calibri"/>
          <w:highlight w:val="yellow"/>
        </w:rPr>
      </w:pPr>
    </w:p>
    <w:p w:rsidR="00D65947" w:rsidRPr="00F3551F" w:rsidRDefault="00D65947" w:rsidP="00D65947">
      <w:pPr>
        <w:pStyle w:val="Mainnumbers"/>
        <w:rPr>
          <w:rFonts w:cs="Calibri"/>
        </w:rPr>
      </w:pPr>
      <w:bookmarkStart w:id="62" w:name="_Toc42271165"/>
      <w:r w:rsidRPr="00F3551F">
        <w:rPr>
          <w:rFonts w:cs="Calibri"/>
        </w:rPr>
        <w:t>Информационни технологии</w:t>
      </w:r>
      <w:bookmarkEnd w:id="58"/>
      <w:bookmarkEnd w:id="62"/>
    </w:p>
    <w:p w:rsidR="00DA5050" w:rsidRPr="00F3551F" w:rsidRDefault="00DA5050" w:rsidP="00DA5050">
      <w:pPr>
        <w:pStyle w:val="PlainText"/>
        <w:spacing w:line="276" w:lineRule="auto"/>
        <w:jc w:val="both"/>
        <w:rPr>
          <w:rFonts w:ascii="Calibri" w:hAnsi="Calibri"/>
          <w:color w:val="000000"/>
        </w:rPr>
      </w:pPr>
      <w:bookmarkStart w:id="63" w:name="_Toc402281946"/>
      <w:bookmarkStart w:id="64" w:name="_Toc373332382"/>
      <w:bookmarkStart w:id="65" w:name="_Toc283112129"/>
      <w:r w:rsidRPr="00F3551F">
        <w:rPr>
          <w:rFonts w:ascii="Calibri" w:hAnsi="Calibri"/>
          <w:color w:val="000000"/>
        </w:rPr>
        <w:t xml:space="preserve">В края на изтеклото тримесечие  бе обновена основната интернет страница на БФБ  АД във връзка със стартирането на новия пазар </w:t>
      </w:r>
      <w:r w:rsidRPr="00F3551F">
        <w:rPr>
          <w:rFonts w:ascii="Calibri" w:hAnsi="Calibri"/>
          <w:b/>
          <w:color w:val="000000"/>
        </w:rPr>
        <w:t>b</w:t>
      </w:r>
      <w:proofErr w:type="spellStart"/>
      <w:r w:rsidRPr="00F3551F">
        <w:rPr>
          <w:rFonts w:ascii="Calibri" w:hAnsi="Calibri"/>
          <w:b/>
          <w:color w:val="000000"/>
          <w:lang w:val="en-US"/>
        </w:rPr>
        <w:t>eam</w:t>
      </w:r>
      <w:proofErr w:type="spellEnd"/>
      <w:r w:rsidRPr="00F3551F">
        <w:rPr>
          <w:rFonts w:ascii="Calibri" w:hAnsi="Calibri"/>
          <w:color w:val="000000"/>
        </w:rPr>
        <w:t xml:space="preserve">. В реална среда бе даден достъп до променените секции. </w:t>
      </w:r>
    </w:p>
    <w:p w:rsidR="00DA5050" w:rsidRPr="00F3551F" w:rsidRDefault="00DA5050" w:rsidP="00DA5050">
      <w:pPr>
        <w:pStyle w:val="PlainText"/>
        <w:spacing w:line="276" w:lineRule="auto"/>
        <w:jc w:val="both"/>
        <w:rPr>
          <w:rFonts w:ascii="Calibri" w:hAnsi="Calibri"/>
          <w:color w:val="000000"/>
        </w:rPr>
      </w:pPr>
      <w:r w:rsidRPr="00F3551F">
        <w:rPr>
          <w:rFonts w:ascii="Calibri" w:hAnsi="Calibri"/>
          <w:color w:val="000000"/>
        </w:rPr>
        <w:t xml:space="preserve">Стартира в реална среда  новият сайт </w:t>
      </w:r>
      <w:r w:rsidRPr="00F3551F">
        <w:rPr>
          <w:rFonts w:ascii="Calibri" w:hAnsi="Calibri"/>
          <w:i/>
          <w:color w:val="000000"/>
        </w:rPr>
        <w:t>beam</w:t>
      </w:r>
      <w:r w:rsidRPr="00F3551F">
        <w:rPr>
          <w:rFonts w:ascii="Calibri" w:hAnsi="Calibri"/>
          <w:i/>
          <w:color w:val="000000"/>
          <w:lang w:val="en-US"/>
        </w:rPr>
        <w:t>.bse-sofia.bg</w:t>
      </w:r>
      <w:r w:rsidRPr="00F3551F">
        <w:rPr>
          <w:rFonts w:ascii="Calibri" w:hAnsi="Calibri"/>
          <w:color w:val="000000"/>
        </w:rPr>
        <w:t xml:space="preserve">, на който ще бъдат представяни компании, търсещи финансиране и подкрепа за своите планове за развитие. </w:t>
      </w:r>
    </w:p>
    <w:p w:rsidR="00DA5050" w:rsidRPr="00F3551F" w:rsidRDefault="00DA5050" w:rsidP="00DA5050">
      <w:pPr>
        <w:pStyle w:val="PlainText"/>
        <w:spacing w:line="276" w:lineRule="auto"/>
        <w:jc w:val="both"/>
        <w:rPr>
          <w:rFonts w:ascii="Calibri" w:hAnsi="Calibri"/>
          <w:color w:val="000000"/>
        </w:rPr>
      </w:pPr>
      <w:r w:rsidRPr="00F3551F">
        <w:rPr>
          <w:rFonts w:ascii="Calibri" w:hAnsi="Calibri"/>
          <w:color w:val="000000"/>
        </w:rPr>
        <w:t>Към модула за докладване на извънборсови сделки стартира приложно-програмен интерфейс , чрез който абонатите ще могат да въвеждат автоматизирано информацията от докладите за търговия чрез директно свързване с използвания от тях приложен софтуер.</w:t>
      </w:r>
    </w:p>
    <w:p w:rsidR="00DA5050" w:rsidRPr="00F3551F" w:rsidRDefault="00DA5050" w:rsidP="00DA5050">
      <w:pPr>
        <w:spacing w:line="276" w:lineRule="auto"/>
        <w:rPr>
          <w:color w:val="000000"/>
        </w:rPr>
      </w:pPr>
      <w:r w:rsidRPr="00F3551F">
        <w:rPr>
          <w:color w:val="000000"/>
        </w:rPr>
        <w:t>Отчетите за сделки, изпълнени поръчки и всички останали справки,</w:t>
      </w:r>
      <w:r w:rsidRPr="00F3551F">
        <w:rPr>
          <w:color w:val="000000"/>
          <w:lang w:val="en-US"/>
        </w:rPr>
        <w:t xml:space="preserve"> </w:t>
      </w:r>
      <w:r w:rsidRPr="00F3551F">
        <w:rPr>
          <w:color w:val="000000"/>
        </w:rPr>
        <w:t>предоставяни на</w:t>
      </w:r>
      <w:r w:rsidRPr="00F3551F">
        <w:rPr>
          <w:color w:val="000000"/>
          <w:lang w:val="en-US"/>
        </w:rPr>
        <w:t xml:space="preserve"> </w:t>
      </w:r>
      <w:r w:rsidRPr="00F3551F">
        <w:rPr>
          <w:color w:val="000000"/>
        </w:rPr>
        <w:t>инвестиционните посредници бяха прехвърлени на нова платформа, като беше дадена също така възможност за тяхното автоматично сваляне.</w:t>
      </w:r>
    </w:p>
    <w:p w:rsidR="00DA5050" w:rsidRPr="00F3551F" w:rsidRDefault="00DA5050" w:rsidP="00DA5050">
      <w:pPr>
        <w:spacing w:line="276" w:lineRule="auto"/>
        <w:rPr>
          <w:color w:val="000000"/>
        </w:rPr>
      </w:pPr>
      <w:r w:rsidRPr="00F3551F">
        <w:rPr>
          <w:color w:val="000000"/>
        </w:rPr>
        <w:t xml:space="preserve">През текущия период, представители на дирекция </w:t>
      </w:r>
      <w:r w:rsidRPr="00F3551F">
        <w:t>„Информационни технологии” участваха в среща между Българската и Московската Фондови Борси</w:t>
      </w:r>
      <w:r w:rsidRPr="00F3551F">
        <w:rPr>
          <w:color w:val="000000"/>
        </w:rPr>
        <w:t>.</w:t>
      </w:r>
    </w:p>
    <w:p w:rsidR="00DA5050" w:rsidRDefault="00DA5050">
      <w:pPr>
        <w:widowControl/>
        <w:jc w:val="left"/>
        <w:rPr>
          <w:rFonts w:cs="Calibri"/>
          <w:szCs w:val="22"/>
          <w:highlight w:val="yellow"/>
        </w:rPr>
      </w:pPr>
      <w:r>
        <w:rPr>
          <w:rFonts w:cs="Calibri"/>
          <w:szCs w:val="22"/>
          <w:highlight w:val="yellow"/>
        </w:rPr>
        <w:br w:type="page"/>
      </w:r>
    </w:p>
    <w:p w:rsidR="00D65947" w:rsidRPr="00DA5050" w:rsidRDefault="00D65947" w:rsidP="00D65947">
      <w:pPr>
        <w:pStyle w:val="Mainnumbers"/>
        <w:rPr>
          <w:rFonts w:cs="Calibri"/>
        </w:rPr>
      </w:pPr>
      <w:bookmarkStart w:id="66" w:name="_Toc42271166"/>
      <w:r w:rsidRPr="00DA5050">
        <w:rPr>
          <w:rFonts w:cs="Calibri"/>
        </w:rPr>
        <w:lastRenderedPageBreak/>
        <w:t>Международна дейност</w:t>
      </w:r>
      <w:bookmarkEnd w:id="63"/>
      <w:bookmarkEnd w:id="66"/>
    </w:p>
    <w:p w:rsidR="00DA5050" w:rsidRPr="00CC0260" w:rsidRDefault="00DA5050" w:rsidP="00DA5050">
      <w:pPr>
        <w:pStyle w:val="PlainText"/>
        <w:numPr>
          <w:ilvl w:val="0"/>
          <w:numId w:val="45"/>
        </w:numPr>
        <w:spacing w:line="276" w:lineRule="auto"/>
        <w:ind w:left="0" w:firstLine="426"/>
        <w:jc w:val="both"/>
        <w:rPr>
          <w:rFonts w:asciiTheme="minorHAnsi" w:hAnsiTheme="minorHAnsi"/>
        </w:rPr>
      </w:pPr>
      <w:r w:rsidRPr="00CC0260">
        <w:rPr>
          <w:rFonts w:asciiTheme="minorHAnsi" w:hAnsiTheme="minorHAnsi"/>
        </w:rPr>
        <w:t xml:space="preserve">В периода 14-16 януари 2020 </w:t>
      </w:r>
      <w:r>
        <w:rPr>
          <w:rFonts w:asciiTheme="minorHAnsi" w:hAnsiTheme="minorHAnsi"/>
        </w:rPr>
        <w:t xml:space="preserve">г., </w:t>
      </w:r>
      <w:r w:rsidRPr="00CC0260">
        <w:rPr>
          <w:rFonts w:asciiTheme="minorHAnsi" w:hAnsiTheme="minorHAnsi"/>
        </w:rPr>
        <w:t>вископоставени представители на Московската фондова борса бяха на посещение в БФБ. По време на посещението бяха обсъдени теми от двустранен интерес. В резултат на визитата и проведените конструктивни разговори в началото на март беше подписан двустранен Меморандум за сътрудничество в областите: обмен на информация; обмен на професионален опит и експерти; проучване на нови инвестиционни и бизнес възможности и аналитична дейност</w:t>
      </w:r>
      <w:r>
        <w:rPr>
          <w:rFonts w:asciiTheme="minorHAnsi" w:hAnsiTheme="minorHAnsi"/>
        </w:rPr>
        <w:t>;</w:t>
      </w:r>
    </w:p>
    <w:p w:rsidR="00DA5050" w:rsidRPr="00CC0260" w:rsidRDefault="00DA5050" w:rsidP="00DA5050">
      <w:pPr>
        <w:pStyle w:val="PlainText"/>
        <w:spacing w:line="276" w:lineRule="auto"/>
        <w:jc w:val="both"/>
        <w:rPr>
          <w:rFonts w:asciiTheme="minorHAnsi" w:hAnsiTheme="minorHAnsi"/>
        </w:rPr>
      </w:pPr>
    </w:p>
    <w:p w:rsidR="00DA5050" w:rsidRDefault="00DA5050" w:rsidP="00DA5050">
      <w:pPr>
        <w:pStyle w:val="PlainText"/>
        <w:numPr>
          <w:ilvl w:val="0"/>
          <w:numId w:val="45"/>
        </w:numPr>
        <w:spacing w:line="276" w:lineRule="auto"/>
        <w:ind w:left="0" w:firstLine="360"/>
        <w:jc w:val="both"/>
        <w:rPr>
          <w:rFonts w:asciiTheme="minorHAnsi" w:hAnsiTheme="minorHAnsi"/>
        </w:rPr>
      </w:pPr>
      <w:r w:rsidRPr="00CC0260">
        <w:rPr>
          <w:rFonts w:asciiTheme="minorHAnsi" w:hAnsiTheme="minorHAnsi"/>
        </w:rPr>
        <w:t>През първото тримесечие на 2020 г.  БФБ сe включи активно в процесите по избирането и включването на листнати компании в Програмата за покритие с анализи на Европейската банка за възстановяване и развитие (ЕБВР). В резултат консултантът на ЕБВР - WООD &amp; Company сключи меморандуми с пет блучип компании на БФБ за участие в Програмата. Очаква се WOOD да стартира проактивната аналитична работа по нея през второ</w:t>
      </w:r>
      <w:r>
        <w:rPr>
          <w:rFonts w:asciiTheme="minorHAnsi" w:hAnsiTheme="minorHAnsi"/>
        </w:rPr>
        <w:t>то</w:t>
      </w:r>
      <w:r w:rsidRPr="00CC0260">
        <w:rPr>
          <w:rFonts w:asciiTheme="minorHAnsi" w:hAnsiTheme="minorHAnsi"/>
        </w:rPr>
        <w:t xml:space="preserve"> тримесечие на 2020 </w:t>
      </w:r>
      <w:r>
        <w:rPr>
          <w:rFonts w:asciiTheme="minorHAnsi" w:hAnsiTheme="minorHAnsi"/>
        </w:rPr>
        <w:t>г</w:t>
      </w:r>
      <w:r w:rsidRPr="00CC0260">
        <w:rPr>
          <w:rFonts w:asciiTheme="minorHAnsi" w:hAnsiTheme="minorHAnsi"/>
        </w:rPr>
        <w:t>.</w:t>
      </w:r>
      <w:r>
        <w:rPr>
          <w:rFonts w:asciiTheme="minorHAnsi" w:hAnsiTheme="minorHAnsi"/>
        </w:rPr>
        <w:t>;</w:t>
      </w:r>
    </w:p>
    <w:p w:rsidR="00DA5050" w:rsidRDefault="00DA5050" w:rsidP="00DA5050">
      <w:pPr>
        <w:pStyle w:val="ListParagraph"/>
      </w:pPr>
    </w:p>
    <w:p w:rsidR="00DA5050" w:rsidRPr="006736E3" w:rsidRDefault="00DA5050" w:rsidP="00DA5050">
      <w:pPr>
        <w:pStyle w:val="PlainText"/>
        <w:numPr>
          <w:ilvl w:val="0"/>
          <w:numId w:val="45"/>
        </w:numPr>
        <w:spacing w:line="276" w:lineRule="auto"/>
        <w:ind w:left="0" w:firstLine="360"/>
        <w:jc w:val="both"/>
        <w:rPr>
          <w:rFonts w:asciiTheme="minorHAnsi" w:hAnsiTheme="minorHAnsi"/>
        </w:rPr>
      </w:pPr>
      <w:r w:rsidRPr="00AB4B9D">
        <w:rPr>
          <w:rFonts w:asciiTheme="minorHAnsi" w:hAnsiTheme="minorHAnsi"/>
        </w:rPr>
        <w:t xml:space="preserve">Представител на БФБ участва в работен семинар в началото на м. март във връзка с инициативата на Генерална дирекция за финансова стабилност, финансови услуги и съюз на капиталовите пазари (DG FISMA) към Европейската </w:t>
      </w:r>
      <w:r>
        <w:rPr>
          <w:rFonts w:asciiTheme="minorHAnsi" w:hAnsiTheme="minorHAnsi"/>
        </w:rPr>
        <w:t>к</w:t>
      </w:r>
      <w:r w:rsidRPr="00AB4B9D">
        <w:rPr>
          <w:rFonts w:asciiTheme="minorHAnsi" w:hAnsiTheme="minorHAnsi"/>
        </w:rPr>
        <w:t xml:space="preserve">омисия за създаване на </w:t>
      </w:r>
      <w:proofErr w:type="spellStart"/>
      <w:r w:rsidRPr="00AB4B9D">
        <w:rPr>
          <w:rFonts w:asciiTheme="minorHAnsi" w:hAnsiTheme="minorHAnsi"/>
          <w:lang w:val="en-US"/>
        </w:rPr>
        <w:t>нова</w:t>
      </w:r>
      <w:proofErr w:type="spellEnd"/>
      <w:r w:rsidRPr="00AB4B9D">
        <w:rPr>
          <w:rFonts w:asciiTheme="minorHAnsi" w:hAnsiTheme="minorHAnsi"/>
          <w:lang w:val="en-US"/>
        </w:rPr>
        <w:t xml:space="preserve"> </w:t>
      </w:r>
      <w:proofErr w:type="spellStart"/>
      <w:r w:rsidRPr="00AB4B9D">
        <w:rPr>
          <w:rFonts w:asciiTheme="minorHAnsi" w:hAnsiTheme="minorHAnsi"/>
          <w:lang w:val="en-US"/>
        </w:rPr>
        <w:t>фамилия</w:t>
      </w:r>
      <w:proofErr w:type="spellEnd"/>
      <w:r w:rsidRPr="00AB4B9D">
        <w:rPr>
          <w:rFonts w:asciiTheme="minorHAnsi" w:hAnsiTheme="minorHAnsi"/>
          <w:lang w:val="en-US"/>
        </w:rPr>
        <w:t xml:space="preserve"> </w:t>
      </w:r>
      <w:r w:rsidRPr="00AB4B9D">
        <w:rPr>
          <w:rFonts w:asciiTheme="minorHAnsi" w:hAnsiTheme="minorHAnsi"/>
        </w:rPr>
        <w:t xml:space="preserve">европейски борсови </w:t>
      </w:r>
      <w:proofErr w:type="spellStart"/>
      <w:r w:rsidRPr="00AB4B9D">
        <w:rPr>
          <w:rFonts w:asciiTheme="minorHAnsi" w:hAnsiTheme="minorHAnsi"/>
          <w:lang w:val="en-US"/>
        </w:rPr>
        <w:t>индек</w:t>
      </w:r>
      <w:proofErr w:type="spellEnd"/>
      <w:r w:rsidRPr="00AB4B9D">
        <w:rPr>
          <w:rFonts w:asciiTheme="minorHAnsi" w:hAnsiTheme="minorHAnsi"/>
        </w:rPr>
        <w:t>с</w:t>
      </w:r>
      <w:r w:rsidRPr="00AB4B9D">
        <w:rPr>
          <w:rFonts w:asciiTheme="minorHAnsi" w:hAnsiTheme="minorHAnsi"/>
          <w:lang w:val="en-US"/>
        </w:rPr>
        <w:t>и</w:t>
      </w:r>
      <w:r w:rsidRPr="00AB4B9D">
        <w:rPr>
          <w:rFonts w:asciiTheme="minorHAnsi" w:hAnsiTheme="minorHAnsi"/>
        </w:rPr>
        <w:t xml:space="preserve"> под наименованието</w:t>
      </w:r>
      <w:r w:rsidRPr="00AB4B9D">
        <w:rPr>
          <w:rFonts w:asciiTheme="minorHAnsi" w:hAnsiTheme="minorHAnsi"/>
          <w:lang w:val="en-US"/>
        </w:rPr>
        <w:t xml:space="preserve"> Capital market Union (</w:t>
      </w:r>
      <w:r w:rsidRPr="00AB4B9D">
        <w:rPr>
          <w:rFonts w:asciiTheme="minorHAnsi" w:hAnsiTheme="minorHAnsi"/>
        </w:rPr>
        <w:t>CMU</w:t>
      </w:r>
      <w:r w:rsidRPr="00AB4B9D">
        <w:rPr>
          <w:rFonts w:asciiTheme="minorHAnsi" w:hAnsiTheme="minorHAnsi"/>
          <w:lang w:val="en-US"/>
        </w:rPr>
        <w:t>)</w:t>
      </w:r>
      <w:r w:rsidRPr="00AB4B9D">
        <w:rPr>
          <w:rFonts w:asciiTheme="minorHAnsi" w:hAnsiTheme="minorHAnsi"/>
        </w:rPr>
        <w:t xml:space="preserve"> Equity Market Index Family. На семинара бяха обсъдени възможностите</w:t>
      </w:r>
      <w:r w:rsidRPr="00AB4B9D">
        <w:rPr>
          <w:rFonts w:asciiTheme="minorHAnsi" w:hAnsiTheme="minorHAnsi"/>
          <w:lang w:val="en-US"/>
        </w:rPr>
        <w:t xml:space="preserve">, </w:t>
      </w:r>
      <w:r w:rsidRPr="00AB4B9D">
        <w:rPr>
          <w:rFonts w:asciiTheme="minorHAnsi" w:hAnsiTheme="minorHAnsi"/>
        </w:rPr>
        <w:t>предизвикателствата и потенциалния интерес към структурирането на подобни индекси</w:t>
      </w:r>
      <w:r>
        <w:rPr>
          <w:rFonts w:asciiTheme="minorHAnsi" w:hAnsiTheme="minorHAnsi"/>
        </w:rPr>
        <w:t>.</w:t>
      </w:r>
    </w:p>
    <w:p w:rsidR="00DA5050" w:rsidRPr="00040101" w:rsidRDefault="00DA5050" w:rsidP="009D57D3">
      <w:pPr>
        <w:spacing w:line="276" w:lineRule="auto"/>
        <w:rPr>
          <w:rFonts w:cs="Calibri"/>
        </w:rPr>
      </w:pPr>
    </w:p>
    <w:p w:rsidR="00D65947" w:rsidRPr="00040101" w:rsidRDefault="00D65947" w:rsidP="00D65947">
      <w:pPr>
        <w:pStyle w:val="Mainnumbers"/>
        <w:rPr>
          <w:rFonts w:cs="Calibri"/>
        </w:rPr>
      </w:pPr>
      <w:bookmarkStart w:id="67" w:name="_Toc373332383"/>
      <w:bookmarkStart w:id="68" w:name="_Toc42271167"/>
      <w:bookmarkEnd w:id="64"/>
      <w:r w:rsidRPr="00040101">
        <w:rPr>
          <w:rFonts w:cs="Calibri"/>
        </w:rPr>
        <w:t xml:space="preserve">Основни рискове и несигурности, пред които е изправена Група </w:t>
      </w:r>
      <w:r w:rsidR="00165C3F" w:rsidRPr="00040101">
        <w:rPr>
          <w:rFonts w:cs="Calibri"/>
        </w:rPr>
        <w:t>Българска фондова борса</w:t>
      </w:r>
      <w:bookmarkEnd w:id="67"/>
      <w:bookmarkEnd w:id="68"/>
    </w:p>
    <w:p w:rsidR="00D65947" w:rsidRPr="00040101" w:rsidRDefault="00D65947" w:rsidP="0098559B">
      <w:pPr>
        <w:pStyle w:val="SubNumbers"/>
        <w:ind w:left="1418" w:hanging="916"/>
        <w:rPr>
          <w:rFonts w:cs="Calibri"/>
        </w:rPr>
      </w:pPr>
      <w:bookmarkStart w:id="69" w:name="_Toc373332384"/>
      <w:bookmarkStart w:id="70" w:name="_Toc42271168"/>
      <w:r w:rsidRPr="00040101">
        <w:rPr>
          <w:rFonts w:cs="Calibri"/>
        </w:rPr>
        <w:t>Основни рискове, свързани с дейността на „Българска фондова борса“ АД</w:t>
      </w:r>
      <w:bookmarkEnd w:id="69"/>
      <w:r w:rsidR="00040101">
        <w:rPr>
          <w:rFonts w:cs="Calibri"/>
        </w:rPr>
        <w:t xml:space="preserve"> – дружеството-майка</w:t>
      </w:r>
      <w:bookmarkEnd w:id="70"/>
    </w:p>
    <w:p w:rsidR="00D65947" w:rsidRPr="00040101" w:rsidRDefault="00D65947" w:rsidP="00037916">
      <w:pPr>
        <w:spacing w:line="276" w:lineRule="auto"/>
        <w:rPr>
          <w:rFonts w:cs="Calibri"/>
          <w:szCs w:val="22"/>
        </w:rPr>
      </w:pPr>
      <w:bookmarkStart w:id="71" w:name="_Toc317854172"/>
      <w:bookmarkStart w:id="72" w:name="_Toc373332385"/>
      <w:r w:rsidRPr="00040101">
        <w:rPr>
          <w:rFonts w:cs="Calibri"/>
          <w:szCs w:val="22"/>
        </w:rPr>
        <w:t xml:space="preserve">Като лицензиран пазарен оператор </w:t>
      </w:r>
      <w:r w:rsidR="00165C3F" w:rsidRPr="00040101">
        <w:rPr>
          <w:rFonts w:cs="Calibri"/>
          <w:szCs w:val="22"/>
        </w:rPr>
        <w:t>Българска фондова борса</w:t>
      </w:r>
      <w:r w:rsidRPr="00040101">
        <w:rPr>
          <w:rFonts w:cs="Calibri"/>
          <w:szCs w:val="22"/>
        </w:rPr>
        <w:t xml:space="preserve"> организира дейността и операциите на регулирания пазар съобразно изискванията на закона и актовете по прилагането му. Организацията и управлението на </w:t>
      </w:r>
      <w:r w:rsidR="00165C3F" w:rsidRPr="00040101">
        <w:rPr>
          <w:rFonts w:cs="Calibri"/>
          <w:szCs w:val="22"/>
        </w:rPr>
        <w:t>Българска фондова борса</w:t>
      </w:r>
      <w:r w:rsidRPr="00040101">
        <w:rPr>
          <w:rFonts w:cs="Calibri"/>
          <w:szCs w:val="22"/>
        </w:rPr>
        <w:t xml:space="preserve"> се извършват въз основа на правилник за дейността, който се приема от Съвета на директорите на Борсата и се одобрява от Комисият</w:t>
      </w:r>
      <w:r w:rsidR="00C72A8E" w:rsidRPr="00040101">
        <w:rPr>
          <w:rFonts w:cs="Calibri"/>
          <w:szCs w:val="22"/>
        </w:rPr>
        <w:t>а за финансов надзор. Правилникът</w:t>
      </w:r>
      <w:r w:rsidRPr="00040101">
        <w:rPr>
          <w:rFonts w:cs="Calibri"/>
          <w:szCs w:val="22"/>
        </w:rPr>
        <w:t xml:space="preserve"> за дейността на </w:t>
      </w:r>
      <w:r w:rsidR="00165C3F" w:rsidRPr="00040101">
        <w:rPr>
          <w:rFonts w:cs="Calibri"/>
          <w:szCs w:val="22"/>
        </w:rPr>
        <w:t>Българска фондова борса</w:t>
      </w:r>
      <w:r w:rsidRPr="00040101">
        <w:rPr>
          <w:rFonts w:cs="Calibri"/>
          <w:szCs w:val="22"/>
        </w:rPr>
        <w:t xml:space="preserve"> урежда всички аспекти от дейността на дружеството, в т.ч. и:</w:t>
      </w:r>
    </w:p>
    <w:p w:rsidR="00D65947" w:rsidRPr="00040101" w:rsidRDefault="00D65947" w:rsidP="00037916">
      <w:pPr>
        <w:spacing w:line="276" w:lineRule="auto"/>
        <w:ind w:left="706"/>
        <w:rPr>
          <w:rFonts w:cs="Calibri"/>
          <w:szCs w:val="22"/>
        </w:rPr>
      </w:pPr>
      <w:r w:rsidRPr="00040101">
        <w:rPr>
          <w:rFonts w:cs="Calibri"/>
          <w:szCs w:val="22"/>
        </w:rPr>
        <w:t xml:space="preserve">1. идентифицирането на възможните заплахи и рискове, които биха могли да причинят потенциални загуби и прекъсване на процесите на търговия, осигурявани, осъществявани и поддържани от Борсата; </w:t>
      </w:r>
    </w:p>
    <w:p w:rsidR="00D65947" w:rsidRPr="00040101" w:rsidRDefault="00D65947" w:rsidP="00037916">
      <w:pPr>
        <w:spacing w:line="276" w:lineRule="auto"/>
        <w:ind w:left="706"/>
        <w:rPr>
          <w:rFonts w:cs="Calibri"/>
          <w:szCs w:val="22"/>
        </w:rPr>
      </w:pPr>
      <w:r w:rsidRPr="00040101">
        <w:rPr>
          <w:rFonts w:cs="Calibri"/>
          <w:szCs w:val="22"/>
        </w:rPr>
        <w:t xml:space="preserve">2. средствата за контрол и управление на идентифицираните заплахи и рискове; </w:t>
      </w:r>
    </w:p>
    <w:p w:rsidR="00D65947" w:rsidRPr="00040101" w:rsidRDefault="00D65947" w:rsidP="00037916">
      <w:pPr>
        <w:spacing w:line="276" w:lineRule="auto"/>
        <w:ind w:left="706"/>
        <w:rPr>
          <w:rFonts w:cs="Calibri"/>
          <w:szCs w:val="22"/>
        </w:rPr>
      </w:pPr>
      <w:r w:rsidRPr="00040101">
        <w:rPr>
          <w:rFonts w:cs="Calibri"/>
          <w:szCs w:val="22"/>
        </w:rPr>
        <w:t>3. разпределението на отговорностите между служителите на Борсата във връзка с Управлението на рисковете.</w:t>
      </w:r>
    </w:p>
    <w:p w:rsidR="00D65947" w:rsidRPr="00040101" w:rsidRDefault="00D65947" w:rsidP="00037916">
      <w:pPr>
        <w:spacing w:line="276" w:lineRule="auto"/>
        <w:rPr>
          <w:rFonts w:cs="Calibri"/>
          <w:szCs w:val="22"/>
        </w:rPr>
      </w:pPr>
      <w:r w:rsidRPr="00040101">
        <w:rPr>
          <w:rFonts w:cs="Calibri"/>
          <w:szCs w:val="22"/>
        </w:rPr>
        <w:t xml:space="preserve">Основните видове рискове, относими към дейността дружеството и политиката по тяхното управление са регламентирани в част VІ - Правила за управление на риска от Правилника за дейността на </w:t>
      </w:r>
      <w:r w:rsidR="00165C3F" w:rsidRPr="00040101">
        <w:rPr>
          <w:rFonts w:cs="Calibri"/>
          <w:szCs w:val="22"/>
        </w:rPr>
        <w:t>Българска фондова борса</w:t>
      </w:r>
      <w:r w:rsidRPr="00040101">
        <w:rPr>
          <w:rFonts w:cs="Calibri"/>
          <w:szCs w:val="22"/>
        </w:rPr>
        <w:t>.</w:t>
      </w:r>
    </w:p>
    <w:p w:rsidR="00D65947" w:rsidRPr="00040101" w:rsidRDefault="00D65947" w:rsidP="00037916">
      <w:pPr>
        <w:spacing w:line="276" w:lineRule="auto"/>
        <w:rPr>
          <w:rFonts w:cs="Calibri"/>
          <w:szCs w:val="22"/>
        </w:rPr>
      </w:pPr>
      <w:r w:rsidRPr="00040101">
        <w:rPr>
          <w:rFonts w:cs="Calibri"/>
          <w:szCs w:val="22"/>
        </w:rPr>
        <w:t xml:space="preserve">Политиката по управлението на рисковете се прилага интегрирано и съобразно с всички останали </w:t>
      </w:r>
      <w:r w:rsidRPr="00040101">
        <w:rPr>
          <w:rFonts w:cs="Calibri"/>
          <w:szCs w:val="22"/>
        </w:rPr>
        <w:lastRenderedPageBreak/>
        <w:t xml:space="preserve">политики и принципи, регламентирани във вътрешните актове на </w:t>
      </w:r>
      <w:r w:rsidR="00165C3F" w:rsidRPr="00040101">
        <w:rPr>
          <w:rFonts w:cs="Calibri"/>
          <w:szCs w:val="22"/>
        </w:rPr>
        <w:t>Българска фондова борса</w:t>
      </w:r>
      <w:r w:rsidRPr="00040101">
        <w:rPr>
          <w:rFonts w:cs="Calibri"/>
          <w:szCs w:val="22"/>
        </w:rPr>
        <w:t xml:space="preserve">. Правилата за управление на риска на </w:t>
      </w:r>
      <w:r w:rsidR="00165C3F" w:rsidRPr="00040101">
        <w:rPr>
          <w:rFonts w:cs="Calibri"/>
          <w:szCs w:val="22"/>
        </w:rPr>
        <w:t>Българска фондова борса</w:t>
      </w:r>
      <w:r w:rsidRPr="00040101">
        <w:rPr>
          <w:rFonts w:cs="Calibri"/>
          <w:szCs w:val="22"/>
        </w:rPr>
        <w:t xml:space="preserve"> документират мерките и процедурите по установяване, управление и оценка на рисковете, свързани с дейността на Борсата по реда на чл. 86, ал. 1, т. 3 от Закона за пазарите на финансови инструменти.</w:t>
      </w:r>
    </w:p>
    <w:p w:rsidR="00D65947" w:rsidRPr="00040101" w:rsidRDefault="00D65947" w:rsidP="00037916">
      <w:pPr>
        <w:spacing w:line="276" w:lineRule="auto"/>
        <w:rPr>
          <w:rFonts w:cs="Calibri"/>
          <w:szCs w:val="22"/>
        </w:rPr>
      </w:pPr>
      <w:r w:rsidRPr="00040101">
        <w:rPr>
          <w:rFonts w:cs="Calibri"/>
          <w:szCs w:val="22"/>
        </w:rPr>
        <w:t xml:space="preserve">Правилата за управление на риска на </w:t>
      </w:r>
      <w:r w:rsidR="00165C3F" w:rsidRPr="00040101">
        <w:rPr>
          <w:rFonts w:cs="Calibri"/>
          <w:szCs w:val="22"/>
        </w:rPr>
        <w:t>Българска фондова борса</w:t>
      </w:r>
      <w:r w:rsidRPr="00040101">
        <w:rPr>
          <w:rFonts w:cs="Calibri"/>
          <w:szCs w:val="22"/>
        </w:rPr>
        <w:t xml:space="preserve"> дефинират следните видове рискове, свързани с дейностите, процедурите и системите на дружеството:</w:t>
      </w:r>
    </w:p>
    <w:p w:rsidR="00D65947" w:rsidRPr="00040101" w:rsidRDefault="00D65947" w:rsidP="00037916">
      <w:pPr>
        <w:spacing w:line="276" w:lineRule="auto"/>
        <w:rPr>
          <w:rFonts w:cs="Calibri"/>
          <w:szCs w:val="22"/>
        </w:rPr>
      </w:pPr>
      <w:r w:rsidRPr="00040101">
        <w:rPr>
          <w:rFonts w:cs="Calibri"/>
          <w:szCs w:val="22"/>
        </w:rPr>
        <w:t xml:space="preserve">1. </w:t>
      </w:r>
      <w:r w:rsidRPr="00040101">
        <w:rPr>
          <w:rFonts w:cs="Calibri"/>
          <w:b/>
          <w:szCs w:val="22"/>
        </w:rPr>
        <w:t>Вътрешни</w:t>
      </w:r>
      <w:r w:rsidRPr="00040101">
        <w:rPr>
          <w:rFonts w:cs="Calibri"/>
          <w:szCs w:val="22"/>
        </w:rPr>
        <w:t xml:space="preserve"> - свързани с организацията на работа на Борсата, представляващи: </w:t>
      </w:r>
    </w:p>
    <w:p w:rsidR="00D65947" w:rsidRPr="00040101" w:rsidRDefault="00D65947" w:rsidP="00B55775">
      <w:pPr>
        <w:spacing w:line="276" w:lineRule="auto"/>
        <w:ind w:left="426"/>
        <w:rPr>
          <w:rFonts w:cs="Calibri"/>
          <w:szCs w:val="22"/>
        </w:rPr>
      </w:pPr>
      <w:r w:rsidRPr="00040101">
        <w:rPr>
          <w:rFonts w:cs="Calibri"/>
          <w:szCs w:val="22"/>
        </w:rPr>
        <w:t>а)</w:t>
      </w:r>
      <w:r w:rsidR="005A363C" w:rsidRPr="00040101">
        <w:rPr>
          <w:rFonts w:cs="Calibri"/>
          <w:szCs w:val="22"/>
        </w:rPr>
        <w:t xml:space="preserve"> Рискове, свързани с процесите;</w:t>
      </w:r>
    </w:p>
    <w:p w:rsidR="00D65947" w:rsidRPr="00040101" w:rsidRDefault="00D65947" w:rsidP="00B55775">
      <w:pPr>
        <w:spacing w:line="276" w:lineRule="auto"/>
        <w:ind w:left="851"/>
        <w:rPr>
          <w:rFonts w:cs="Calibri"/>
          <w:szCs w:val="22"/>
        </w:rPr>
      </w:pPr>
      <w:r w:rsidRPr="00040101">
        <w:rPr>
          <w:rFonts w:cs="Calibri"/>
          <w:szCs w:val="22"/>
        </w:rPr>
        <w:t>- рискове, свързани с изпълнението на основните функции на Борсата</w:t>
      </w:r>
      <w:r w:rsidR="00B55775" w:rsidRPr="00040101">
        <w:rPr>
          <w:rFonts w:cs="Calibri"/>
          <w:szCs w:val="22"/>
        </w:rPr>
        <w:t>;</w:t>
      </w:r>
    </w:p>
    <w:p w:rsidR="00D65947" w:rsidRPr="00040101" w:rsidRDefault="00D65947" w:rsidP="00B55775">
      <w:pPr>
        <w:spacing w:line="276" w:lineRule="auto"/>
        <w:ind w:left="851"/>
        <w:rPr>
          <w:rFonts w:cs="Calibri"/>
          <w:szCs w:val="22"/>
        </w:rPr>
      </w:pPr>
      <w:r w:rsidRPr="00040101">
        <w:rPr>
          <w:rFonts w:cs="Calibri"/>
          <w:szCs w:val="22"/>
        </w:rPr>
        <w:t>- рискове, свързани с предлаганите услуги и</w:t>
      </w:r>
    </w:p>
    <w:p w:rsidR="00D65947" w:rsidRPr="00040101" w:rsidRDefault="00D65947" w:rsidP="00B55775">
      <w:pPr>
        <w:spacing w:line="276" w:lineRule="auto"/>
        <w:ind w:left="851"/>
        <w:rPr>
          <w:rFonts w:cs="Calibri"/>
          <w:szCs w:val="22"/>
        </w:rPr>
      </w:pPr>
      <w:r w:rsidRPr="00040101">
        <w:rPr>
          <w:rFonts w:cs="Calibri"/>
          <w:szCs w:val="22"/>
        </w:rPr>
        <w:t>- проектни рискове</w:t>
      </w:r>
      <w:r w:rsidR="00B55775"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б) Р</w:t>
      </w:r>
      <w:r w:rsidR="005A363C" w:rsidRPr="00040101">
        <w:rPr>
          <w:rFonts w:cs="Calibri"/>
          <w:szCs w:val="22"/>
        </w:rPr>
        <w:t>искове, свързани със системите;</w:t>
      </w:r>
    </w:p>
    <w:p w:rsidR="00D65947" w:rsidRPr="00040101" w:rsidRDefault="00D65947" w:rsidP="00B55775">
      <w:pPr>
        <w:spacing w:line="276" w:lineRule="auto"/>
        <w:ind w:left="851"/>
        <w:rPr>
          <w:rFonts w:cs="Calibri"/>
          <w:szCs w:val="22"/>
        </w:rPr>
      </w:pPr>
      <w:r w:rsidRPr="00040101">
        <w:rPr>
          <w:rFonts w:cs="Calibri"/>
          <w:szCs w:val="22"/>
        </w:rPr>
        <w:t>- пълна или частична недостоверност и пропуск в пълнотата на данните;</w:t>
      </w:r>
    </w:p>
    <w:p w:rsidR="00D65947" w:rsidRPr="00040101" w:rsidRDefault="00D65947" w:rsidP="00B55775">
      <w:pPr>
        <w:spacing w:line="276" w:lineRule="auto"/>
        <w:ind w:left="851"/>
        <w:rPr>
          <w:rFonts w:cs="Calibri"/>
          <w:szCs w:val="22"/>
        </w:rPr>
      </w:pPr>
      <w:r w:rsidRPr="00040101">
        <w:rPr>
          <w:rFonts w:cs="Calibri"/>
          <w:szCs w:val="22"/>
        </w:rPr>
        <w:t>- последващо проявление на проблемите с достоверността и пълнотата на данните;</w:t>
      </w:r>
    </w:p>
    <w:p w:rsidR="00D65947" w:rsidRPr="00040101" w:rsidRDefault="00D65947" w:rsidP="00B55775">
      <w:pPr>
        <w:spacing w:line="276" w:lineRule="auto"/>
        <w:ind w:left="851"/>
        <w:rPr>
          <w:rFonts w:cs="Calibri"/>
          <w:szCs w:val="22"/>
        </w:rPr>
      </w:pPr>
      <w:r w:rsidRPr="00040101">
        <w:rPr>
          <w:rFonts w:cs="Calibri"/>
          <w:szCs w:val="22"/>
        </w:rPr>
        <w:t>- липса на прецизност в методите на обработка</w:t>
      </w:r>
      <w:r w:rsidR="00B55775" w:rsidRPr="00040101">
        <w:rPr>
          <w:rFonts w:cs="Calibri"/>
          <w:szCs w:val="22"/>
        </w:rPr>
        <w:t>;</w:t>
      </w:r>
    </w:p>
    <w:p w:rsidR="00D65947" w:rsidRPr="00040101" w:rsidRDefault="00D65947" w:rsidP="00B55775">
      <w:pPr>
        <w:spacing w:line="276" w:lineRule="auto"/>
        <w:ind w:left="851"/>
        <w:rPr>
          <w:rFonts w:cs="Calibri"/>
          <w:szCs w:val="22"/>
        </w:rPr>
      </w:pPr>
      <w:r w:rsidRPr="00040101">
        <w:rPr>
          <w:rFonts w:cs="Calibri"/>
          <w:szCs w:val="22"/>
        </w:rPr>
        <w:t>- грешки на софтуерни продукти;</w:t>
      </w:r>
    </w:p>
    <w:p w:rsidR="00D65947" w:rsidRPr="00040101" w:rsidRDefault="00D65947" w:rsidP="00B55775">
      <w:pPr>
        <w:spacing w:line="276" w:lineRule="auto"/>
        <w:ind w:left="851"/>
        <w:rPr>
          <w:rFonts w:cs="Calibri"/>
          <w:szCs w:val="22"/>
        </w:rPr>
      </w:pPr>
      <w:r w:rsidRPr="00040101">
        <w:rPr>
          <w:rFonts w:cs="Calibri"/>
          <w:szCs w:val="22"/>
        </w:rPr>
        <w:t>- несъвършенство на използваните технологии;</w:t>
      </w:r>
    </w:p>
    <w:p w:rsidR="00D65947" w:rsidRPr="00040101" w:rsidRDefault="00D65947" w:rsidP="00B55775">
      <w:pPr>
        <w:spacing w:line="276" w:lineRule="auto"/>
        <w:ind w:left="851"/>
        <w:rPr>
          <w:rFonts w:cs="Calibri"/>
          <w:szCs w:val="22"/>
        </w:rPr>
      </w:pPr>
      <w:r w:rsidRPr="00040101">
        <w:rPr>
          <w:rFonts w:cs="Calibri"/>
          <w:szCs w:val="22"/>
        </w:rPr>
        <w:t>- срив на системата на регулирания пазар, информационните и комуникационни системи.</w:t>
      </w:r>
    </w:p>
    <w:p w:rsidR="00D65947" w:rsidRPr="00040101" w:rsidRDefault="00D65947" w:rsidP="00B55775">
      <w:pPr>
        <w:spacing w:line="276" w:lineRule="auto"/>
        <w:ind w:left="426"/>
        <w:rPr>
          <w:rFonts w:cs="Calibri"/>
          <w:szCs w:val="22"/>
        </w:rPr>
      </w:pPr>
      <w:r w:rsidRPr="00040101">
        <w:rPr>
          <w:rFonts w:cs="Calibri"/>
          <w:szCs w:val="22"/>
        </w:rPr>
        <w:t>в)</w:t>
      </w:r>
      <w:r w:rsidR="005A363C" w:rsidRPr="00040101">
        <w:rPr>
          <w:rFonts w:cs="Calibri"/>
          <w:szCs w:val="22"/>
        </w:rPr>
        <w:t xml:space="preserve"> Рискове, свързани с персонала;</w:t>
      </w:r>
    </w:p>
    <w:p w:rsidR="00D65947" w:rsidRPr="00040101" w:rsidRDefault="00D65947" w:rsidP="00B55775">
      <w:pPr>
        <w:spacing w:line="276" w:lineRule="auto"/>
        <w:ind w:left="851"/>
        <w:rPr>
          <w:rFonts w:cs="Calibri"/>
          <w:szCs w:val="22"/>
        </w:rPr>
      </w:pPr>
      <w:r w:rsidRPr="00040101">
        <w:rPr>
          <w:rFonts w:cs="Calibri"/>
          <w:szCs w:val="22"/>
        </w:rPr>
        <w:t xml:space="preserve">- </w:t>
      </w:r>
      <w:r w:rsidR="005A363C" w:rsidRPr="00040101">
        <w:rPr>
          <w:rFonts w:cs="Calibri"/>
          <w:szCs w:val="22"/>
        </w:rPr>
        <w:t>напускане на ключови служители;</w:t>
      </w:r>
    </w:p>
    <w:p w:rsidR="00D65947" w:rsidRPr="00040101" w:rsidRDefault="00D65947" w:rsidP="00B55775">
      <w:pPr>
        <w:spacing w:line="276" w:lineRule="auto"/>
        <w:ind w:left="851"/>
        <w:rPr>
          <w:rFonts w:cs="Calibri"/>
          <w:szCs w:val="22"/>
        </w:rPr>
      </w:pPr>
      <w:r w:rsidRPr="00040101">
        <w:rPr>
          <w:rFonts w:cs="Calibri"/>
          <w:szCs w:val="22"/>
        </w:rPr>
        <w:t xml:space="preserve">- недобросъвестно поведение от страна на служителите на Борсата; </w:t>
      </w:r>
    </w:p>
    <w:p w:rsidR="00D65947" w:rsidRPr="00040101" w:rsidRDefault="00D65947" w:rsidP="00B55775">
      <w:pPr>
        <w:spacing w:line="276" w:lineRule="auto"/>
        <w:ind w:left="851"/>
        <w:rPr>
          <w:rFonts w:cs="Calibri"/>
          <w:szCs w:val="22"/>
        </w:rPr>
      </w:pPr>
      <w:r w:rsidRPr="00040101">
        <w:rPr>
          <w:rFonts w:cs="Calibri"/>
          <w:szCs w:val="22"/>
        </w:rPr>
        <w:t xml:space="preserve">- недостатъчна квалификация и липса на подготовка на лицата, работещи по договор за Борсата; </w:t>
      </w:r>
    </w:p>
    <w:p w:rsidR="00D65947" w:rsidRPr="00040101" w:rsidRDefault="00D65947" w:rsidP="00B55775">
      <w:pPr>
        <w:spacing w:line="276" w:lineRule="auto"/>
        <w:ind w:left="851"/>
        <w:rPr>
          <w:rFonts w:cs="Calibri"/>
          <w:szCs w:val="22"/>
        </w:rPr>
      </w:pPr>
      <w:r w:rsidRPr="00040101">
        <w:rPr>
          <w:rFonts w:cs="Calibri"/>
          <w:szCs w:val="22"/>
        </w:rPr>
        <w:t xml:space="preserve">- неблагоприятни изменения в трудовото законодателство; </w:t>
      </w:r>
    </w:p>
    <w:p w:rsidR="00D65947" w:rsidRPr="00040101" w:rsidRDefault="00D65947" w:rsidP="00B55775">
      <w:pPr>
        <w:spacing w:line="276" w:lineRule="auto"/>
        <w:ind w:left="851"/>
        <w:rPr>
          <w:rFonts w:cs="Calibri"/>
          <w:szCs w:val="22"/>
        </w:rPr>
      </w:pPr>
      <w:r w:rsidRPr="00040101">
        <w:rPr>
          <w:rFonts w:cs="Calibri"/>
          <w:szCs w:val="22"/>
        </w:rPr>
        <w:t xml:space="preserve">- неосигурена безопасност на трудовата среда; </w:t>
      </w:r>
    </w:p>
    <w:p w:rsidR="00D65947" w:rsidRPr="00040101" w:rsidRDefault="00D65947" w:rsidP="00B55775">
      <w:pPr>
        <w:spacing w:line="276" w:lineRule="auto"/>
        <w:ind w:left="851"/>
        <w:rPr>
          <w:rFonts w:cs="Calibri"/>
          <w:szCs w:val="22"/>
        </w:rPr>
      </w:pPr>
      <w:r w:rsidRPr="00040101">
        <w:rPr>
          <w:rFonts w:cs="Calibri"/>
          <w:szCs w:val="22"/>
        </w:rPr>
        <w:t xml:space="preserve">- недостатъчна или неадекватна мотивация на служителите; </w:t>
      </w:r>
    </w:p>
    <w:p w:rsidR="00D65947" w:rsidRPr="00040101" w:rsidRDefault="00D65947" w:rsidP="00B55775">
      <w:pPr>
        <w:spacing w:line="276" w:lineRule="auto"/>
        <w:ind w:left="851"/>
        <w:rPr>
          <w:rFonts w:cs="Calibri"/>
          <w:szCs w:val="22"/>
        </w:rPr>
      </w:pPr>
      <w:r w:rsidRPr="00040101">
        <w:rPr>
          <w:rFonts w:cs="Calibri"/>
          <w:szCs w:val="22"/>
        </w:rPr>
        <w:t xml:space="preserve">- честа смяна на заетите служители, водеща до невъзможност за адекватно изпълнение на функциите. </w:t>
      </w:r>
    </w:p>
    <w:p w:rsidR="00D65947" w:rsidRPr="00040101" w:rsidRDefault="00D65947" w:rsidP="00037916">
      <w:pPr>
        <w:spacing w:line="276" w:lineRule="auto"/>
        <w:rPr>
          <w:rFonts w:cs="Calibri"/>
          <w:szCs w:val="22"/>
        </w:rPr>
      </w:pPr>
      <w:r w:rsidRPr="00040101">
        <w:rPr>
          <w:rFonts w:cs="Calibri"/>
          <w:szCs w:val="22"/>
        </w:rPr>
        <w:t xml:space="preserve">2. </w:t>
      </w:r>
      <w:r w:rsidRPr="00040101">
        <w:rPr>
          <w:rFonts w:cs="Calibri"/>
          <w:b/>
          <w:szCs w:val="22"/>
        </w:rPr>
        <w:t>Външни</w:t>
      </w:r>
      <w:r w:rsidRPr="00040101">
        <w:rPr>
          <w:rFonts w:cs="Calibri"/>
          <w:szCs w:val="22"/>
        </w:rPr>
        <w:t xml:space="preserve"> - свързани с макроикономически, политически и други фактори, които оказват и/или могат да окажат влияние върху </w:t>
      </w:r>
      <w:r w:rsidR="00B55775" w:rsidRPr="00040101">
        <w:rPr>
          <w:rFonts w:cs="Calibri"/>
          <w:szCs w:val="22"/>
        </w:rPr>
        <w:t>дейността на Борсата, например:</w:t>
      </w:r>
    </w:p>
    <w:p w:rsidR="00D65947" w:rsidRPr="00040101" w:rsidRDefault="00D65947" w:rsidP="00B55775">
      <w:pPr>
        <w:spacing w:line="276" w:lineRule="auto"/>
        <w:ind w:left="426"/>
        <w:rPr>
          <w:rFonts w:cs="Calibri"/>
          <w:szCs w:val="22"/>
        </w:rPr>
      </w:pPr>
      <w:r w:rsidRPr="00040101">
        <w:rPr>
          <w:rFonts w:cs="Calibri"/>
          <w:szCs w:val="22"/>
        </w:rPr>
        <w:t>- Неблагоприятни промени в нормативната уредба</w:t>
      </w:r>
      <w:r w:rsidR="005A363C" w:rsidRPr="00040101">
        <w:rPr>
          <w:rFonts w:cs="Calibri"/>
          <w:szCs w:val="22"/>
        </w:rPr>
        <w:t>;</w:t>
      </w:r>
    </w:p>
    <w:p w:rsidR="00D65947" w:rsidRPr="00040101" w:rsidRDefault="00B55775" w:rsidP="00B55775">
      <w:pPr>
        <w:spacing w:line="276" w:lineRule="auto"/>
        <w:ind w:left="426"/>
        <w:rPr>
          <w:rFonts w:cs="Calibri"/>
          <w:szCs w:val="22"/>
        </w:rPr>
      </w:pPr>
      <w:r w:rsidRPr="00040101">
        <w:rPr>
          <w:rFonts w:cs="Calibri"/>
          <w:szCs w:val="22"/>
        </w:rPr>
        <w:t>- С</w:t>
      </w:r>
      <w:r w:rsidR="00D65947" w:rsidRPr="00040101">
        <w:rPr>
          <w:rFonts w:cs="Calibri"/>
          <w:szCs w:val="22"/>
        </w:rPr>
        <w:t>вързани с прехвърлянето на важни дейности на трета страна – изпълнител</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Политически изменения</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Изменения в данъчната уредба</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Рискове от физическо вмешателство.</w:t>
      </w:r>
    </w:p>
    <w:p w:rsidR="00D65947" w:rsidRPr="00040101" w:rsidRDefault="00D65947" w:rsidP="00037916">
      <w:pPr>
        <w:spacing w:line="276" w:lineRule="auto"/>
        <w:rPr>
          <w:rFonts w:cs="Calibri"/>
          <w:szCs w:val="22"/>
        </w:rPr>
      </w:pPr>
      <w:r w:rsidRPr="00040101">
        <w:rPr>
          <w:rFonts w:cs="Calibri"/>
          <w:szCs w:val="22"/>
        </w:rPr>
        <w:t xml:space="preserve">3. </w:t>
      </w:r>
      <w:r w:rsidRPr="00040101">
        <w:rPr>
          <w:rFonts w:cs="Calibri"/>
          <w:b/>
          <w:szCs w:val="22"/>
        </w:rPr>
        <w:t xml:space="preserve">Други рискове, свързани с дейността на </w:t>
      </w:r>
      <w:r w:rsidR="00165C3F" w:rsidRPr="00040101">
        <w:rPr>
          <w:rFonts w:cs="Calibri"/>
          <w:b/>
          <w:szCs w:val="22"/>
        </w:rPr>
        <w:t>Българска фондова борса</w:t>
      </w:r>
      <w:r w:rsidRPr="00040101">
        <w:rPr>
          <w:rFonts w:cs="Calibri"/>
          <w:szCs w:val="22"/>
        </w:rPr>
        <w:t xml:space="preserve"> – други рискове, свързани с предлаганите услуги, неидентифицирани в правилата за управление на риска на </w:t>
      </w:r>
      <w:r w:rsidR="00165C3F" w:rsidRPr="00040101">
        <w:rPr>
          <w:rFonts w:cs="Calibri"/>
          <w:szCs w:val="22"/>
        </w:rPr>
        <w:t>Българска фондова борса</w:t>
      </w:r>
    </w:p>
    <w:p w:rsidR="00D65947" w:rsidRPr="00040101" w:rsidRDefault="00D65947" w:rsidP="00B55775">
      <w:pPr>
        <w:spacing w:line="276" w:lineRule="auto"/>
        <w:ind w:left="426"/>
        <w:rPr>
          <w:rFonts w:cs="Calibri"/>
          <w:szCs w:val="22"/>
        </w:rPr>
      </w:pPr>
      <w:r w:rsidRPr="00040101">
        <w:rPr>
          <w:rFonts w:cs="Calibri"/>
          <w:szCs w:val="22"/>
        </w:rPr>
        <w:t>- Пазарен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Ценови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Валутен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xml:space="preserve">- Лихвен риск </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Ликвиден риск</w:t>
      </w:r>
      <w:r w:rsidR="005A363C" w:rsidRPr="00040101">
        <w:rPr>
          <w:rFonts w:cs="Calibri"/>
          <w:szCs w:val="22"/>
        </w:rPr>
        <w:t>.</w:t>
      </w:r>
    </w:p>
    <w:p w:rsidR="00D65947" w:rsidRPr="00040101" w:rsidRDefault="00D65947" w:rsidP="00037916">
      <w:pPr>
        <w:spacing w:line="276" w:lineRule="auto"/>
        <w:rPr>
          <w:rFonts w:cs="Calibri"/>
          <w:szCs w:val="22"/>
        </w:rPr>
      </w:pPr>
      <w:r w:rsidRPr="00040101">
        <w:rPr>
          <w:rFonts w:cs="Calibri"/>
          <w:szCs w:val="22"/>
        </w:rPr>
        <w:lastRenderedPageBreak/>
        <w:t xml:space="preserve">4. </w:t>
      </w:r>
      <w:r w:rsidRPr="00040101">
        <w:rPr>
          <w:rFonts w:cs="Calibri"/>
          <w:b/>
          <w:szCs w:val="22"/>
        </w:rPr>
        <w:t>Общи (систематични) рискове</w:t>
      </w:r>
      <w:r w:rsidRPr="00040101">
        <w:rPr>
          <w:rFonts w:cs="Calibri"/>
          <w:szCs w:val="22"/>
        </w:rPr>
        <w:t xml:space="preserve"> - Общите рискове произтичат от възможни промени в цялостната икономическа система и по-конкретно, промяна на условията на финансовите пазари. Те не могат да се диверсифицират, тъй като на тях са изложени всички стопански субекти в страната.</w:t>
      </w:r>
    </w:p>
    <w:p w:rsidR="00D65947" w:rsidRPr="00040101" w:rsidRDefault="00D65947" w:rsidP="00B55775">
      <w:pPr>
        <w:spacing w:line="276" w:lineRule="auto"/>
        <w:ind w:left="426"/>
        <w:rPr>
          <w:rFonts w:cs="Calibri"/>
          <w:szCs w:val="22"/>
        </w:rPr>
      </w:pPr>
      <w:r w:rsidRPr="00040101">
        <w:rPr>
          <w:rFonts w:cs="Calibri"/>
          <w:szCs w:val="22"/>
        </w:rPr>
        <w:t>- Кредитен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Икономически растеж и външна задлъжнялост</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Инфлационен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Безработица</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Валутен риск и валутен борд</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Лихвен риск</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Данъчно облагане</w:t>
      </w:r>
      <w:r w:rsidR="005A363C" w:rsidRPr="00040101">
        <w:rPr>
          <w:rFonts w:cs="Calibri"/>
          <w:szCs w:val="22"/>
        </w:rPr>
        <w:t>;</w:t>
      </w:r>
    </w:p>
    <w:p w:rsidR="00D65947" w:rsidRPr="00040101" w:rsidRDefault="00D65947" w:rsidP="00B55775">
      <w:pPr>
        <w:spacing w:line="276" w:lineRule="auto"/>
        <w:ind w:left="426"/>
        <w:rPr>
          <w:rFonts w:cs="Calibri"/>
          <w:szCs w:val="22"/>
        </w:rPr>
      </w:pPr>
      <w:r w:rsidRPr="00040101">
        <w:rPr>
          <w:rFonts w:cs="Calibri"/>
          <w:szCs w:val="22"/>
        </w:rPr>
        <w:t>- Други системни рискове</w:t>
      </w:r>
      <w:r w:rsidR="005A363C" w:rsidRPr="00040101">
        <w:rPr>
          <w:rFonts w:cs="Calibri"/>
          <w:szCs w:val="22"/>
        </w:rPr>
        <w:t>.</w:t>
      </w:r>
    </w:p>
    <w:p w:rsidR="00137768" w:rsidRPr="00040101" w:rsidRDefault="00D65947" w:rsidP="00037916">
      <w:pPr>
        <w:spacing w:line="276" w:lineRule="auto"/>
        <w:rPr>
          <w:rFonts w:cs="Calibri"/>
          <w:szCs w:val="22"/>
        </w:rPr>
      </w:pPr>
      <w:r w:rsidRPr="00040101">
        <w:rPr>
          <w:rFonts w:cs="Calibri"/>
          <w:szCs w:val="22"/>
        </w:rPr>
        <w:t xml:space="preserve">Подробно описание на рисковете, характерни за дейността на </w:t>
      </w:r>
      <w:r w:rsidR="00165C3F" w:rsidRPr="00040101">
        <w:rPr>
          <w:rFonts w:cs="Calibri"/>
          <w:szCs w:val="22"/>
        </w:rPr>
        <w:t>Българска фондова борса</w:t>
      </w:r>
      <w:r w:rsidRPr="00040101">
        <w:rPr>
          <w:rFonts w:cs="Calibri"/>
          <w:szCs w:val="22"/>
        </w:rPr>
        <w:t xml:space="preserve">, е представено в т. 4 „Рискови фактори” от регистрационния документ (стр. 12 – 24), представляващ част І от одобреният от Комисията за финансов надзор проспект с решение № 816 – ПД/15.12.2010 г. за допускане на акциите на </w:t>
      </w:r>
      <w:r w:rsidR="00165C3F" w:rsidRPr="00040101">
        <w:rPr>
          <w:rFonts w:cs="Calibri"/>
          <w:szCs w:val="22"/>
        </w:rPr>
        <w:t>Българска фондова борса</w:t>
      </w:r>
      <w:r w:rsidRPr="00040101">
        <w:rPr>
          <w:rFonts w:cs="Calibri"/>
          <w:szCs w:val="22"/>
        </w:rPr>
        <w:t xml:space="preserve"> до търговия на регулиран пазар. Проспектът може да бъде намерен на интернет страницата на </w:t>
      </w:r>
      <w:r w:rsidR="00165C3F" w:rsidRPr="00040101">
        <w:rPr>
          <w:rFonts w:cs="Calibri"/>
          <w:szCs w:val="22"/>
        </w:rPr>
        <w:t>Българска фондова борса</w:t>
      </w:r>
      <w:r w:rsidRPr="00040101">
        <w:rPr>
          <w:rFonts w:cs="Calibri"/>
          <w:szCs w:val="22"/>
        </w:rPr>
        <w:t xml:space="preserve"> в секция „Проспект на </w:t>
      </w:r>
      <w:r w:rsidR="00165C3F" w:rsidRPr="00040101">
        <w:rPr>
          <w:rFonts w:cs="Calibri"/>
          <w:szCs w:val="22"/>
        </w:rPr>
        <w:t>Българска фондова борса</w:t>
      </w:r>
      <w:r w:rsidRPr="00040101">
        <w:rPr>
          <w:rFonts w:cs="Calibri"/>
          <w:szCs w:val="22"/>
        </w:rPr>
        <w:t>”.</w:t>
      </w:r>
      <w:bookmarkStart w:id="73" w:name="_Toc417573460"/>
    </w:p>
    <w:p w:rsidR="00801A77" w:rsidRPr="00040101" w:rsidRDefault="00801A77" w:rsidP="0098559B">
      <w:pPr>
        <w:pStyle w:val="SubNumbers"/>
        <w:ind w:left="1418" w:hanging="916"/>
        <w:rPr>
          <w:rFonts w:cs="Calibri"/>
        </w:rPr>
      </w:pPr>
      <w:bookmarkStart w:id="74" w:name="_Toc323038204"/>
      <w:bookmarkStart w:id="75" w:name="_Toc323038205"/>
      <w:bookmarkStart w:id="76" w:name="_Toc42271169"/>
      <w:bookmarkEnd w:id="73"/>
      <w:bookmarkEnd w:id="74"/>
      <w:bookmarkEnd w:id="75"/>
      <w:r w:rsidRPr="00040101">
        <w:rPr>
          <w:rFonts w:cs="Calibri"/>
        </w:rPr>
        <w:t>Основни рискове, свързани с дейността на дъщерното дружество „Българска независима енергийна борса“ ЕАД</w:t>
      </w:r>
      <w:bookmarkEnd w:id="76"/>
    </w:p>
    <w:p w:rsidR="00795C09" w:rsidRPr="00040101" w:rsidRDefault="00795C09" w:rsidP="00795C09">
      <w:pPr>
        <w:spacing w:line="276" w:lineRule="auto"/>
        <w:rPr>
          <w:rFonts w:cs="Calibri"/>
        </w:rPr>
      </w:pPr>
      <w:r w:rsidRPr="00040101">
        <w:rPr>
          <w:rFonts w:cs="Calibri"/>
        </w:rPr>
        <w:t>В ролята си на лицензиран пазарен оператор на пазара на електрическа енергия за пазарната зона на Република България, „Българска независима енергийна борса“ ЕАД (БНЕБ) организира дейността си, управлявайки присъщите за нея рискове, които се разделят на:</w:t>
      </w:r>
    </w:p>
    <w:p w:rsidR="00795C09" w:rsidRPr="00040101" w:rsidRDefault="00795C09" w:rsidP="00795C09">
      <w:pPr>
        <w:pStyle w:val="ListParagraph"/>
        <w:numPr>
          <w:ilvl w:val="0"/>
          <w:numId w:val="11"/>
        </w:numPr>
        <w:spacing w:line="276" w:lineRule="auto"/>
        <w:rPr>
          <w:rFonts w:cs="Calibri"/>
        </w:rPr>
      </w:pPr>
      <w:r w:rsidRPr="00040101">
        <w:rPr>
          <w:rFonts w:cs="Calibri"/>
        </w:rPr>
        <w:t>Вътрешни - такива свързани с техническото администриране на пазарните сегменти, свързани с персонала и организацията на работа, предвид непрекъснатия цикъл на работа на краткосрочните пазарни сегменти Пазар Ден напред (Day ahead market, DAM) и Пазар в рамките на деня (</w:t>
      </w:r>
      <w:r w:rsidR="00954C2C" w:rsidRPr="00040101">
        <w:rPr>
          <w:rFonts w:cs="Calibri"/>
        </w:rPr>
        <w:t>Intra</w:t>
      </w:r>
      <w:r w:rsidRPr="00040101">
        <w:rPr>
          <w:rFonts w:cs="Calibri"/>
        </w:rPr>
        <w:t>day Market, IDM), както и такива свързани с финансовото състояние на дружеството, предвид неговата монополна позиция и свързаната с това възможност за регулиране на тарифната структура от страна на Комисията за енергийно и водно регулиране.</w:t>
      </w:r>
    </w:p>
    <w:p w:rsidR="00801A77" w:rsidRPr="00040101" w:rsidRDefault="00795C09" w:rsidP="00795C09">
      <w:pPr>
        <w:pStyle w:val="ListParagraph"/>
        <w:numPr>
          <w:ilvl w:val="0"/>
          <w:numId w:val="11"/>
        </w:numPr>
        <w:spacing w:line="276" w:lineRule="auto"/>
        <w:rPr>
          <w:rFonts w:cs="Calibri"/>
        </w:rPr>
      </w:pPr>
      <w:r w:rsidRPr="00040101">
        <w:rPr>
          <w:rFonts w:cs="Calibri"/>
        </w:rPr>
        <w:t>Външни – такива свързани с неблагоприятни макроикономически промени, неблагоприятни промени в приложимото законодателство, както и рискове от прехвърляне на дейности присъщи за оператора на пазара към момента, който биха повлияли общите условия на функциониране на пазара на електрическа енергия (въвеждане на клирингова къща като страна по сделките с електрическа енергия, както на дългосрочните (CMBC), така и за краткосрочните пазари (DAM и IDM));</w:t>
      </w:r>
    </w:p>
    <w:p w:rsidR="00795C09" w:rsidRPr="00040101" w:rsidRDefault="00795C09" w:rsidP="00795C09">
      <w:pPr>
        <w:spacing w:line="276" w:lineRule="auto"/>
        <w:rPr>
          <w:rFonts w:cs="Calibri"/>
        </w:rPr>
      </w:pPr>
      <w:r w:rsidRPr="00040101">
        <w:rPr>
          <w:rFonts w:cs="Calibri"/>
        </w:rPr>
        <w:t>Дългосрочната стратегия за управление на риска е съсредоточена към реализиране на следните възможности:</w:t>
      </w:r>
    </w:p>
    <w:p w:rsidR="00795C09" w:rsidRPr="00040101" w:rsidRDefault="00795C09" w:rsidP="00795C09">
      <w:pPr>
        <w:pStyle w:val="ListParagraph"/>
        <w:numPr>
          <w:ilvl w:val="0"/>
          <w:numId w:val="12"/>
        </w:numPr>
        <w:spacing w:line="276" w:lineRule="auto"/>
        <w:rPr>
          <w:rFonts w:cs="Calibri"/>
        </w:rPr>
      </w:pPr>
      <w:r w:rsidRPr="00040101">
        <w:rPr>
          <w:rFonts w:cs="Calibri"/>
        </w:rPr>
        <w:t>Възможност за общо гарантиране на риска (обезпечение) на всички пазарни сегменти</w:t>
      </w:r>
      <w:r w:rsidR="00557287" w:rsidRPr="00040101">
        <w:rPr>
          <w:rFonts w:cs="Calibri"/>
        </w:rPr>
        <w:t>,</w:t>
      </w:r>
      <w:r w:rsidRPr="00040101">
        <w:rPr>
          <w:rFonts w:cs="Calibri"/>
        </w:rPr>
        <w:t xml:space="preserve"> оп</w:t>
      </w:r>
      <w:r w:rsidR="00F41BDD" w:rsidRPr="00040101">
        <w:rPr>
          <w:rFonts w:cs="Calibri"/>
        </w:rPr>
        <w:t>ер</w:t>
      </w:r>
      <w:r w:rsidRPr="00040101">
        <w:rPr>
          <w:rFonts w:cs="Calibri"/>
        </w:rPr>
        <w:t>ирани от БНЕБ, което ще допринесе в значителна степен за облекчаване на условията на участие;</w:t>
      </w:r>
    </w:p>
    <w:p w:rsidR="00795C09" w:rsidRPr="00040101" w:rsidRDefault="00795C09" w:rsidP="00795C09">
      <w:pPr>
        <w:pStyle w:val="ListParagraph"/>
        <w:numPr>
          <w:ilvl w:val="0"/>
          <w:numId w:val="12"/>
        </w:numPr>
        <w:spacing w:line="276" w:lineRule="auto"/>
        <w:rPr>
          <w:rFonts w:cs="Calibri"/>
        </w:rPr>
      </w:pPr>
      <w:r w:rsidRPr="00040101">
        <w:rPr>
          <w:rFonts w:cs="Calibri"/>
        </w:rPr>
        <w:t>Възможност за разработка на собст</w:t>
      </w:r>
      <w:r w:rsidR="00557287" w:rsidRPr="00040101">
        <w:rPr>
          <w:rFonts w:cs="Calibri"/>
        </w:rPr>
        <w:t xml:space="preserve">вени платформи за опериране на </w:t>
      </w:r>
      <w:r w:rsidRPr="00040101">
        <w:rPr>
          <w:rFonts w:cs="Calibri"/>
        </w:rPr>
        <w:t>пазарните сегменти, което ще намали зависимостта от</w:t>
      </w:r>
      <w:r w:rsidR="00C77B79" w:rsidRPr="00040101">
        <w:rPr>
          <w:rFonts w:cs="Calibri"/>
        </w:rPr>
        <w:t xml:space="preserve"> </w:t>
      </w:r>
      <w:r w:rsidRPr="00040101">
        <w:rPr>
          <w:rFonts w:cs="Calibri"/>
        </w:rPr>
        <w:t>доставчици на услугите;</w:t>
      </w:r>
    </w:p>
    <w:p w:rsidR="00165C3F" w:rsidRPr="00040101" w:rsidRDefault="00795C09" w:rsidP="00795C09">
      <w:pPr>
        <w:pStyle w:val="ListParagraph"/>
        <w:numPr>
          <w:ilvl w:val="0"/>
          <w:numId w:val="12"/>
        </w:numPr>
        <w:spacing w:line="276" w:lineRule="auto"/>
        <w:rPr>
          <w:rFonts w:cs="Calibri"/>
        </w:rPr>
      </w:pPr>
      <w:r w:rsidRPr="00040101">
        <w:rPr>
          <w:rFonts w:cs="Calibri"/>
        </w:rPr>
        <w:lastRenderedPageBreak/>
        <w:t xml:space="preserve">Възможност за пазарно обединение на поне две граници, което ще намали пазарната концентрация на предлагането, като едновременно с това ще предотврати потенциалните негативни ефекти от приключването на ангажиментите на </w:t>
      </w:r>
      <w:r w:rsidR="00557287" w:rsidRPr="00040101">
        <w:rPr>
          <w:rFonts w:cs="Calibri"/>
        </w:rPr>
        <w:t>Български енергиен холдинг</w:t>
      </w:r>
      <w:r w:rsidRPr="00040101">
        <w:rPr>
          <w:rFonts w:cs="Calibri"/>
        </w:rPr>
        <w:t xml:space="preserve"> ЕАД по дело AT.39767.</w:t>
      </w:r>
    </w:p>
    <w:p w:rsidR="00336B5D" w:rsidRPr="00040101" w:rsidRDefault="00336B5D" w:rsidP="00336B5D">
      <w:pPr>
        <w:spacing w:line="276" w:lineRule="auto"/>
        <w:rPr>
          <w:rFonts w:cs="Calibri"/>
          <w:lang w:val="en-US"/>
        </w:rPr>
      </w:pPr>
    </w:p>
    <w:p w:rsidR="00D65947" w:rsidRPr="00040101" w:rsidRDefault="00D65947" w:rsidP="0098559B">
      <w:pPr>
        <w:pStyle w:val="SubNumbers"/>
        <w:ind w:left="1418" w:hanging="916"/>
        <w:rPr>
          <w:rFonts w:cs="Calibri"/>
        </w:rPr>
      </w:pPr>
      <w:bookmarkStart w:id="77" w:name="_Toc42271170"/>
      <w:r w:rsidRPr="00040101">
        <w:rPr>
          <w:rFonts w:cs="Calibri"/>
        </w:rPr>
        <w:t>Основни рискове, свързани с дейността на дъщерното дружество „Сервиз Финансови Пазари“ ЕООД</w:t>
      </w:r>
      <w:bookmarkEnd w:id="77"/>
      <w:r w:rsidRPr="00040101">
        <w:rPr>
          <w:rFonts w:cs="Calibri"/>
        </w:rPr>
        <w:t xml:space="preserve"> </w:t>
      </w:r>
    </w:p>
    <w:p w:rsidR="00D65947" w:rsidRPr="00040101" w:rsidRDefault="00D65947" w:rsidP="00037916">
      <w:pPr>
        <w:spacing w:line="276" w:lineRule="auto"/>
        <w:rPr>
          <w:rFonts w:cs="Calibri"/>
          <w:szCs w:val="22"/>
        </w:rPr>
      </w:pPr>
      <w:r w:rsidRPr="00040101">
        <w:rPr>
          <w:rFonts w:cs="Calibri"/>
          <w:szCs w:val="22"/>
        </w:rPr>
        <w:t>Основните рискове, свързани с дейността на дъщерното дружество Сервиз Финансови Пазари ЕООД, са:</w:t>
      </w:r>
    </w:p>
    <w:p w:rsidR="00D65947" w:rsidRPr="00040101" w:rsidRDefault="00D65947" w:rsidP="00874161">
      <w:pPr>
        <w:numPr>
          <w:ilvl w:val="0"/>
          <w:numId w:val="4"/>
        </w:numPr>
        <w:spacing w:line="276" w:lineRule="auto"/>
        <w:rPr>
          <w:rFonts w:cs="Calibri"/>
          <w:szCs w:val="22"/>
        </w:rPr>
      </w:pPr>
      <w:r w:rsidRPr="00040101">
        <w:rPr>
          <w:rFonts w:cs="Calibri"/>
          <w:szCs w:val="22"/>
        </w:rPr>
        <w:t>рискове</w:t>
      </w:r>
      <w:r w:rsidR="00C72A8E" w:rsidRPr="00040101">
        <w:rPr>
          <w:rFonts w:cs="Calibri"/>
          <w:szCs w:val="22"/>
        </w:rPr>
        <w:t>,</w:t>
      </w:r>
      <w:r w:rsidRPr="00040101">
        <w:rPr>
          <w:rFonts w:cs="Calibri"/>
          <w:szCs w:val="22"/>
        </w:rPr>
        <w:t xml:space="preserve"> свързани с ресурсната (технологична и експертна) осигуреност на дружеството във връзка с основния му предмет на дейност по предоставяне на информационни услуги;</w:t>
      </w:r>
    </w:p>
    <w:p w:rsidR="00D65947" w:rsidRPr="00040101" w:rsidRDefault="00D65947" w:rsidP="00874161">
      <w:pPr>
        <w:numPr>
          <w:ilvl w:val="0"/>
          <w:numId w:val="4"/>
        </w:numPr>
        <w:spacing w:line="276" w:lineRule="auto"/>
        <w:rPr>
          <w:rFonts w:cs="Calibri"/>
          <w:szCs w:val="22"/>
        </w:rPr>
      </w:pPr>
      <w:r w:rsidRPr="00040101">
        <w:rPr>
          <w:rFonts w:cs="Calibri"/>
          <w:szCs w:val="22"/>
        </w:rPr>
        <w:t>пазарни рискове, свързани със състоянието и развитието на конкуренцията в сектора;</w:t>
      </w:r>
    </w:p>
    <w:p w:rsidR="00EA4A74" w:rsidRPr="00040101" w:rsidRDefault="00D65947" w:rsidP="00874161">
      <w:pPr>
        <w:numPr>
          <w:ilvl w:val="0"/>
          <w:numId w:val="4"/>
        </w:numPr>
        <w:spacing w:line="276" w:lineRule="auto"/>
        <w:rPr>
          <w:rFonts w:cs="Calibri"/>
          <w:szCs w:val="22"/>
        </w:rPr>
      </w:pPr>
      <w:r w:rsidRPr="00040101">
        <w:rPr>
          <w:rFonts w:cs="Calibri"/>
          <w:szCs w:val="22"/>
        </w:rPr>
        <w:t>външни рискове - свързани от една страна с изменения в нормативната база, регламентираща задължението и начините за оповестяване на регулирана информация от публичните дружества и другите емитенти на ценни книжа, а от друга с общото състояние на корпоративното управление в България</w:t>
      </w:r>
      <w:r w:rsidR="00323A1F" w:rsidRPr="00040101">
        <w:rPr>
          <w:rFonts w:cs="Calibri"/>
          <w:szCs w:val="22"/>
        </w:rPr>
        <w:t>.</w:t>
      </w:r>
    </w:p>
    <w:p w:rsidR="00336B5D" w:rsidRPr="00040101" w:rsidRDefault="00336B5D" w:rsidP="00336B5D">
      <w:pPr>
        <w:spacing w:line="276" w:lineRule="auto"/>
        <w:rPr>
          <w:rFonts w:cs="Calibri"/>
          <w:szCs w:val="22"/>
          <w:lang w:val="en-US"/>
        </w:rPr>
      </w:pPr>
    </w:p>
    <w:p w:rsidR="00336B5D" w:rsidRPr="00040101" w:rsidRDefault="00336B5D" w:rsidP="00336B5D">
      <w:pPr>
        <w:spacing w:line="276" w:lineRule="auto"/>
        <w:rPr>
          <w:rFonts w:cs="Calibri"/>
          <w:szCs w:val="22"/>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336B5D" w:rsidRDefault="00336B5D" w:rsidP="00336B5D">
      <w:pPr>
        <w:spacing w:line="276" w:lineRule="auto"/>
        <w:rPr>
          <w:rFonts w:cs="Calibri"/>
          <w:szCs w:val="22"/>
          <w:highlight w:val="yellow"/>
          <w:lang w:val="en-US"/>
        </w:rPr>
      </w:pPr>
    </w:p>
    <w:p w:rsidR="00EC5A0D" w:rsidRDefault="00EC5A0D">
      <w:pPr>
        <w:widowControl/>
        <w:jc w:val="left"/>
        <w:rPr>
          <w:rFonts w:cs="Calibri"/>
          <w:szCs w:val="22"/>
          <w:highlight w:val="yellow"/>
          <w:lang w:val="en-US"/>
        </w:rPr>
      </w:pPr>
      <w:r>
        <w:rPr>
          <w:rFonts w:cs="Calibri"/>
          <w:szCs w:val="22"/>
          <w:highlight w:val="yellow"/>
          <w:lang w:val="en-US"/>
        </w:rPr>
        <w:br w:type="page"/>
      </w:r>
    </w:p>
    <w:p w:rsidR="00D65947" w:rsidRPr="00EC5A0D" w:rsidRDefault="00D65947" w:rsidP="00D65947">
      <w:pPr>
        <w:pStyle w:val="Mainnumbers"/>
        <w:rPr>
          <w:rFonts w:cs="Calibri"/>
        </w:rPr>
      </w:pPr>
      <w:bookmarkStart w:id="78" w:name="_Toc42271171"/>
      <w:bookmarkEnd w:id="71"/>
      <w:bookmarkEnd w:id="72"/>
      <w:r w:rsidRPr="00EC5A0D">
        <w:rPr>
          <w:rFonts w:cs="Calibri"/>
        </w:rPr>
        <w:lastRenderedPageBreak/>
        <w:t xml:space="preserve">Акционерна структура на </w:t>
      </w:r>
      <w:r w:rsidR="00165C3F" w:rsidRPr="00EC5A0D">
        <w:rPr>
          <w:rFonts w:cs="Calibri"/>
        </w:rPr>
        <w:t>Българска фондова борса</w:t>
      </w:r>
      <w:bookmarkEnd w:id="65"/>
      <w:bookmarkEnd w:id="78"/>
    </w:p>
    <w:p w:rsidR="00037916" w:rsidRPr="00EC5A0D" w:rsidRDefault="00EA4A74" w:rsidP="0098559B">
      <w:pPr>
        <w:spacing w:after="240"/>
        <w:rPr>
          <w:rFonts w:cs="Calibri"/>
        </w:rPr>
      </w:pPr>
      <w:r w:rsidRPr="00EC5A0D">
        <w:rPr>
          <w:rFonts w:cs="Calibri"/>
        </w:rPr>
        <w:t xml:space="preserve">Съгласно направена справка, към 31 </w:t>
      </w:r>
      <w:r w:rsidR="009D57D3" w:rsidRPr="00EC5A0D">
        <w:rPr>
          <w:rFonts w:cs="Calibri"/>
        </w:rPr>
        <w:t>март</w:t>
      </w:r>
      <w:r w:rsidRPr="00EC5A0D">
        <w:rPr>
          <w:rFonts w:cs="Calibri"/>
        </w:rPr>
        <w:t xml:space="preserve"> 20</w:t>
      </w:r>
      <w:r w:rsidR="00EC5A0D" w:rsidRPr="00EC5A0D">
        <w:rPr>
          <w:rFonts w:cs="Calibri"/>
        </w:rPr>
        <w:t>20</w:t>
      </w:r>
      <w:r w:rsidRPr="00EC5A0D">
        <w:rPr>
          <w:rFonts w:cs="Calibri"/>
        </w:rPr>
        <w:t xml:space="preserve"> г. акционерният състав на Борсата е концентриран в четири основни вида лица, както следва</w:t>
      </w:r>
      <w:r w:rsidR="00037916" w:rsidRPr="00EC5A0D">
        <w:rPr>
          <w:rFonts w:cs="Calibri"/>
        </w:rPr>
        <w:t>:</w:t>
      </w:r>
    </w:p>
    <w:p w:rsidR="009D57D3" w:rsidRPr="00EC5A0D" w:rsidRDefault="0098559B" w:rsidP="0098559B">
      <w:pPr>
        <w:pStyle w:val="a1"/>
        <w:tabs>
          <w:tab w:val="left" w:pos="360"/>
        </w:tabs>
        <w:jc w:val="left"/>
        <w:rPr>
          <w:rFonts w:cs="Calibri"/>
          <w:b/>
          <w:i w:val="0"/>
        </w:rPr>
      </w:pPr>
      <w:r w:rsidRPr="00EC5A0D">
        <w:rPr>
          <w:rFonts w:cs="Calibri"/>
          <w:b/>
          <w:i w:val="0"/>
        </w:rPr>
        <w:t xml:space="preserve">Таблица 12. Акционерна структура към </w:t>
      </w:r>
      <w:r w:rsidR="00EA4A74" w:rsidRPr="00EC5A0D">
        <w:rPr>
          <w:rFonts w:cs="Calibri"/>
          <w:b/>
          <w:i w:val="0"/>
        </w:rPr>
        <w:t>31.</w:t>
      </w:r>
      <w:r w:rsidR="009D57D3" w:rsidRPr="00EC5A0D">
        <w:rPr>
          <w:rFonts w:cs="Calibri"/>
          <w:b/>
          <w:i w:val="0"/>
        </w:rPr>
        <w:t>03</w:t>
      </w:r>
      <w:r w:rsidR="00EA4A74" w:rsidRPr="00EC5A0D">
        <w:rPr>
          <w:rFonts w:cs="Calibri"/>
          <w:b/>
          <w:i w:val="0"/>
        </w:rPr>
        <w:t>.20</w:t>
      </w:r>
      <w:r w:rsidR="00EC5A0D" w:rsidRPr="00EC5A0D">
        <w:rPr>
          <w:rFonts w:cs="Calibri"/>
          <w:b/>
          <w:i w:val="0"/>
        </w:rPr>
        <w:t>20</w:t>
      </w:r>
      <w:r w:rsidRPr="00EC5A0D">
        <w:rPr>
          <w:rFonts w:cs="Calibri"/>
          <w:b/>
          <w:i w:val="0"/>
        </w:rPr>
        <w:t xml:space="preserve"> г.</w:t>
      </w:r>
    </w:p>
    <w:tbl>
      <w:tblPr>
        <w:tblW w:w="7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60"/>
        <w:gridCol w:w="1780"/>
        <w:gridCol w:w="940"/>
      </w:tblGrid>
      <w:tr w:rsidR="009D57D3" w:rsidRPr="00EC5A0D" w:rsidTr="00C13EB0">
        <w:trPr>
          <w:trHeight w:val="294"/>
          <w:jc w:val="center"/>
        </w:trPr>
        <w:tc>
          <w:tcPr>
            <w:tcW w:w="4660" w:type="dxa"/>
            <w:shd w:val="clear" w:color="000000" w:fill="538DD5"/>
            <w:noWrap/>
            <w:tcMar>
              <w:left w:w="57" w:type="dxa"/>
              <w:right w:w="28" w:type="dxa"/>
            </w:tcMar>
            <w:hideMark/>
          </w:tcPr>
          <w:p w:rsidR="009D57D3" w:rsidRPr="00EC5A0D" w:rsidRDefault="009D57D3" w:rsidP="00C13EB0">
            <w:pPr>
              <w:widowControl/>
              <w:jc w:val="center"/>
              <w:rPr>
                <w:rFonts w:cs="Calibri"/>
                <w:b/>
                <w:bCs/>
                <w:color w:val="FFFFFF"/>
                <w:szCs w:val="22"/>
                <w:lang w:val="en-US" w:eastAsia="en-US"/>
              </w:rPr>
            </w:pPr>
            <w:r w:rsidRPr="00EC5A0D">
              <w:rPr>
                <w:rFonts w:cs="Calibri"/>
                <w:b/>
                <w:bCs/>
                <w:color w:val="FFFFFF"/>
                <w:szCs w:val="22"/>
                <w:lang w:eastAsia="en-US"/>
              </w:rPr>
              <w:t>Вид</w:t>
            </w:r>
          </w:p>
        </w:tc>
        <w:tc>
          <w:tcPr>
            <w:tcW w:w="1780" w:type="dxa"/>
            <w:shd w:val="clear" w:color="000000" w:fill="538DD5"/>
            <w:noWrap/>
            <w:tcMar>
              <w:left w:w="57" w:type="dxa"/>
              <w:right w:w="28" w:type="dxa"/>
            </w:tcMar>
            <w:hideMark/>
          </w:tcPr>
          <w:p w:rsidR="009D57D3" w:rsidRPr="00EC5A0D" w:rsidRDefault="009D57D3" w:rsidP="00C13EB0">
            <w:pPr>
              <w:widowControl/>
              <w:jc w:val="center"/>
              <w:rPr>
                <w:rFonts w:cs="Calibri"/>
                <w:b/>
                <w:bCs/>
                <w:color w:val="FFFFFF"/>
                <w:szCs w:val="22"/>
                <w:lang w:eastAsia="en-US"/>
              </w:rPr>
            </w:pPr>
            <w:r w:rsidRPr="00EC5A0D">
              <w:rPr>
                <w:rFonts w:cs="Calibri"/>
                <w:b/>
                <w:bCs/>
                <w:color w:val="FFFFFF"/>
                <w:szCs w:val="22"/>
                <w:lang w:eastAsia="en-US"/>
              </w:rPr>
              <w:t>Брой акции</w:t>
            </w:r>
          </w:p>
        </w:tc>
        <w:tc>
          <w:tcPr>
            <w:tcW w:w="940" w:type="dxa"/>
            <w:shd w:val="clear" w:color="000000" w:fill="538DD5"/>
            <w:noWrap/>
            <w:tcMar>
              <w:left w:w="57" w:type="dxa"/>
              <w:right w:w="28" w:type="dxa"/>
            </w:tcMar>
            <w:hideMark/>
          </w:tcPr>
          <w:p w:rsidR="009D57D3" w:rsidRPr="00EC5A0D" w:rsidRDefault="009D57D3" w:rsidP="00C13EB0">
            <w:pPr>
              <w:widowControl/>
              <w:jc w:val="center"/>
              <w:rPr>
                <w:rFonts w:cs="Calibri"/>
                <w:b/>
                <w:bCs/>
                <w:color w:val="FFFFFF"/>
                <w:szCs w:val="22"/>
                <w:lang w:eastAsia="en-US"/>
              </w:rPr>
            </w:pPr>
            <w:r w:rsidRPr="00EC5A0D">
              <w:rPr>
                <w:rFonts w:cs="Calibri"/>
                <w:b/>
                <w:bCs/>
                <w:color w:val="FFFFFF"/>
                <w:szCs w:val="22"/>
                <w:lang w:eastAsia="en-US"/>
              </w:rPr>
              <w:t>%</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color w:val="000000"/>
                <w:szCs w:val="22"/>
                <w:lang w:eastAsia="en-US"/>
              </w:rPr>
            </w:pPr>
            <w:r w:rsidRPr="00EC5A0D">
              <w:rPr>
                <w:rFonts w:cs="Calibri"/>
                <w:color w:val="000000"/>
                <w:szCs w:val="22"/>
                <w:lang w:eastAsia="en-US"/>
              </w:rPr>
              <w:t>Министерство на финансите</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3 295 000</w:t>
            </w:r>
          </w:p>
        </w:tc>
        <w:tc>
          <w:tcPr>
            <w:tcW w:w="94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50,05%</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color w:val="000000"/>
                <w:szCs w:val="22"/>
                <w:lang w:eastAsia="en-US"/>
              </w:rPr>
            </w:pPr>
            <w:r w:rsidRPr="00EC5A0D">
              <w:rPr>
                <w:rFonts w:cs="Calibri"/>
                <w:color w:val="000000"/>
                <w:szCs w:val="22"/>
                <w:lang w:eastAsia="en-US"/>
              </w:rPr>
              <w:t>Инвестиционни посредници и търговски банки</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1 101 759</w:t>
            </w:r>
          </w:p>
        </w:tc>
        <w:tc>
          <w:tcPr>
            <w:tcW w:w="94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16,74%</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color w:val="000000"/>
                <w:szCs w:val="22"/>
                <w:lang w:eastAsia="en-US"/>
              </w:rPr>
            </w:pPr>
            <w:r w:rsidRPr="00EC5A0D">
              <w:rPr>
                <w:rFonts w:cs="Calibri"/>
                <w:color w:val="000000"/>
                <w:szCs w:val="22"/>
                <w:lang w:eastAsia="en-US"/>
              </w:rPr>
              <w:t>Други юридически лица</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1 288 767</w:t>
            </w:r>
          </w:p>
        </w:tc>
        <w:tc>
          <w:tcPr>
            <w:tcW w:w="94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19,58%</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color w:val="000000"/>
                <w:szCs w:val="22"/>
                <w:lang w:eastAsia="en-US"/>
              </w:rPr>
            </w:pPr>
            <w:r w:rsidRPr="00EC5A0D">
              <w:rPr>
                <w:rFonts w:cs="Calibri"/>
                <w:color w:val="000000"/>
                <w:szCs w:val="22"/>
                <w:lang w:eastAsia="en-US"/>
              </w:rPr>
              <w:t>Физически лица</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897 334</w:t>
            </w:r>
          </w:p>
        </w:tc>
        <w:tc>
          <w:tcPr>
            <w:tcW w:w="94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13,6</w:t>
            </w:r>
            <w:r w:rsidRPr="00EC5A0D">
              <w:rPr>
                <w:rFonts w:cs="Calibri"/>
                <w:color w:val="000000"/>
                <w:szCs w:val="22"/>
                <w:lang w:val="en-US" w:eastAsia="en-US"/>
              </w:rPr>
              <w:t>3</w:t>
            </w:r>
            <w:r w:rsidRPr="00EC5A0D">
              <w:rPr>
                <w:rFonts w:cs="Calibri"/>
                <w:color w:val="000000"/>
                <w:szCs w:val="22"/>
                <w:lang w:eastAsia="en-US"/>
              </w:rPr>
              <w:t>%</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b/>
                <w:bCs/>
                <w:color w:val="000000"/>
                <w:szCs w:val="22"/>
                <w:lang w:eastAsia="en-US"/>
              </w:rPr>
            </w:pPr>
            <w:r w:rsidRPr="00EC5A0D">
              <w:rPr>
                <w:rFonts w:cs="Calibri"/>
                <w:b/>
                <w:bCs/>
                <w:color w:val="000000"/>
                <w:szCs w:val="22"/>
                <w:lang w:eastAsia="en-US"/>
              </w:rPr>
              <w:t>Общо</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6 582 860</w:t>
            </w:r>
          </w:p>
        </w:tc>
        <w:tc>
          <w:tcPr>
            <w:tcW w:w="940" w:type="dxa"/>
            <w:shd w:val="clear" w:color="auto" w:fill="auto"/>
            <w:noWrap/>
            <w:tcMar>
              <w:left w:w="57" w:type="dxa"/>
              <w:right w:w="28" w:type="dxa"/>
            </w:tcMar>
            <w:vAlign w:val="bottom"/>
            <w:hideMark/>
          </w:tcPr>
          <w:p w:rsidR="00EC5A0D" w:rsidRPr="00EC5A0D" w:rsidRDefault="00EC5A0D" w:rsidP="00F3551F">
            <w:pPr>
              <w:widowControl/>
              <w:jc w:val="left"/>
              <w:rPr>
                <w:rFonts w:cs="Calibri"/>
                <w:color w:val="000000"/>
                <w:szCs w:val="22"/>
                <w:lang w:eastAsia="en-US"/>
              </w:rPr>
            </w:pPr>
            <w:r w:rsidRPr="00EC5A0D">
              <w:rPr>
                <w:rFonts w:cs="Calibri"/>
                <w:color w:val="000000"/>
                <w:szCs w:val="22"/>
                <w:lang w:eastAsia="en-US"/>
              </w:rPr>
              <w:t> </w:t>
            </w:r>
          </w:p>
        </w:tc>
      </w:tr>
      <w:tr w:rsidR="00EC5A0D" w:rsidRPr="00EC5A0D" w:rsidTr="00F3551F">
        <w:trPr>
          <w:trHeight w:val="170"/>
          <w:jc w:val="center"/>
        </w:trPr>
        <w:tc>
          <w:tcPr>
            <w:tcW w:w="4660" w:type="dxa"/>
            <w:shd w:val="clear" w:color="auto" w:fill="auto"/>
            <w:noWrap/>
            <w:tcMar>
              <w:left w:w="57" w:type="dxa"/>
              <w:right w:w="28" w:type="dxa"/>
            </w:tcMar>
            <w:vAlign w:val="center"/>
            <w:hideMark/>
          </w:tcPr>
          <w:p w:rsidR="00EC5A0D" w:rsidRPr="00EC5A0D" w:rsidRDefault="00EC5A0D" w:rsidP="00C13EB0">
            <w:pPr>
              <w:widowControl/>
              <w:jc w:val="left"/>
              <w:rPr>
                <w:rFonts w:cs="Calibri"/>
                <w:color w:val="000000"/>
                <w:szCs w:val="22"/>
                <w:lang w:eastAsia="en-US"/>
              </w:rPr>
            </w:pPr>
            <w:r w:rsidRPr="00EC5A0D">
              <w:rPr>
                <w:rFonts w:cs="Calibri"/>
                <w:color w:val="000000"/>
                <w:szCs w:val="22"/>
                <w:lang w:eastAsia="en-US"/>
              </w:rPr>
              <w:t>От които чуждестранни акционери</w:t>
            </w:r>
          </w:p>
        </w:tc>
        <w:tc>
          <w:tcPr>
            <w:tcW w:w="178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220 250</w:t>
            </w:r>
          </w:p>
        </w:tc>
        <w:tc>
          <w:tcPr>
            <w:tcW w:w="940" w:type="dxa"/>
            <w:shd w:val="clear" w:color="auto" w:fill="auto"/>
            <w:noWrap/>
            <w:tcMar>
              <w:left w:w="57" w:type="dxa"/>
              <w:right w:w="28" w:type="dxa"/>
            </w:tcMar>
            <w:vAlign w:val="bottom"/>
            <w:hideMark/>
          </w:tcPr>
          <w:p w:rsidR="00EC5A0D" w:rsidRPr="00EC5A0D" w:rsidRDefault="00EC5A0D" w:rsidP="00F3551F">
            <w:pPr>
              <w:widowControl/>
              <w:jc w:val="right"/>
              <w:rPr>
                <w:rFonts w:cs="Calibri"/>
                <w:color w:val="000000"/>
                <w:szCs w:val="22"/>
                <w:lang w:eastAsia="en-US"/>
              </w:rPr>
            </w:pPr>
            <w:r w:rsidRPr="00EC5A0D">
              <w:rPr>
                <w:rFonts w:cs="Calibri"/>
                <w:color w:val="000000"/>
                <w:szCs w:val="22"/>
                <w:lang w:eastAsia="en-US"/>
              </w:rPr>
              <w:t>3,35%</w:t>
            </w:r>
          </w:p>
        </w:tc>
      </w:tr>
    </w:tbl>
    <w:p w:rsidR="00C039C6" w:rsidRPr="00EC5A0D" w:rsidRDefault="00C039C6" w:rsidP="00CF06B0">
      <w:pPr>
        <w:pStyle w:val="a1"/>
        <w:tabs>
          <w:tab w:val="left" w:pos="360"/>
        </w:tabs>
        <w:jc w:val="left"/>
        <w:rPr>
          <w:rFonts w:cs="Calibri"/>
          <w:b/>
          <w:i w:val="0"/>
        </w:rPr>
      </w:pPr>
    </w:p>
    <w:tbl>
      <w:tblPr>
        <w:tblStyle w:val="TableGrid"/>
        <w:tblW w:w="96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9675"/>
      </w:tblGrid>
      <w:tr w:rsidR="009D57D3" w:rsidRPr="00F55B63" w:rsidTr="00C13EB0">
        <w:trPr>
          <w:jc w:val="center"/>
        </w:trPr>
        <w:tc>
          <w:tcPr>
            <w:tcW w:w="9675" w:type="dxa"/>
          </w:tcPr>
          <w:p w:rsidR="009D57D3" w:rsidRPr="00EC5A0D" w:rsidRDefault="009D57D3" w:rsidP="00EC5A0D">
            <w:pPr>
              <w:jc w:val="left"/>
              <w:rPr>
                <w:rFonts w:cs="Calibri"/>
                <w:b/>
                <w:sz w:val="20"/>
                <w:szCs w:val="20"/>
              </w:rPr>
            </w:pPr>
            <w:bookmarkStart w:id="79" w:name="_Toc283112130"/>
            <w:r w:rsidRPr="00EC5A0D">
              <w:rPr>
                <w:rFonts w:cs="Calibri"/>
                <w:b/>
                <w:sz w:val="20"/>
                <w:szCs w:val="20"/>
              </w:rPr>
              <w:t>Графика 7: Акционерна структура на „Българска фондова борса“ АД към 31.03.20</w:t>
            </w:r>
            <w:r w:rsidR="00EC5A0D" w:rsidRPr="00EC5A0D">
              <w:rPr>
                <w:rFonts w:cs="Calibri"/>
                <w:b/>
                <w:sz w:val="20"/>
                <w:szCs w:val="20"/>
              </w:rPr>
              <w:t>20</w:t>
            </w:r>
            <w:r w:rsidRPr="00EC5A0D">
              <w:rPr>
                <w:rFonts w:cs="Calibri"/>
                <w:b/>
                <w:sz w:val="20"/>
                <w:szCs w:val="20"/>
              </w:rPr>
              <w:t xml:space="preserve"> г.</w:t>
            </w:r>
          </w:p>
        </w:tc>
      </w:tr>
      <w:tr w:rsidR="009D57D3" w:rsidRPr="00F55B63" w:rsidTr="00C13EB0">
        <w:trPr>
          <w:jc w:val="center"/>
        </w:trPr>
        <w:tc>
          <w:tcPr>
            <w:tcW w:w="9675" w:type="dxa"/>
          </w:tcPr>
          <w:p w:rsidR="009D57D3" w:rsidRPr="00F55B63" w:rsidRDefault="00C9092C" w:rsidP="00C13EB0">
            <w:pPr>
              <w:rPr>
                <w:rFonts w:cs="Calibri"/>
                <w:sz w:val="12"/>
                <w:szCs w:val="12"/>
                <w:highlight w:val="yellow"/>
              </w:rPr>
            </w:pPr>
            <w:r w:rsidRPr="00C9092C">
              <w:rPr>
                <w:rFonts w:cs="Calibri"/>
                <w:noProof/>
                <w:sz w:val="12"/>
                <w:szCs w:val="12"/>
              </w:rPr>
              <w:drawing>
                <wp:inline distT="0" distB="0" distL="0" distR="0">
                  <wp:extent cx="5998978" cy="3955312"/>
                  <wp:effectExtent l="19050" t="0" r="1772" b="0"/>
                  <wp:docPr id="26" name="Chart 1">
                    <a:extLst xmlns:a="http://schemas.openxmlformats.org/drawingml/2006/main">
                      <a:ext uri="{FF2B5EF4-FFF2-40B4-BE49-F238E27FC236}">
                        <a16:creationId xmlns:lc="http://schemas.openxmlformats.org/drawingml/2006/lockedCanvas" xmlns="" xmlns:a16="http://schemas.microsoft.com/office/drawing/2014/main" xmlns:xdr="http://schemas.openxmlformats.org/drawingml/2006/spreadsheetDrawing" xmlns:w="http://schemas.openxmlformats.org/wordprocessingml/2006/main" xmlns:w10="urn:schemas-microsoft-com:office:word" xmlns:v="urn:schemas-microsoft-com:vml" xmlns:o="urn:schemas-microsoft-com:office:office"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001211" w:rsidRPr="00F55B63" w:rsidRDefault="00001211">
      <w:pPr>
        <w:widowControl/>
        <w:jc w:val="left"/>
        <w:rPr>
          <w:rFonts w:cs="Calibri"/>
          <w:b/>
          <w:highlight w:val="yellow"/>
          <w:lang w:eastAsia="en-US"/>
        </w:rPr>
      </w:pPr>
      <w:r w:rsidRPr="00F55B63">
        <w:rPr>
          <w:rFonts w:cs="Calibri"/>
          <w:b/>
          <w:highlight w:val="yellow"/>
          <w:lang w:eastAsia="en-US"/>
        </w:rPr>
        <w:br w:type="page"/>
      </w:r>
    </w:p>
    <w:p w:rsidR="00D65947" w:rsidRPr="000122E6" w:rsidRDefault="00D65947" w:rsidP="00D65947">
      <w:pPr>
        <w:pStyle w:val="Mainnumbers"/>
        <w:spacing w:before="0"/>
        <w:rPr>
          <w:rFonts w:cs="Calibri"/>
        </w:rPr>
      </w:pPr>
      <w:bookmarkStart w:id="80" w:name="_Toc42271172"/>
      <w:r w:rsidRPr="000122E6">
        <w:rPr>
          <w:rFonts w:cs="Calibri"/>
        </w:rPr>
        <w:lastRenderedPageBreak/>
        <w:t xml:space="preserve">Членове на </w:t>
      </w:r>
      <w:r w:rsidR="00165C3F" w:rsidRPr="000122E6">
        <w:rPr>
          <w:rFonts w:cs="Calibri"/>
        </w:rPr>
        <w:t>Българска фондова борса</w:t>
      </w:r>
      <w:bookmarkEnd w:id="79"/>
      <w:bookmarkEnd w:id="80"/>
    </w:p>
    <w:p w:rsidR="00D65947" w:rsidRPr="000122E6" w:rsidRDefault="005F2ACA" w:rsidP="00732D4C">
      <w:pPr>
        <w:spacing w:line="276" w:lineRule="auto"/>
        <w:rPr>
          <w:rFonts w:cs="Calibri"/>
        </w:rPr>
      </w:pPr>
      <w:bookmarkStart w:id="81" w:name="_Toc142469810"/>
      <w:r w:rsidRPr="000122E6">
        <w:rPr>
          <w:rFonts w:cs="Calibri"/>
        </w:rPr>
        <w:t>През първото тримесечие на 20</w:t>
      </w:r>
      <w:r w:rsidR="000122E6" w:rsidRPr="000122E6">
        <w:rPr>
          <w:rFonts w:cs="Calibri"/>
        </w:rPr>
        <w:t>20</w:t>
      </w:r>
      <w:r w:rsidRPr="000122E6">
        <w:rPr>
          <w:rFonts w:cs="Calibri"/>
        </w:rPr>
        <w:t xml:space="preserve"> година </w:t>
      </w:r>
      <w:r w:rsidR="009D57D3" w:rsidRPr="000122E6">
        <w:rPr>
          <w:rFonts w:cs="Calibri"/>
        </w:rPr>
        <w:t>няма промяна в членовете на Българска фондова борса</w:t>
      </w:r>
      <w:r w:rsidR="00FC6ABE">
        <w:rPr>
          <w:rFonts w:cs="Calibri"/>
        </w:rPr>
        <w:t xml:space="preserve"> спрямо края на 2019 г</w:t>
      </w:r>
      <w:r w:rsidR="009D57D3" w:rsidRPr="000122E6">
        <w:rPr>
          <w:rFonts w:cs="Calibri"/>
        </w:rPr>
        <w:t>. Така броят членове на Борсата остана 4</w:t>
      </w:r>
      <w:r w:rsidR="000122E6" w:rsidRPr="000122E6">
        <w:rPr>
          <w:rFonts w:cs="Calibri"/>
        </w:rPr>
        <w:t>8</w:t>
      </w:r>
      <w:r w:rsidR="00EA4A74" w:rsidRPr="000122E6">
        <w:rPr>
          <w:rFonts w:cs="Calibri"/>
        </w:rPr>
        <w:t xml:space="preserve"> (виж Таблица 13).</w:t>
      </w:r>
    </w:p>
    <w:p w:rsidR="00A13704" w:rsidRPr="00F55B63" w:rsidRDefault="00A13704" w:rsidP="00A13704">
      <w:pPr>
        <w:rPr>
          <w:rFonts w:cs="Calibri"/>
          <w:b/>
          <w:highlight w:val="yellow"/>
        </w:rPr>
      </w:pPr>
    </w:p>
    <w:p w:rsidR="00165C3F" w:rsidRDefault="0098559B" w:rsidP="00A13704">
      <w:pPr>
        <w:rPr>
          <w:rFonts w:cs="Calibri"/>
          <w:b/>
        </w:rPr>
      </w:pPr>
      <w:r w:rsidRPr="000122E6">
        <w:rPr>
          <w:rFonts w:cs="Calibri"/>
          <w:b/>
        </w:rPr>
        <w:t xml:space="preserve">Таблица 13. Членове на </w:t>
      </w:r>
      <w:r w:rsidR="00165C3F" w:rsidRPr="000122E6">
        <w:rPr>
          <w:rFonts w:cs="Calibri"/>
          <w:b/>
        </w:rPr>
        <w:t>Българска фондова борса</w:t>
      </w:r>
      <w:r w:rsidRPr="000122E6">
        <w:rPr>
          <w:rFonts w:cs="Calibri"/>
          <w:b/>
        </w:rPr>
        <w:t xml:space="preserve"> към </w:t>
      </w:r>
      <w:r w:rsidR="00EA4A74" w:rsidRPr="000122E6">
        <w:rPr>
          <w:rFonts w:cs="Calibri"/>
          <w:b/>
        </w:rPr>
        <w:t>31.</w:t>
      </w:r>
      <w:r w:rsidR="0062076E" w:rsidRPr="000122E6">
        <w:rPr>
          <w:rFonts w:cs="Calibri"/>
          <w:b/>
        </w:rPr>
        <w:t>03</w:t>
      </w:r>
      <w:r w:rsidR="00EA4A74" w:rsidRPr="000122E6">
        <w:rPr>
          <w:rFonts w:cs="Calibri"/>
          <w:b/>
        </w:rPr>
        <w:t>.20</w:t>
      </w:r>
      <w:r w:rsidR="000122E6" w:rsidRPr="000122E6">
        <w:rPr>
          <w:rFonts w:cs="Calibri"/>
          <w:b/>
        </w:rPr>
        <w:t>20</w:t>
      </w:r>
      <w:r w:rsidRPr="000122E6">
        <w:rPr>
          <w:rFonts w:cs="Calibri"/>
          <w:b/>
        </w:rPr>
        <w:t xml:space="preserve"> г.</w:t>
      </w:r>
    </w:p>
    <w:p w:rsidR="000122E6" w:rsidRPr="000122E6" w:rsidRDefault="000122E6" w:rsidP="00A13704">
      <w:pPr>
        <w:rPr>
          <w:rFonts w:cs="Calibri"/>
          <w:b/>
        </w:rPr>
      </w:pPr>
    </w:p>
    <w:tbl>
      <w:tblPr>
        <w:tblW w:w="10011" w:type="dxa"/>
        <w:tblCellMar>
          <w:left w:w="70" w:type="dxa"/>
          <w:right w:w="70" w:type="dxa"/>
        </w:tblCellMar>
        <w:tblLook w:val="04A0"/>
      </w:tblPr>
      <w:tblGrid>
        <w:gridCol w:w="5191"/>
        <w:gridCol w:w="4820"/>
      </w:tblGrid>
      <w:tr w:rsidR="000122E6" w:rsidRPr="0051522A" w:rsidTr="00F3551F">
        <w:trPr>
          <w:trHeight w:val="290"/>
        </w:trPr>
        <w:tc>
          <w:tcPr>
            <w:tcW w:w="5191" w:type="dxa"/>
            <w:tcBorders>
              <w:top w:val="single" w:sz="4" w:space="0" w:color="auto"/>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WOOD &amp; Company Financial Services, a.s.</w:t>
            </w:r>
          </w:p>
        </w:tc>
        <w:tc>
          <w:tcPr>
            <w:tcW w:w="4820" w:type="dxa"/>
            <w:tcBorders>
              <w:top w:val="single" w:sz="4" w:space="0" w:color="auto"/>
              <w:left w:val="nil"/>
              <w:bottom w:val="nil"/>
              <w:right w:val="nil"/>
            </w:tcBorders>
            <w:shd w:val="clear" w:color="000000" w:fill="FFFFFF"/>
            <w:noWrap/>
            <w:vAlign w:val="bottom"/>
            <w:hideMark/>
          </w:tcPr>
          <w:p w:rsidR="000122E6" w:rsidRPr="0051522A" w:rsidRDefault="000122E6" w:rsidP="00F3551F">
            <w:pPr>
              <w:widowControl/>
              <w:jc w:val="left"/>
              <w:rPr>
                <w:color w:val="000000"/>
                <w:szCs w:val="22"/>
              </w:rPr>
            </w:pPr>
            <w:r w:rsidRPr="0051522A">
              <w:rPr>
                <w:color w:val="000000"/>
                <w:szCs w:val="22"/>
              </w:rPr>
              <w:t>ИП "София Интернешънъл Секюритиз"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"АБВ Инвестиции" ЕООД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"Фаворит"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"Авал ИН"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"Фактори"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"АВС Финанс"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"ФК Евър"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"Адамант Кепитъл Партнърс"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"Фоукал Пойнт Инвестмънтс"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"Балканска консултантска компания-ИП" ЕАД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"Ъп Тренд" ООД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"БенчМарк Финанс"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"ЮГ Маркет"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"Булброкърс" ЕАД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"Алианц Банк България"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"Варчев Финанс" ЕООД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"Банка ДСК" ЕАД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 xml:space="preserve">ИП"МК Брокерс" АД (предх.име Д.И.С.Л. Секюритийс") </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"Българо-Американска Кредитна Банка"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"Де Ново" ЕАД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"Българска Банка за развитие"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"Ди Ви Инвест" ЕАД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"Инвестбанк"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"Дилингова Финансова Компания"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"Интернешънъл Асет Банк"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"Евро - Финанс"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"Обединена Българска Банка"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"Елана Трейдинг"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"Общинска Банка"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"Загора Финакорп"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"Първа Инвестиционна Банка"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"Интеркапитал Маркетс"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"Райфайзенбанк - България" ЕАД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"Капман"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"Тексим банк"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"Карол"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"Ти Би Ай Банк" ЕАД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"Кепитъл Инвест" ЕАД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"Токуда Банк"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"Кепитъл Маркетс" 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"Търговска Банка Д"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"Ленно Глобъл Адвайзъри" EАД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"УниКредит Булбанк" АД</w:t>
            </w:r>
          </w:p>
        </w:tc>
      </w:tr>
      <w:tr w:rsidR="000122E6" w:rsidRPr="0051522A" w:rsidTr="00F3551F">
        <w:trPr>
          <w:trHeight w:val="290"/>
        </w:trPr>
        <w:tc>
          <w:tcPr>
            <w:tcW w:w="5191"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"Първа Финансова Брокерска Къща" ЕООД</w:t>
            </w:r>
          </w:p>
        </w:tc>
        <w:tc>
          <w:tcPr>
            <w:tcW w:w="4820" w:type="dxa"/>
            <w:tcBorders>
              <w:top w:val="nil"/>
              <w:left w:val="nil"/>
              <w:bottom w:val="nil"/>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"Централна Кооперативна Банка" АД</w:t>
            </w:r>
          </w:p>
        </w:tc>
      </w:tr>
      <w:tr w:rsidR="000122E6" w:rsidRPr="0051522A" w:rsidTr="00F3551F">
        <w:trPr>
          <w:trHeight w:val="290"/>
        </w:trPr>
        <w:tc>
          <w:tcPr>
            <w:tcW w:w="5191" w:type="dxa"/>
            <w:tcBorders>
              <w:top w:val="nil"/>
              <w:left w:val="nil"/>
              <w:bottom w:val="single" w:sz="4" w:space="0" w:color="auto"/>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ИП "Реал Финанс" АД</w:t>
            </w:r>
          </w:p>
        </w:tc>
        <w:tc>
          <w:tcPr>
            <w:tcW w:w="4820" w:type="dxa"/>
            <w:tcBorders>
              <w:top w:val="nil"/>
              <w:left w:val="nil"/>
              <w:bottom w:val="single" w:sz="4" w:space="0" w:color="auto"/>
              <w:right w:val="nil"/>
            </w:tcBorders>
            <w:shd w:val="clear" w:color="auto" w:fill="auto"/>
            <w:noWrap/>
            <w:vAlign w:val="bottom"/>
            <w:hideMark/>
          </w:tcPr>
          <w:p w:rsidR="000122E6" w:rsidRPr="0051522A" w:rsidRDefault="000122E6" w:rsidP="00F3551F">
            <w:pPr>
              <w:widowControl/>
              <w:jc w:val="left"/>
              <w:rPr>
                <w:color w:val="000000"/>
                <w:szCs w:val="22"/>
              </w:rPr>
            </w:pPr>
            <w:r w:rsidRPr="0051522A">
              <w:rPr>
                <w:color w:val="000000"/>
                <w:szCs w:val="22"/>
              </w:rPr>
              <w:t>ТБ "Юробанк България" АД</w:t>
            </w:r>
          </w:p>
        </w:tc>
      </w:tr>
    </w:tbl>
    <w:p w:rsidR="00165C3F" w:rsidRPr="00F55B63" w:rsidRDefault="00165C3F" w:rsidP="00A13704">
      <w:pPr>
        <w:rPr>
          <w:rFonts w:cs="Calibri"/>
          <w:b/>
          <w:highlight w:val="yellow"/>
        </w:rPr>
      </w:pPr>
    </w:p>
    <w:p w:rsidR="00165C3F" w:rsidRPr="00F55B63" w:rsidRDefault="00165C3F">
      <w:pPr>
        <w:widowControl/>
        <w:jc w:val="left"/>
        <w:rPr>
          <w:rFonts w:cs="Calibri"/>
          <w:b/>
          <w:highlight w:val="yellow"/>
        </w:rPr>
      </w:pPr>
      <w:r w:rsidRPr="00F55B63">
        <w:rPr>
          <w:rFonts w:cs="Calibri"/>
          <w:b/>
          <w:highlight w:val="yellow"/>
        </w:rPr>
        <w:br w:type="page"/>
      </w:r>
    </w:p>
    <w:p w:rsidR="00D65947" w:rsidRPr="003E5CD6" w:rsidRDefault="00D65947" w:rsidP="006678D4">
      <w:pPr>
        <w:pStyle w:val="Mainnumbers"/>
        <w:rPr>
          <w:rFonts w:cs="Calibri"/>
        </w:rPr>
      </w:pPr>
      <w:bookmarkStart w:id="82" w:name="_Toc283112131"/>
      <w:bookmarkStart w:id="83" w:name="_Toc42271173"/>
      <w:r w:rsidRPr="003E5CD6">
        <w:rPr>
          <w:rFonts w:cs="Calibri"/>
        </w:rPr>
        <w:lastRenderedPageBreak/>
        <w:t xml:space="preserve">Финансово състояние на Група </w:t>
      </w:r>
      <w:bookmarkEnd w:id="81"/>
      <w:bookmarkEnd w:id="82"/>
      <w:r w:rsidR="00165C3F" w:rsidRPr="003E5CD6">
        <w:rPr>
          <w:rFonts w:cstheme="minorHAnsi"/>
        </w:rPr>
        <w:t>Българска фондова борса</w:t>
      </w:r>
      <w:bookmarkEnd w:id="83"/>
    </w:p>
    <w:p w:rsidR="00D65947" w:rsidRPr="003E5CD6" w:rsidRDefault="00D65947" w:rsidP="00327F09">
      <w:pPr>
        <w:tabs>
          <w:tab w:val="left" w:pos="360"/>
        </w:tabs>
        <w:spacing w:line="276" w:lineRule="auto"/>
        <w:rPr>
          <w:rFonts w:cs="Calibri"/>
          <w:szCs w:val="22"/>
        </w:rPr>
      </w:pPr>
      <w:r w:rsidRPr="003E5CD6">
        <w:rPr>
          <w:rFonts w:cs="Calibri"/>
          <w:szCs w:val="22"/>
        </w:rPr>
        <w:t>Финансовият отчет на Група Българска фондова Борса</w:t>
      </w:r>
      <w:r w:rsidR="00567947" w:rsidRPr="003E5CD6">
        <w:rPr>
          <w:rFonts w:cs="Calibri"/>
          <w:szCs w:val="22"/>
        </w:rPr>
        <w:t xml:space="preserve"> </w:t>
      </w:r>
      <w:r w:rsidRPr="003E5CD6">
        <w:rPr>
          <w:rFonts w:cs="Calibri"/>
          <w:szCs w:val="22"/>
        </w:rPr>
        <w:t xml:space="preserve">АД е изготвен съгласно приетата счетоводна политика на </w:t>
      </w:r>
      <w:r w:rsidR="00165C3F" w:rsidRPr="003E5CD6">
        <w:rPr>
          <w:rFonts w:cs="Calibri"/>
          <w:szCs w:val="22"/>
        </w:rPr>
        <w:t>Българска фондова борса</w:t>
      </w:r>
      <w:r w:rsidRPr="003E5CD6">
        <w:rPr>
          <w:rFonts w:cs="Calibri"/>
          <w:szCs w:val="22"/>
        </w:rPr>
        <w:t xml:space="preserve"> и предоставя информация за финансовото й състояние и резултатите от дейността й.</w:t>
      </w:r>
    </w:p>
    <w:p w:rsidR="00D65947" w:rsidRPr="00CC43DB" w:rsidRDefault="00D65947" w:rsidP="0098559B">
      <w:pPr>
        <w:pStyle w:val="SubNumbers"/>
        <w:ind w:left="1418" w:hanging="916"/>
        <w:rPr>
          <w:rFonts w:cs="Calibri"/>
        </w:rPr>
      </w:pPr>
      <w:bookmarkStart w:id="84" w:name="_Toc402281951"/>
      <w:bookmarkStart w:id="85" w:name="_Toc42271174"/>
      <w:bookmarkStart w:id="86" w:name="_Toc386535702"/>
      <w:r w:rsidRPr="00CC43DB">
        <w:rPr>
          <w:rFonts w:cs="Calibri"/>
        </w:rPr>
        <w:t>Активи/пасиви</w:t>
      </w:r>
      <w:bookmarkEnd w:id="84"/>
      <w:bookmarkEnd w:id="85"/>
    </w:p>
    <w:p w:rsidR="00665D0A" w:rsidRPr="00F55B63" w:rsidRDefault="00801A77" w:rsidP="00801A77">
      <w:pPr>
        <w:tabs>
          <w:tab w:val="left" w:pos="360"/>
        </w:tabs>
        <w:spacing w:line="276" w:lineRule="auto"/>
        <w:rPr>
          <w:rFonts w:cs="Calibri"/>
          <w:highlight w:val="yellow"/>
        </w:rPr>
      </w:pPr>
      <w:bookmarkStart w:id="87" w:name="_Toc402281952"/>
      <w:bookmarkStart w:id="88" w:name="_Toc386535703"/>
      <w:bookmarkEnd w:id="86"/>
      <w:r w:rsidRPr="00CC43DB">
        <w:rPr>
          <w:rFonts w:cs="Calibri"/>
        </w:rPr>
        <w:t xml:space="preserve">Сумата на активите на </w:t>
      </w:r>
      <w:r w:rsidR="008E05D1" w:rsidRPr="00CC43DB">
        <w:rPr>
          <w:rFonts w:cs="Calibri"/>
        </w:rPr>
        <w:t xml:space="preserve">група </w:t>
      </w:r>
      <w:r w:rsidRPr="00CC43DB">
        <w:rPr>
          <w:rFonts w:cs="Calibri"/>
        </w:rPr>
        <w:t xml:space="preserve">„Българска фондова борса“ АД към края на </w:t>
      </w:r>
      <w:r w:rsidR="005F2ACA" w:rsidRPr="00CC43DB">
        <w:rPr>
          <w:rFonts w:cs="Calibri"/>
        </w:rPr>
        <w:t>първото</w:t>
      </w:r>
      <w:r w:rsidRPr="00CC43DB">
        <w:rPr>
          <w:rFonts w:cs="Calibri"/>
        </w:rPr>
        <w:t xml:space="preserve"> тримесечие на 20</w:t>
      </w:r>
      <w:r w:rsidR="00CC43DB" w:rsidRPr="00CC43DB">
        <w:rPr>
          <w:rFonts w:cs="Calibri"/>
        </w:rPr>
        <w:t>20</w:t>
      </w:r>
      <w:r w:rsidRPr="00CC43DB">
        <w:rPr>
          <w:rFonts w:cs="Calibri"/>
        </w:rPr>
        <w:t xml:space="preserve"> г. </w:t>
      </w:r>
      <w:r w:rsidR="005F2ACA" w:rsidRPr="00CC43DB">
        <w:rPr>
          <w:rFonts w:cs="Calibri"/>
        </w:rPr>
        <w:t>б</w:t>
      </w:r>
      <w:r w:rsidR="008E05D1" w:rsidRPr="00CC43DB">
        <w:rPr>
          <w:rFonts w:cs="Calibri"/>
        </w:rPr>
        <w:t>е</w:t>
      </w:r>
      <w:r w:rsidRPr="00CC43DB">
        <w:rPr>
          <w:rFonts w:cs="Calibri"/>
        </w:rPr>
        <w:t xml:space="preserve"> с </w:t>
      </w:r>
      <w:r w:rsidR="005F2ACA" w:rsidRPr="00CC43DB">
        <w:rPr>
          <w:rFonts w:cs="Calibri"/>
        </w:rPr>
        <w:t>2</w:t>
      </w:r>
      <w:r w:rsidR="00CC43DB" w:rsidRPr="00CC43DB">
        <w:rPr>
          <w:rFonts w:cs="Calibri"/>
        </w:rPr>
        <w:t>2</w:t>
      </w:r>
      <w:r w:rsidR="00D94FE0">
        <w:rPr>
          <w:rFonts w:cs="Calibri"/>
        </w:rPr>
        <w:t>.</w:t>
      </w:r>
      <w:r w:rsidR="005F2ACA" w:rsidRPr="00CC43DB">
        <w:rPr>
          <w:rFonts w:cs="Calibri"/>
        </w:rPr>
        <w:t>5</w:t>
      </w:r>
      <w:r w:rsidRPr="00CC43DB">
        <w:rPr>
          <w:rFonts w:cs="Calibri"/>
        </w:rPr>
        <w:t xml:space="preserve"> </w:t>
      </w:r>
      <w:r w:rsidR="008E05D1" w:rsidRPr="00CC43DB">
        <w:rPr>
          <w:rFonts w:cs="Calibri"/>
        </w:rPr>
        <w:t>милиона</w:t>
      </w:r>
      <w:r w:rsidRPr="00CC43DB">
        <w:rPr>
          <w:rFonts w:cs="Calibri"/>
        </w:rPr>
        <w:t xml:space="preserve"> лв. (</w:t>
      </w:r>
      <w:r w:rsidR="00CC43DB" w:rsidRPr="00CC43DB">
        <w:rPr>
          <w:rFonts w:cs="Calibri"/>
        </w:rPr>
        <w:t>17</w:t>
      </w:r>
      <w:r w:rsidR="00D94FE0">
        <w:rPr>
          <w:rFonts w:cs="Calibri"/>
        </w:rPr>
        <w:t>.</w:t>
      </w:r>
      <w:r w:rsidR="005F2ACA" w:rsidRPr="00CC43DB">
        <w:rPr>
          <w:rFonts w:cs="Calibri"/>
        </w:rPr>
        <w:t>2</w:t>
      </w:r>
      <w:r w:rsidRPr="00CC43DB">
        <w:rPr>
          <w:rFonts w:cs="Calibri"/>
        </w:rPr>
        <w:t>%) по-</w:t>
      </w:r>
      <w:r w:rsidR="005F2ACA" w:rsidRPr="00CC43DB">
        <w:rPr>
          <w:rFonts w:cs="Calibri"/>
        </w:rPr>
        <w:t>ниска</w:t>
      </w:r>
      <w:r w:rsidRPr="00CC43DB">
        <w:rPr>
          <w:rFonts w:cs="Calibri"/>
        </w:rPr>
        <w:t xml:space="preserve"> от стойността им в края на 201</w:t>
      </w:r>
      <w:r w:rsidR="00CC43DB" w:rsidRPr="00CC43DB">
        <w:rPr>
          <w:rFonts w:cs="Calibri"/>
        </w:rPr>
        <w:t>9</w:t>
      </w:r>
      <w:r w:rsidRPr="00CC43DB">
        <w:rPr>
          <w:rFonts w:cs="Calibri"/>
        </w:rPr>
        <w:t xml:space="preserve"> г. </w:t>
      </w:r>
      <w:r w:rsidR="00CC43DB">
        <w:rPr>
          <w:rFonts w:cs="Calibri"/>
        </w:rPr>
        <w:t>Основната причина за спада в размера на активите се дължи на намалението на текущите активи с 22</w:t>
      </w:r>
      <w:r w:rsidR="00D94FE0">
        <w:rPr>
          <w:rFonts w:cs="Calibri"/>
        </w:rPr>
        <w:t>.</w:t>
      </w:r>
      <w:r w:rsidR="00CC43DB">
        <w:rPr>
          <w:rFonts w:cs="Calibri"/>
        </w:rPr>
        <w:t xml:space="preserve">6 млн. лв. </w:t>
      </w:r>
    </w:p>
    <w:p w:rsidR="00566C63" w:rsidRPr="00566C63" w:rsidRDefault="005F2ACA" w:rsidP="00801A77">
      <w:pPr>
        <w:tabs>
          <w:tab w:val="left" w:pos="360"/>
        </w:tabs>
        <w:spacing w:line="276" w:lineRule="auto"/>
        <w:rPr>
          <w:rFonts w:cs="Calibri"/>
        </w:rPr>
      </w:pPr>
      <w:r w:rsidRPr="00566C63">
        <w:rPr>
          <w:rFonts w:cs="Calibri"/>
        </w:rPr>
        <w:t>В Нетекущите активи нямаше значителна разлика спрямо предходния период (1</w:t>
      </w:r>
      <w:r w:rsidR="00D94FE0">
        <w:rPr>
          <w:rFonts w:cs="Calibri"/>
        </w:rPr>
        <w:t>.</w:t>
      </w:r>
      <w:r w:rsidRPr="00566C63">
        <w:rPr>
          <w:rFonts w:cs="Calibri"/>
        </w:rPr>
        <w:t>7%)</w:t>
      </w:r>
      <w:r w:rsidR="008E05D1" w:rsidRPr="00566C63">
        <w:rPr>
          <w:rFonts w:cs="Calibri"/>
        </w:rPr>
        <w:t xml:space="preserve">. </w:t>
      </w:r>
      <w:r w:rsidR="00566C63" w:rsidRPr="00566C63">
        <w:rPr>
          <w:rFonts w:cs="Calibri"/>
        </w:rPr>
        <w:t xml:space="preserve">По позицията „Имоти, машини и оборудване” се отчита увеличение с 325 хил. лв. или с 24% спрямо края на 2019 г., а нематариалните активи се понижават със 109 хил. лв. или с 2%.  </w:t>
      </w:r>
    </w:p>
    <w:p w:rsidR="00801A77" w:rsidRPr="00ED0664" w:rsidRDefault="00801A77" w:rsidP="00801A77">
      <w:pPr>
        <w:tabs>
          <w:tab w:val="left" w:pos="360"/>
        </w:tabs>
        <w:spacing w:line="276" w:lineRule="auto"/>
        <w:rPr>
          <w:rFonts w:cs="Calibri"/>
        </w:rPr>
      </w:pPr>
      <w:r w:rsidRPr="00ED0664">
        <w:rPr>
          <w:rFonts w:cs="Calibri"/>
        </w:rPr>
        <w:t xml:space="preserve">Текущите активи </w:t>
      </w:r>
      <w:r w:rsidR="005F2ACA" w:rsidRPr="00ED0664">
        <w:rPr>
          <w:rFonts w:cs="Calibri"/>
        </w:rPr>
        <w:t>намаляха</w:t>
      </w:r>
      <w:r w:rsidRPr="00ED0664">
        <w:rPr>
          <w:rFonts w:cs="Calibri"/>
        </w:rPr>
        <w:t xml:space="preserve"> </w:t>
      </w:r>
      <w:r w:rsidR="00567947" w:rsidRPr="00ED0664">
        <w:rPr>
          <w:rFonts w:cs="Calibri"/>
        </w:rPr>
        <w:t xml:space="preserve">с </w:t>
      </w:r>
      <w:r w:rsidR="0052310D" w:rsidRPr="00ED0664">
        <w:rPr>
          <w:rFonts w:cs="Calibri"/>
          <w:lang w:val="en-US"/>
        </w:rPr>
        <w:t>2</w:t>
      </w:r>
      <w:r w:rsidR="00ED0664" w:rsidRPr="00ED0664">
        <w:rPr>
          <w:rFonts w:cs="Calibri"/>
        </w:rPr>
        <w:t>2</w:t>
      </w:r>
      <w:r w:rsidR="00D94FE0">
        <w:rPr>
          <w:rFonts w:cs="Calibri"/>
        </w:rPr>
        <w:t>.</w:t>
      </w:r>
      <w:r w:rsidR="00ED0664" w:rsidRPr="00ED0664">
        <w:rPr>
          <w:rFonts w:cs="Calibri"/>
        </w:rPr>
        <w:t>6</w:t>
      </w:r>
      <w:r w:rsidR="00E6657B" w:rsidRPr="00ED0664">
        <w:rPr>
          <w:rFonts w:cs="Calibri"/>
        </w:rPr>
        <w:t xml:space="preserve"> милиона лева</w:t>
      </w:r>
      <w:r w:rsidRPr="00ED0664">
        <w:rPr>
          <w:rFonts w:cs="Calibri"/>
        </w:rPr>
        <w:t xml:space="preserve"> зара</w:t>
      </w:r>
      <w:r w:rsidR="00E6657B" w:rsidRPr="00ED0664">
        <w:rPr>
          <w:rFonts w:cs="Calibri"/>
        </w:rPr>
        <w:t xml:space="preserve">ди </w:t>
      </w:r>
      <w:r w:rsidR="005F2ACA" w:rsidRPr="00ED0664">
        <w:rPr>
          <w:rFonts w:cs="Calibri"/>
        </w:rPr>
        <w:t>спад</w:t>
      </w:r>
      <w:r w:rsidR="00E6657B" w:rsidRPr="00ED0664">
        <w:rPr>
          <w:rFonts w:cs="Calibri"/>
        </w:rPr>
        <w:t xml:space="preserve"> на стойността на позиции</w:t>
      </w:r>
      <w:r w:rsidRPr="00ED0664">
        <w:rPr>
          <w:rFonts w:cs="Calibri"/>
        </w:rPr>
        <w:t>т</w:t>
      </w:r>
      <w:r w:rsidR="00665D0A" w:rsidRPr="00ED0664">
        <w:rPr>
          <w:rFonts w:cs="Calibri"/>
        </w:rPr>
        <w:t>е</w:t>
      </w:r>
      <w:r w:rsidR="00E6657B" w:rsidRPr="00ED0664">
        <w:rPr>
          <w:rFonts w:cs="Calibri"/>
        </w:rPr>
        <w:t xml:space="preserve"> </w:t>
      </w:r>
      <w:r w:rsidR="004415ED">
        <w:rPr>
          <w:rFonts w:cs="Calibri"/>
        </w:rPr>
        <w:t>„</w:t>
      </w:r>
      <w:r w:rsidR="00ED0664" w:rsidRPr="00ED0664">
        <w:rPr>
          <w:rFonts w:cs="Calibri"/>
        </w:rPr>
        <w:t>Парични средства и парични еквиваленти</w:t>
      </w:r>
      <w:r w:rsidR="004415ED">
        <w:rPr>
          <w:rFonts w:cs="Calibri"/>
        </w:rPr>
        <w:t>”</w:t>
      </w:r>
      <w:r w:rsidR="00ED0664" w:rsidRPr="00ED0664">
        <w:rPr>
          <w:rFonts w:cs="Calibri"/>
        </w:rPr>
        <w:t xml:space="preserve"> </w:t>
      </w:r>
      <w:r w:rsidR="00E6657B" w:rsidRPr="00ED0664">
        <w:rPr>
          <w:rFonts w:cs="Calibri"/>
        </w:rPr>
        <w:t>(</w:t>
      </w:r>
      <w:r w:rsidR="005F2ACA" w:rsidRPr="00ED0664">
        <w:rPr>
          <w:rFonts w:cs="Calibri"/>
        </w:rPr>
        <w:t>-1</w:t>
      </w:r>
      <w:r w:rsidR="00ED0664" w:rsidRPr="00ED0664">
        <w:rPr>
          <w:rFonts w:cs="Calibri"/>
        </w:rPr>
        <w:t>9</w:t>
      </w:r>
      <w:r w:rsidR="00D94FE0">
        <w:rPr>
          <w:rFonts w:cs="Calibri"/>
        </w:rPr>
        <w:t>.</w:t>
      </w:r>
      <w:r w:rsidR="00ED0664" w:rsidRPr="00ED0664">
        <w:rPr>
          <w:rFonts w:cs="Calibri"/>
        </w:rPr>
        <w:t>9</w:t>
      </w:r>
      <w:r w:rsidR="00E6657B" w:rsidRPr="00ED0664">
        <w:rPr>
          <w:rFonts w:cs="Calibri"/>
        </w:rPr>
        <w:t xml:space="preserve"> милиона лв.), </w:t>
      </w:r>
      <w:r w:rsidR="004415ED">
        <w:rPr>
          <w:rFonts w:cs="Calibri"/>
        </w:rPr>
        <w:t>„</w:t>
      </w:r>
      <w:r w:rsidR="00ED0664" w:rsidRPr="00ED0664">
        <w:rPr>
          <w:rFonts w:cs="Calibri"/>
        </w:rPr>
        <w:t>Вземания от контрагенти за електрическа енергия</w:t>
      </w:r>
      <w:r w:rsidR="004415ED">
        <w:rPr>
          <w:rFonts w:cs="Calibri"/>
        </w:rPr>
        <w:t>”</w:t>
      </w:r>
      <w:r w:rsidR="00ED0664" w:rsidRPr="00ED0664">
        <w:rPr>
          <w:rFonts w:cs="Calibri"/>
        </w:rPr>
        <w:t xml:space="preserve"> </w:t>
      </w:r>
      <w:r w:rsidR="00E6657B" w:rsidRPr="00ED0664">
        <w:rPr>
          <w:rFonts w:cs="Calibri"/>
        </w:rPr>
        <w:t>(</w:t>
      </w:r>
      <w:r w:rsidR="005F2ACA" w:rsidRPr="00ED0664">
        <w:rPr>
          <w:rFonts w:cs="Calibri"/>
        </w:rPr>
        <w:t>-</w:t>
      </w:r>
      <w:r w:rsidR="00ED0664" w:rsidRPr="00ED0664">
        <w:rPr>
          <w:rFonts w:cs="Calibri"/>
        </w:rPr>
        <w:t>1</w:t>
      </w:r>
      <w:r w:rsidR="001C4581" w:rsidRPr="00ED0664">
        <w:rPr>
          <w:rFonts w:cs="Calibri"/>
        </w:rPr>
        <w:t>.</w:t>
      </w:r>
      <w:r w:rsidR="00ED0664" w:rsidRPr="00ED0664">
        <w:rPr>
          <w:rFonts w:cs="Calibri"/>
        </w:rPr>
        <w:t>4</w:t>
      </w:r>
      <w:r w:rsidR="005F2ACA" w:rsidRPr="00ED0664">
        <w:rPr>
          <w:rFonts w:cs="Calibri"/>
        </w:rPr>
        <w:t xml:space="preserve"> </w:t>
      </w:r>
      <w:r w:rsidR="00E6657B" w:rsidRPr="00ED0664">
        <w:rPr>
          <w:rFonts w:cs="Calibri"/>
        </w:rPr>
        <w:t xml:space="preserve">милиона лв.) и </w:t>
      </w:r>
      <w:r w:rsidR="004415ED">
        <w:rPr>
          <w:rFonts w:cs="Calibri"/>
        </w:rPr>
        <w:t>„</w:t>
      </w:r>
      <w:r w:rsidR="00ED0664" w:rsidRPr="00ED0664">
        <w:rPr>
          <w:rFonts w:cs="Calibri"/>
        </w:rPr>
        <w:t>Други вземания и предплатени разходи</w:t>
      </w:r>
      <w:r w:rsidR="004415ED">
        <w:rPr>
          <w:rFonts w:cs="Calibri"/>
        </w:rPr>
        <w:t>”</w:t>
      </w:r>
      <w:r w:rsidR="00E6657B" w:rsidRPr="00ED0664">
        <w:rPr>
          <w:rFonts w:cs="Calibri"/>
        </w:rPr>
        <w:t xml:space="preserve"> (</w:t>
      </w:r>
      <w:r w:rsidR="005F2ACA" w:rsidRPr="00ED0664">
        <w:rPr>
          <w:rFonts w:cs="Calibri"/>
        </w:rPr>
        <w:t>-</w:t>
      </w:r>
      <w:r w:rsidR="00ED0664" w:rsidRPr="00ED0664">
        <w:rPr>
          <w:rFonts w:cs="Calibri"/>
        </w:rPr>
        <w:t>1</w:t>
      </w:r>
      <w:r w:rsidR="00D94FE0">
        <w:rPr>
          <w:rFonts w:cs="Calibri"/>
        </w:rPr>
        <w:t>.</w:t>
      </w:r>
      <w:r w:rsidR="00ED0664" w:rsidRPr="00ED0664">
        <w:rPr>
          <w:rFonts w:cs="Calibri"/>
        </w:rPr>
        <w:t>1</w:t>
      </w:r>
      <w:r w:rsidR="00E6657B" w:rsidRPr="00ED0664">
        <w:rPr>
          <w:rFonts w:cs="Calibri"/>
        </w:rPr>
        <w:t xml:space="preserve"> милиона лв.). </w:t>
      </w:r>
      <w:r w:rsidRPr="00ED0664">
        <w:rPr>
          <w:rFonts w:cs="Calibri"/>
        </w:rPr>
        <w:t>Към края на 201</w:t>
      </w:r>
      <w:r w:rsidR="00ED0664" w:rsidRPr="00ED0664">
        <w:rPr>
          <w:rFonts w:cs="Calibri"/>
        </w:rPr>
        <w:t>9</w:t>
      </w:r>
      <w:r w:rsidRPr="00ED0664">
        <w:rPr>
          <w:rFonts w:cs="Calibri"/>
        </w:rPr>
        <w:t xml:space="preserve"> </w:t>
      </w:r>
      <w:r w:rsidR="00D31BAA" w:rsidRPr="00ED0664">
        <w:rPr>
          <w:rFonts w:cs="Calibri"/>
        </w:rPr>
        <w:t xml:space="preserve">и на отчетния период </w:t>
      </w:r>
      <w:r w:rsidR="00E6657B" w:rsidRPr="00ED0664">
        <w:rPr>
          <w:rFonts w:cs="Calibri"/>
        </w:rPr>
        <w:t>Групата</w:t>
      </w:r>
      <w:r w:rsidRPr="00ED0664">
        <w:rPr>
          <w:rFonts w:cs="Calibri"/>
        </w:rPr>
        <w:t xml:space="preserve"> няма срочни депозити в банки.</w:t>
      </w:r>
    </w:p>
    <w:p w:rsidR="00E6657B" w:rsidRPr="00AF2EE7" w:rsidRDefault="00E6657B" w:rsidP="00801A77">
      <w:pPr>
        <w:tabs>
          <w:tab w:val="left" w:pos="360"/>
        </w:tabs>
        <w:spacing w:line="276" w:lineRule="auto"/>
        <w:rPr>
          <w:rFonts w:cs="Calibri"/>
        </w:rPr>
      </w:pPr>
      <w:r w:rsidRPr="00AF2EE7">
        <w:rPr>
          <w:rFonts w:cs="Calibri"/>
        </w:rPr>
        <w:t xml:space="preserve">Описаните промени в Актива се дължат основно на </w:t>
      </w:r>
      <w:r w:rsidR="00AF2EE7" w:rsidRPr="00AF2EE7">
        <w:rPr>
          <w:rFonts w:cs="Calibri"/>
        </w:rPr>
        <w:t xml:space="preserve">дъщерното дружество - </w:t>
      </w:r>
      <w:r w:rsidRPr="00AF2EE7">
        <w:rPr>
          <w:rFonts w:cs="Calibri"/>
        </w:rPr>
        <w:t xml:space="preserve"> Българска независима енергийна борса</w:t>
      </w:r>
      <w:r w:rsidR="00AF2EE7" w:rsidRPr="00AF2EE7">
        <w:rPr>
          <w:rFonts w:cs="Calibri"/>
        </w:rPr>
        <w:t xml:space="preserve"> </w:t>
      </w:r>
      <w:r w:rsidR="00AF2EE7" w:rsidRPr="00AF2EE7">
        <w:rPr>
          <w:rFonts w:cs="Calibri"/>
          <w:lang w:val="en-US"/>
        </w:rPr>
        <w:t>(</w:t>
      </w:r>
      <w:r w:rsidR="00AF2EE7" w:rsidRPr="00AF2EE7">
        <w:rPr>
          <w:rFonts w:cs="Calibri"/>
        </w:rPr>
        <w:t>БНЕБ</w:t>
      </w:r>
      <w:r w:rsidR="00AF2EE7" w:rsidRPr="00AF2EE7">
        <w:rPr>
          <w:rFonts w:cs="Calibri"/>
          <w:lang w:val="en-US"/>
        </w:rPr>
        <w:t>)</w:t>
      </w:r>
      <w:r w:rsidRPr="00AF2EE7">
        <w:rPr>
          <w:rFonts w:cs="Calibri"/>
        </w:rPr>
        <w:t xml:space="preserve">. Начинът на работа на БНЕБ и моделът на разплащане по сделките с електрическа енергия се характеризира с големи вземания, </w:t>
      </w:r>
      <w:r w:rsidR="00AF2EE7" w:rsidRPr="00AF2EE7">
        <w:rPr>
          <w:rFonts w:cs="Calibri"/>
        </w:rPr>
        <w:t>предплатени разходи</w:t>
      </w:r>
      <w:r w:rsidRPr="00AF2EE7">
        <w:rPr>
          <w:rFonts w:cs="Calibri"/>
        </w:rPr>
        <w:t xml:space="preserve"> и парични средства, които отчитат </w:t>
      </w:r>
      <w:r w:rsidR="00567947" w:rsidRPr="00AF2EE7">
        <w:rPr>
          <w:rFonts w:cs="Calibri"/>
        </w:rPr>
        <w:t xml:space="preserve">Гаранционния </w:t>
      </w:r>
      <w:r w:rsidRPr="00AF2EE7">
        <w:rPr>
          <w:rFonts w:cs="Calibri"/>
        </w:rPr>
        <w:t>фонд на Енергийната борса.</w:t>
      </w:r>
    </w:p>
    <w:p w:rsidR="00801A77" w:rsidRPr="00AF2EE7" w:rsidRDefault="00801A77" w:rsidP="00801A77">
      <w:pPr>
        <w:tabs>
          <w:tab w:val="left" w:pos="360"/>
        </w:tabs>
        <w:spacing w:line="276" w:lineRule="auto"/>
        <w:rPr>
          <w:rFonts w:cs="Calibri"/>
        </w:rPr>
      </w:pPr>
      <w:r w:rsidRPr="00AF2EE7">
        <w:rPr>
          <w:rFonts w:cs="Calibri"/>
        </w:rPr>
        <w:t>По отнош</w:t>
      </w:r>
      <w:r w:rsidR="005F2ACA" w:rsidRPr="00AF2EE7">
        <w:rPr>
          <w:rFonts w:cs="Calibri"/>
        </w:rPr>
        <w:t>ение на пасива, към края на 201</w:t>
      </w:r>
      <w:r w:rsidR="00AF2EE7" w:rsidRPr="00AF2EE7">
        <w:rPr>
          <w:rFonts w:cs="Calibri"/>
        </w:rPr>
        <w:t>9</w:t>
      </w:r>
      <w:r w:rsidRPr="00AF2EE7">
        <w:rPr>
          <w:rFonts w:cs="Calibri"/>
        </w:rPr>
        <w:t xml:space="preserve"> година бе натрупана печалба в размер на </w:t>
      </w:r>
      <w:r w:rsidR="00AF2EE7" w:rsidRPr="00AF2EE7">
        <w:rPr>
          <w:rFonts w:cs="Calibri"/>
        </w:rPr>
        <w:t>8</w:t>
      </w:r>
      <w:r w:rsidR="00D94FE0">
        <w:rPr>
          <w:rFonts w:cs="Calibri"/>
        </w:rPr>
        <w:t>.</w:t>
      </w:r>
      <w:r w:rsidR="00AF2EE7" w:rsidRPr="00AF2EE7">
        <w:rPr>
          <w:rFonts w:cs="Calibri"/>
        </w:rPr>
        <w:t>79</w:t>
      </w:r>
      <w:r w:rsidRPr="00AF2EE7">
        <w:rPr>
          <w:rFonts w:cs="Calibri"/>
        </w:rPr>
        <w:t xml:space="preserve"> </w:t>
      </w:r>
      <w:r w:rsidR="00AF2EE7" w:rsidRPr="00AF2EE7">
        <w:rPr>
          <w:rFonts w:cs="Calibri"/>
        </w:rPr>
        <w:t>милиона</w:t>
      </w:r>
      <w:r w:rsidRPr="00AF2EE7">
        <w:rPr>
          <w:rFonts w:cs="Calibri"/>
        </w:rPr>
        <w:t xml:space="preserve"> лева</w:t>
      </w:r>
      <w:r w:rsidR="00D94FE0">
        <w:rPr>
          <w:rFonts w:cs="Calibri"/>
        </w:rPr>
        <w:t>. К</w:t>
      </w:r>
      <w:r w:rsidRPr="00AF2EE7">
        <w:rPr>
          <w:rFonts w:cs="Calibri"/>
        </w:rPr>
        <w:t xml:space="preserve">ъм края на текущия период </w:t>
      </w:r>
      <w:r w:rsidR="00880A2E" w:rsidRPr="00AF2EE7">
        <w:rPr>
          <w:rFonts w:cs="Calibri"/>
        </w:rPr>
        <w:t>натрупана</w:t>
      </w:r>
      <w:r w:rsidR="00880A2E">
        <w:rPr>
          <w:rFonts w:cs="Calibri"/>
        </w:rPr>
        <w:t>та</w:t>
      </w:r>
      <w:r w:rsidR="00880A2E" w:rsidRPr="00AF2EE7">
        <w:rPr>
          <w:rFonts w:cs="Calibri"/>
        </w:rPr>
        <w:t xml:space="preserve"> печалба</w:t>
      </w:r>
      <w:r w:rsidR="00D94FE0">
        <w:rPr>
          <w:rFonts w:cs="Calibri"/>
        </w:rPr>
        <w:t xml:space="preserve"> нараства с 1,3 млн. лв. </w:t>
      </w:r>
      <w:r w:rsidR="00D94FE0">
        <w:rPr>
          <w:rFonts w:cs="Calibri"/>
          <w:lang w:val="en-US"/>
        </w:rPr>
        <w:t>(</w:t>
      </w:r>
      <w:r w:rsidR="00D94FE0">
        <w:rPr>
          <w:rFonts w:cs="Calibri"/>
        </w:rPr>
        <w:t xml:space="preserve">или с </w:t>
      </w:r>
      <w:r w:rsidR="00D94FE0">
        <w:rPr>
          <w:rFonts w:cs="Calibri"/>
          <w:lang w:val="en-US"/>
        </w:rPr>
        <w:t>14.6%)</w:t>
      </w:r>
      <w:r w:rsidRPr="00AF2EE7">
        <w:rPr>
          <w:rFonts w:cs="Calibri"/>
        </w:rPr>
        <w:t xml:space="preserve"> </w:t>
      </w:r>
      <w:r w:rsidR="00D94FE0">
        <w:rPr>
          <w:rFonts w:cs="Calibri"/>
        </w:rPr>
        <w:t xml:space="preserve">и </w:t>
      </w:r>
      <w:r w:rsidRPr="00AF2EE7">
        <w:rPr>
          <w:rFonts w:cs="Calibri"/>
        </w:rPr>
        <w:t>в</w:t>
      </w:r>
      <w:r w:rsidR="00AF2EE7" w:rsidRPr="00AF2EE7">
        <w:rPr>
          <w:rFonts w:cs="Calibri"/>
        </w:rPr>
        <w:t>ъзлиза на 10</w:t>
      </w:r>
      <w:r w:rsidR="00D94FE0">
        <w:rPr>
          <w:rFonts w:cs="Calibri"/>
        </w:rPr>
        <w:t>.</w:t>
      </w:r>
      <w:r w:rsidR="00AF2EE7" w:rsidRPr="00AF2EE7">
        <w:rPr>
          <w:rFonts w:cs="Calibri"/>
        </w:rPr>
        <w:t>07</w:t>
      </w:r>
      <w:r w:rsidR="00567947" w:rsidRPr="00AF2EE7">
        <w:rPr>
          <w:rFonts w:cs="Calibri"/>
        </w:rPr>
        <w:t xml:space="preserve"> </w:t>
      </w:r>
      <w:r w:rsidR="005B7186" w:rsidRPr="00AF2EE7">
        <w:rPr>
          <w:rFonts w:cs="Calibri"/>
        </w:rPr>
        <w:t>милиона</w:t>
      </w:r>
      <w:r w:rsidRPr="00AF2EE7">
        <w:rPr>
          <w:rFonts w:cs="Calibri"/>
        </w:rPr>
        <w:t xml:space="preserve"> лева.</w:t>
      </w:r>
    </w:p>
    <w:p w:rsidR="00D94FE0" w:rsidRPr="00D94FE0" w:rsidRDefault="00D94FE0" w:rsidP="006111AF">
      <w:pPr>
        <w:tabs>
          <w:tab w:val="left" w:pos="360"/>
        </w:tabs>
        <w:spacing w:line="276" w:lineRule="auto"/>
        <w:rPr>
          <w:rFonts w:cs="Calibri"/>
        </w:rPr>
      </w:pPr>
      <w:r w:rsidRPr="00D94FE0">
        <w:rPr>
          <w:rFonts w:cs="Calibri"/>
        </w:rPr>
        <w:t xml:space="preserve">Нетекущите задължения на Групата нарастват със 136 хил. лв. в резултат на ръст от 168 хил. лв. по позицията „Дългосрочни задължения по лизинг”. </w:t>
      </w:r>
    </w:p>
    <w:p w:rsidR="00D65947" w:rsidRPr="00F55B63" w:rsidRDefault="00801A77" w:rsidP="006111AF">
      <w:pPr>
        <w:tabs>
          <w:tab w:val="left" w:pos="360"/>
        </w:tabs>
        <w:spacing w:line="276" w:lineRule="auto"/>
        <w:rPr>
          <w:rFonts w:cs="Calibri"/>
          <w:highlight w:val="yellow"/>
        </w:rPr>
      </w:pPr>
      <w:r w:rsidRPr="006A2069">
        <w:rPr>
          <w:rFonts w:cs="Calibri"/>
        </w:rPr>
        <w:t xml:space="preserve">Текущите задължения </w:t>
      </w:r>
      <w:r w:rsidR="00C03EDE" w:rsidRPr="006A2069">
        <w:rPr>
          <w:rFonts w:cs="Calibri"/>
        </w:rPr>
        <w:t>отбелязват</w:t>
      </w:r>
      <w:r w:rsidRPr="006A2069">
        <w:rPr>
          <w:rFonts w:cs="Calibri"/>
        </w:rPr>
        <w:t xml:space="preserve"> </w:t>
      </w:r>
      <w:r w:rsidR="006F01F5" w:rsidRPr="006A2069">
        <w:rPr>
          <w:rFonts w:cs="Calibri"/>
        </w:rPr>
        <w:t>спад</w:t>
      </w:r>
      <w:r w:rsidRPr="006A2069">
        <w:rPr>
          <w:rFonts w:cs="Calibri"/>
        </w:rPr>
        <w:t xml:space="preserve"> от </w:t>
      </w:r>
      <w:r w:rsidR="006F01F5" w:rsidRPr="006A2069">
        <w:rPr>
          <w:rFonts w:cs="Calibri"/>
        </w:rPr>
        <w:t>2</w:t>
      </w:r>
      <w:r w:rsidR="00D94FE0" w:rsidRPr="006A2069">
        <w:rPr>
          <w:rFonts w:cs="Calibri"/>
        </w:rPr>
        <w:t>3.9</w:t>
      </w:r>
      <w:r w:rsidR="00226E54" w:rsidRPr="006A2069">
        <w:rPr>
          <w:rFonts w:cs="Calibri"/>
        </w:rPr>
        <w:t xml:space="preserve"> милиона лв</w:t>
      </w:r>
      <w:r w:rsidRPr="006A2069">
        <w:rPr>
          <w:rFonts w:cs="Calibri"/>
        </w:rPr>
        <w:t>.</w:t>
      </w:r>
      <w:r w:rsidR="00226E54" w:rsidRPr="006A2069">
        <w:rPr>
          <w:rFonts w:cs="Calibri"/>
        </w:rPr>
        <w:t xml:space="preserve"> вследствие </w:t>
      </w:r>
      <w:r w:rsidR="006F01F5" w:rsidRPr="006A2069">
        <w:rPr>
          <w:rFonts w:cs="Calibri"/>
        </w:rPr>
        <w:t>намаление</w:t>
      </w:r>
      <w:r w:rsidR="00226E54" w:rsidRPr="006A2069">
        <w:rPr>
          <w:rFonts w:cs="Calibri"/>
        </w:rPr>
        <w:t xml:space="preserve"> </w:t>
      </w:r>
      <w:r w:rsidR="006A2069">
        <w:rPr>
          <w:rFonts w:cs="Calibri"/>
        </w:rPr>
        <w:t xml:space="preserve">по позициите - </w:t>
      </w:r>
      <w:r w:rsidR="00226E54" w:rsidRPr="006A2069">
        <w:rPr>
          <w:rFonts w:cs="Calibri"/>
        </w:rPr>
        <w:t xml:space="preserve"> </w:t>
      </w:r>
      <w:r w:rsidR="006A2069">
        <w:rPr>
          <w:rFonts w:cs="Calibri"/>
        </w:rPr>
        <w:t>„</w:t>
      </w:r>
      <w:r w:rsidR="00226E54" w:rsidRPr="006A2069">
        <w:rPr>
          <w:rFonts w:cs="Calibri"/>
        </w:rPr>
        <w:t xml:space="preserve">Задължения към </w:t>
      </w:r>
      <w:r w:rsidR="00D94FE0" w:rsidRPr="006A2069">
        <w:rPr>
          <w:rFonts w:cs="Calibri"/>
        </w:rPr>
        <w:t>контрагенти на електрическа енергия</w:t>
      </w:r>
      <w:r w:rsidR="006A2069">
        <w:rPr>
          <w:rFonts w:cs="Calibri"/>
        </w:rPr>
        <w:t>”</w:t>
      </w:r>
      <w:r w:rsidR="00D94FE0" w:rsidRPr="006A2069">
        <w:rPr>
          <w:rFonts w:cs="Calibri"/>
        </w:rPr>
        <w:t xml:space="preserve"> </w:t>
      </w:r>
      <w:r w:rsidR="00D94FE0" w:rsidRPr="006A2069">
        <w:rPr>
          <w:rFonts w:cs="Calibri"/>
          <w:lang w:val="en-US"/>
        </w:rPr>
        <w:t xml:space="preserve">(-21.59 </w:t>
      </w:r>
      <w:r w:rsidR="00D94FE0" w:rsidRPr="006A2069">
        <w:rPr>
          <w:rFonts w:cs="Calibri"/>
        </w:rPr>
        <w:t>млн. лв.</w:t>
      </w:r>
      <w:r w:rsidR="00D94FE0" w:rsidRPr="006A2069">
        <w:rPr>
          <w:rFonts w:cs="Calibri"/>
          <w:lang w:val="en-US"/>
        </w:rPr>
        <w:t>)</w:t>
      </w:r>
      <w:r w:rsidR="006A2069">
        <w:rPr>
          <w:rFonts w:cs="Calibri"/>
        </w:rPr>
        <w:t xml:space="preserve"> и на „Получени </w:t>
      </w:r>
      <w:r w:rsidR="006A2069" w:rsidRPr="006A2069">
        <w:rPr>
          <w:rFonts w:cs="Calibri"/>
        </w:rPr>
        <w:t>гаранционни депозити от контрагенти за електрическа енергия”</w:t>
      </w:r>
      <w:r w:rsidR="00630368">
        <w:rPr>
          <w:rFonts w:cs="Calibri"/>
        </w:rPr>
        <w:t xml:space="preserve"> </w:t>
      </w:r>
      <w:r w:rsidR="00630368">
        <w:rPr>
          <w:rFonts w:cs="Calibri"/>
          <w:lang w:val="en-US"/>
        </w:rPr>
        <w:t xml:space="preserve">(-2.2 </w:t>
      </w:r>
      <w:r w:rsidR="00630368">
        <w:rPr>
          <w:rFonts w:cs="Calibri"/>
        </w:rPr>
        <w:t>млн.лв.</w:t>
      </w:r>
      <w:r w:rsidR="00630368">
        <w:rPr>
          <w:rFonts w:cs="Calibri"/>
          <w:lang w:val="en-US"/>
        </w:rPr>
        <w:t>)</w:t>
      </w:r>
      <w:r w:rsidR="00226E54" w:rsidRPr="006A2069">
        <w:rPr>
          <w:rFonts w:cs="Calibri"/>
        </w:rPr>
        <w:t>.</w:t>
      </w:r>
      <w:r w:rsidRPr="006A2069">
        <w:rPr>
          <w:rFonts w:cs="Calibri"/>
        </w:rPr>
        <w:t xml:space="preserve"> </w:t>
      </w:r>
      <w:r w:rsidR="006A2069" w:rsidRPr="006A2069">
        <w:rPr>
          <w:rFonts w:cs="Calibri"/>
        </w:rPr>
        <w:t>В тези позиции са</w:t>
      </w:r>
      <w:r w:rsidR="006F01F5" w:rsidRPr="006A2069">
        <w:rPr>
          <w:rFonts w:cs="Calibri"/>
        </w:rPr>
        <w:t xml:space="preserve"> отразени</w:t>
      </w:r>
      <w:r w:rsidRPr="006A2069">
        <w:rPr>
          <w:rFonts w:cs="Calibri"/>
        </w:rPr>
        <w:t xml:space="preserve"> задължения</w:t>
      </w:r>
      <w:r w:rsidR="006F01F5" w:rsidRPr="006A2069">
        <w:rPr>
          <w:rFonts w:cs="Calibri"/>
        </w:rPr>
        <w:t>та</w:t>
      </w:r>
      <w:r w:rsidRPr="006A2069">
        <w:rPr>
          <w:rFonts w:cs="Calibri"/>
        </w:rPr>
        <w:t xml:space="preserve"> на БНЕБ</w:t>
      </w:r>
      <w:r w:rsidR="00226E54" w:rsidRPr="006A2069">
        <w:rPr>
          <w:rFonts w:cs="Calibri"/>
        </w:rPr>
        <w:t xml:space="preserve"> към търговците на електроенергия по сделки с енергия </w:t>
      </w:r>
      <w:r w:rsidR="006111AF" w:rsidRPr="006A2069">
        <w:rPr>
          <w:rFonts w:cs="Calibri"/>
        </w:rPr>
        <w:t xml:space="preserve">и за Обезпечения (гаранционни депозити) за доставка на електрическа енергия, внесени от търговските участници на </w:t>
      </w:r>
      <w:r w:rsidR="00C03EDE" w:rsidRPr="006A2069">
        <w:rPr>
          <w:rFonts w:cs="Calibri"/>
        </w:rPr>
        <w:t xml:space="preserve">енергийния </w:t>
      </w:r>
      <w:r w:rsidR="006111AF" w:rsidRPr="006A2069">
        <w:rPr>
          <w:rFonts w:cs="Calibri"/>
        </w:rPr>
        <w:t>борсов пазар</w:t>
      </w:r>
      <w:r w:rsidR="00226E54" w:rsidRPr="006A2069">
        <w:rPr>
          <w:rFonts w:cs="Calibri"/>
        </w:rPr>
        <w:t>.</w:t>
      </w:r>
      <w:r w:rsidR="00C03EDE" w:rsidRPr="006A2069">
        <w:rPr>
          <w:rFonts w:cs="Calibri"/>
        </w:rPr>
        <w:t xml:space="preserve"> </w:t>
      </w:r>
      <w:r w:rsidR="006A2069" w:rsidRPr="006A2069">
        <w:rPr>
          <w:rFonts w:cs="Calibri"/>
        </w:rPr>
        <w:t xml:space="preserve">Спад от 499 хил. лв. </w:t>
      </w:r>
      <w:r w:rsidR="006A2069" w:rsidRPr="006A2069">
        <w:rPr>
          <w:rFonts w:cs="Calibri"/>
          <w:lang w:val="en-US"/>
        </w:rPr>
        <w:t>(</w:t>
      </w:r>
      <w:r w:rsidR="006A2069" w:rsidRPr="006A2069">
        <w:rPr>
          <w:rFonts w:cs="Calibri"/>
        </w:rPr>
        <w:t xml:space="preserve">или </w:t>
      </w:r>
      <w:r w:rsidR="00630368">
        <w:rPr>
          <w:rFonts w:cs="Calibri"/>
        </w:rPr>
        <w:t xml:space="preserve">с </w:t>
      </w:r>
      <w:r w:rsidR="006A2069" w:rsidRPr="006A2069">
        <w:rPr>
          <w:rFonts w:cs="Calibri"/>
          <w:lang w:val="en-US"/>
        </w:rPr>
        <w:t xml:space="preserve">40%) </w:t>
      </w:r>
      <w:r w:rsidR="006A2069" w:rsidRPr="006A2069">
        <w:rPr>
          <w:rFonts w:cs="Calibri"/>
        </w:rPr>
        <w:t xml:space="preserve">се наблюдава и при задълженията към доставчици, а задълженията за данъци нарастват с 329 хил. лв. </w:t>
      </w:r>
      <w:r w:rsidR="006A2069" w:rsidRPr="006A2069">
        <w:rPr>
          <w:rFonts w:cs="Calibri"/>
          <w:lang w:val="en-US"/>
        </w:rPr>
        <w:t>(</w:t>
      </w:r>
      <w:r w:rsidR="006A2069" w:rsidRPr="006A2069">
        <w:rPr>
          <w:rFonts w:cs="Calibri"/>
        </w:rPr>
        <w:t xml:space="preserve">или </w:t>
      </w:r>
      <w:r w:rsidR="00630368">
        <w:rPr>
          <w:rFonts w:cs="Calibri"/>
        </w:rPr>
        <w:t xml:space="preserve">със </w:t>
      </w:r>
      <w:r w:rsidR="006A2069" w:rsidRPr="006A2069">
        <w:rPr>
          <w:rFonts w:cs="Calibri"/>
          <w:lang w:val="en-US"/>
        </w:rPr>
        <w:t>1</w:t>
      </w:r>
      <w:r w:rsidR="001D0832">
        <w:rPr>
          <w:rFonts w:cs="Calibri"/>
        </w:rPr>
        <w:t>77</w:t>
      </w:r>
      <w:r w:rsidR="006A2069" w:rsidRPr="006A2069">
        <w:rPr>
          <w:rFonts w:cs="Calibri"/>
          <w:lang w:val="en-US"/>
        </w:rPr>
        <w:t>%)</w:t>
      </w:r>
      <w:r w:rsidR="006A2069" w:rsidRPr="006A2069">
        <w:rPr>
          <w:rFonts w:cs="Calibri"/>
        </w:rPr>
        <w:t xml:space="preserve"> </w:t>
      </w:r>
      <w:r w:rsidR="00C03EDE" w:rsidRPr="006A2069">
        <w:rPr>
          <w:rFonts w:cs="Calibri"/>
        </w:rPr>
        <w:t>.</w:t>
      </w:r>
    </w:p>
    <w:p w:rsidR="00D65947" w:rsidRPr="003019F2" w:rsidRDefault="00D65947" w:rsidP="0098559B">
      <w:pPr>
        <w:pStyle w:val="SubNumbers"/>
        <w:ind w:left="1418" w:hanging="916"/>
        <w:rPr>
          <w:rFonts w:cs="Calibri"/>
        </w:rPr>
      </w:pPr>
      <w:bookmarkStart w:id="89" w:name="_Ref1917157"/>
      <w:bookmarkStart w:id="90" w:name="_Ref1917178"/>
      <w:bookmarkStart w:id="91" w:name="_Toc42271175"/>
      <w:r w:rsidRPr="003019F2">
        <w:rPr>
          <w:rFonts w:cs="Calibri"/>
        </w:rPr>
        <w:t>Приходи/разходи</w:t>
      </w:r>
      <w:bookmarkEnd w:id="87"/>
      <w:bookmarkEnd w:id="89"/>
      <w:bookmarkEnd w:id="90"/>
      <w:bookmarkEnd w:id="91"/>
    </w:p>
    <w:p w:rsidR="003019F2" w:rsidRDefault="00801A77" w:rsidP="00ED05A7">
      <w:pPr>
        <w:spacing w:line="276" w:lineRule="auto"/>
        <w:rPr>
          <w:rFonts w:cs="Calibri"/>
          <w:szCs w:val="22"/>
          <w:highlight w:val="yellow"/>
        </w:rPr>
      </w:pPr>
      <w:r w:rsidRPr="003019F2">
        <w:rPr>
          <w:rFonts w:cs="Calibri"/>
          <w:szCs w:val="22"/>
        </w:rPr>
        <w:t xml:space="preserve">По отношение на Приходите от </w:t>
      </w:r>
      <w:r w:rsidR="00215555" w:rsidRPr="003019F2">
        <w:rPr>
          <w:rFonts w:cs="Calibri"/>
          <w:szCs w:val="22"/>
        </w:rPr>
        <w:t>договори с клиенти</w:t>
      </w:r>
      <w:r w:rsidRPr="003019F2">
        <w:rPr>
          <w:rFonts w:cs="Calibri"/>
          <w:szCs w:val="22"/>
        </w:rPr>
        <w:t xml:space="preserve">, </w:t>
      </w:r>
      <w:r w:rsidR="00226E54" w:rsidRPr="003019F2">
        <w:rPr>
          <w:rFonts w:cs="Calibri"/>
          <w:szCs w:val="22"/>
        </w:rPr>
        <w:t>Групата</w:t>
      </w:r>
      <w:r w:rsidRPr="003019F2">
        <w:rPr>
          <w:rFonts w:cs="Calibri"/>
          <w:szCs w:val="22"/>
        </w:rPr>
        <w:t xml:space="preserve"> реализира ръст спрямо </w:t>
      </w:r>
      <w:r w:rsidR="006F01F5" w:rsidRPr="003019F2">
        <w:rPr>
          <w:rFonts w:cs="Calibri"/>
          <w:szCs w:val="22"/>
        </w:rPr>
        <w:t xml:space="preserve">същия период на </w:t>
      </w:r>
      <w:r w:rsidRPr="00FC5EF4">
        <w:rPr>
          <w:rFonts w:cs="Calibri"/>
          <w:szCs w:val="22"/>
        </w:rPr>
        <w:t>201</w:t>
      </w:r>
      <w:r w:rsidR="003019F2" w:rsidRPr="00FC5EF4">
        <w:rPr>
          <w:rFonts w:cs="Calibri"/>
          <w:szCs w:val="22"/>
        </w:rPr>
        <w:t>9</w:t>
      </w:r>
      <w:r w:rsidRPr="00FC5EF4">
        <w:rPr>
          <w:rFonts w:cs="Calibri"/>
          <w:szCs w:val="22"/>
        </w:rPr>
        <w:t xml:space="preserve"> г. от </w:t>
      </w:r>
      <w:r w:rsidR="003019F2" w:rsidRPr="00FC5EF4">
        <w:rPr>
          <w:rFonts w:cs="Calibri"/>
          <w:szCs w:val="22"/>
        </w:rPr>
        <w:t>212 хил. лв. или 8</w:t>
      </w:r>
      <w:r w:rsidRPr="00FC5EF4">
        <w:rPr>
          <w:rFonts w:cs="Calibri"/>
          <w:szCs w:val="22"/>
        </w:rPr>
        <w:t xml:space="preserve">%, който се дължи главно на </w:t>
      </w:r>
      <w:r w:rsidR="00226E54" w:rsidRPr="00FC5EF4">
        <w:rPr>
          <w:rFonts w:cs="Calibri"/>
          <w:szCs w:val="22"/>
        </w:rPr>
        <w:t>консолидацията на приходите</w:t>
      </w:r>
      <w:r w:rsidRPr="00FC5EF4">
        <w:rPr>
          <w:rFonts w:cs="Calibri"/>
          <w:szCs w:val="22"/>
        </w:rPr>
        <w:t xml:space="preserve"> </w:t>
      </w:r>
      <w:r w:rsidR="00226E54" w:rsidRPr="00FC5EF4">
        <w:rPr>
          <w:rFonts w:cs="Calibri"/>
          <w:szCs w:val="22"/>
        </w:rPr>
        <w:t xml:space="preserve">на БНЕБ, отразени в Такса </w:t>
      </w:r>
      <w:r w:rsidR="00FC5EF4" w:rsidRPr="00FC5EF4">
        <w:rPr>
          <w:rFonts w:cs="Calibri"/>
          <w:szCs w:val="22"/>
        </w:rPr>
        <w:t>за търговия с електрическа енергия</w:t>
      </w:r>
      <w:r w:rsidR="006111AF" w:rsidRPr="00FC5EF4">
        <w:rPr>
          <w:rFonts w:cs="Calibri"/>
          <w:szCs w:val="22"/>
        </w:rPr>
        <w:t xml:space="preserve"> </w:t>
      </w:r>
      <w:r w:rsidR="00226E54" w:rsidRPr="00FC5EF4">
        <w:rPr>
          <w:rFonts w:cs="Calibri"/>
          <w:szCs w:val="22"/>
        </w:rPr>
        <w:t>(</w:t>
      </w:r>
      <w:r w:rsidR="006F01F5" w:rsidRPr="00FC5EF4">
        <w:rPr>
          <w:rFonts w:cs="Calibri"/>
          <w:szCs w:val="22"/>
        </w:rPr>
        <w:t xml:space="preserve">ръст от </w:t>
      </w:r>
      <w:r w:rsidR="00FC5EF4" w:rsidRPr="00FC5EF4">
        <w:rPr>
          <w:rFonts w:cs="Calibri"/>
          <w:szCs w:val="22"/>
        </w:rPr>
        <w:t>293</w:t>
      </w:r>
      <w:r w:rsidR="001C4581" w:rsidRPr="00FC5EF4">
        <w:rPr>
          <w:rFonts w:cs="Calibri"/>
          <w:szCs w:val="22"/>
        </w:rPr>
        <w:t xml:space="preserve"> </w:t>
      </w:r>
      <w:r w:rsidR="00226E54" w:rsidRPr="00FC5EF4">
        <w:rPr>
          <w:rFonts w:cs="Calibri"/>
          <w:szCs w:val="22"/>
        </w:rPr>
        <w:t xml:space="preserve">хил. лв.). По </w:t>
      </w:r>
      <w:r w:rsidR="00ED05A7" w:rsidRPr="00FC5EF4">
        <w:rPr>
          <w:rFonts w:cs="Calibri"/>
          <w:szCs w:val="22"/>
        </w:rPr>
        <w:t>отношение приходите на дружеството-майка</w:t>
      </w:r>
      <w:r w:rsidR="00863AD9">
        <w:rPr>
          <w:rFonts w:cs="Calibri"/>
          <w:szCs w:val="22"/>
        </w:rPr>
        <w:t>,</w:t>
      </w:r>
      <w:r w:rsidR="006F01F5" w:rsidRPr="00FC5EF4">
        <w:rPr>
          <w:rFonts w:cs="Calibri"/>
          <w:szCs w:val="22"/>
        </w:rPr>
        <w:t xml:space="preserve"> </w:t>
      </w:r>
      <w:r w:rsidR="00FC5EF4">
        <w:rPr>
          <w:rFonts w:cs="Calibri"/>
          <w:szCs w:val="22"/>
        </w:rPr>
        <w:t xml:space="preserve">Таксите за регистрация на дружества и за Информационно обслужване </w:t>
      </w:r>
      <w:r w:rsidR="00FC5EF4" w:rsidRPr="00FC5EF4">
        <w:rPr>
          <w:rFonts w:cs="Calibri"/>
          <w:szCs w:val="22"/>
        </w:rPr>
        <w:t>нарас</w:t>
      </w:r>
      <w:r w:rsidR="00863AD9">
        <w:rPr>
          <w:rFonts w:cs="Calibri"/>
          <w:szCs w:val="22"/>
        </w:rPr>
        <w:t>т</w:t>
      </w:r>
      <w:r w:rsidR="00FC5EF4" w:rsidRPr="00FC5EF4">
        <w:rPr>
          <w:rFonts w:cs="Calibri"/>
          <w:szCs w:val="22"/>
        </w:rPr>
        <w:t xml:space="preserve">наха незначително съответно до 116 хил. лв.  и 137 хил. лв., а </w:t>
      </w:r>
      <w:r w:rsidR="006F01F5" w:rsidRPr="00FC5EF4">
        <w:rPr>
          <w:rFonts w:cs="Calibri"/>
          <w:szCs w:val="22"/>
        </w:rPr>
        <w:t>Комисио</w:t>
      </w:r>
      <w:r w:rsidRPr="00FC5EF4">
        <w:rPr>
          <w:rFonts w:cs="Calibri"/>
          <w:szCs w:val="22"/>
        </w:rPr>
        <w:t>ни</w:t>
      </w:r>
      <w:r w:rsidR="00FC5EF4" w:rsidRPr="00FC5EF4">
        <w:rPr>
          <w:rFonts w:cs="Calibri"/>
          <w:szCs w:val="22"/>
        </w:rPr>
        <w:t>те</w:t>
      </w:r>
      <w:r w:rsidRPr="00FC5EF4">
        <w:rPr>
          <w:rFonts w:cs="Calibri"/>
          <w:szCs w:val="22"/>
        </w:rPr>
        <w:t xml:space="preserve"> за сделки на Борсата </w:t>
      </w:r>
      <w:r w:rsidR="00FC5EF4" w:rsidRPr="00FC5EF4">
        <w:rPr>
          <w:rFonts w:cs="Calibri"/>
          <w:szCs w:val="22"/>
        </w:rPr>
        <w:t xml:space="preserve">се понижиха с </w:t>
      </w:r>
      <w:r w:rsidR="00FC5EF4">
        <w:rPr>
          <w:rFonts w:cs="Calibri"/>
          <w:szCs w:val="22"/>
        </w:rPr>
        <w:t xml:space="preserve">29 хил. лв. или с </w:t>
      </w:r>
      <w:r w:rsidR="00FC5EF4" w:rsidRPr="00FC5EF4">
        <w:rPr>
          <w:rFonts w:cs="Calibri"/>
          <w:szCs w:val="22"/>
        </w:rPr>
        <w:t>19%</w:t>
      </w:r>
      <w:r w:rsidRPr="00FC5EF4">
        <w:rPr>
          <w:rFonts w:cs="Calibri"/>
          <w:szCs w:val="22"/>
        </w:rPr>
        <w:t xml:space="preserve">. </w:t>
      </w:r>
    </w:p>
    <w:p w:rsidR="00D21435" w:rsidRPr="00D21435" w:rsidRDefault="00801A77" w:rsidP="00ED05A7">
      <w:pPr>
        <w:spacing w:line="276" w:lineRule="auto"/>
        <w:rPr>
          <w:rFonts w:cs="Calibri"/>
          <w:szCs w:val="22"/>
        </w:rPr>
      </w:pPr>
      <w:r w:rsidRPr="00D21435">
        <w:rPr>
          <w:rFonts w:cs="Calibri"/>
          <w:szCs w:val="22"/>
        </w:rPr>
        <w:t xml:space="preserve">„Финансовите приходи“ </w:t>
      </w:r>
      <w:r w:rsidR="006418C9">
        <w:rPr>
          <w:rFonts w:cs="Calibri"/>
          <w:szCs w:val="22"/>
        </w:rPr>
        <w:t>отбелязват леко увеличение</w:t>
      </w:r>
      <w:r w:rsidR="00EA4C65" w:rsidRPr="00D21435">
        <w:rPr>
          <w:rFonts w:cs="Calibri"/>
          <w:szCs w:val="22"/>
        </w:rPr>
        <w:t xml:space="preserve"> </w:t>
      </w:r>
      <w:r w:rsidRPr="00D21435">
        <w:rPr>
          <w:rFonts w:cs="Calibri"/>
          <w:szCs w:val="22"/>
        </w:rPr>
        <w:t xml:space="preserve">през </w:t>
      </w:r>
      <w:r w:rsidR="006F01F5" w:rsidRPr="00D21435">
        <w:rPr>
          <w:rFonts w:cs="Calibri"/>
          <w:szCs w:val="22"/>
        </w:rPr>
        <w:t xml:space="preserve">първото тримесечие на </w:t>
      </w:r>
      <w:r w:rsidR="00ED05A7" w:rsidRPr="00D21435">
        <w:rPr>
          <w:rFonts w:cs="Calibri"/>
          <w:szCs w:val="22"/>
        </w:rPr>
        <w:t>20</w:t>
      </w:r>
      <w:r w:rsidR="003019F2" w:rsidRPr="00D21435">
        <w:rPr>
          <w:rFonts w:cs="Calibri"/>
          <w:szCs w:val="22"/>
        </w:rPr>
        <w:t>20</w:t>
      </w:r>
      <w:r w:rsidR="00ED05A7" w:rsidRPr="00D21435">
        <w:rPr>
          <w:rFonts w:cs="Calibri"/>
          <w:szCs w:val="22"/>
        </w:rPr>
        <w:t xml:space="preserve"> година </w:t>
      </w:r>
      <w:r w:rsidRPr="00D21435">
        <w:rPr>
          <w:rFonts w:cs="Calibri"/>
          <w:szCs w:val="22"/>
        </w:rPr>
        <w:lastRenderedPageBreak/>
        <w:t xml:space="preserve">заради отчетените в тях </w:t>
      </w:r>
      <w:r w:rsidR="001C4581" w:rsidRPr="00D21435">
        <w:rPr>
          <w:rFonts w:cs="Calibri"/>
          <w:szCs w:val="22"/>
        </w:rPr>
        <w:t xml:space="preserve">Приходи от лихви по </w:t>
      </w:r>
      <w:r w:rsidR="00D21435" w:rsidRPr="00D21435">
        <w:rPr>
          <w:rFonts w:cs="Calibri"/>
          <w:szCs w:val="22"/>
        </w:rPr>
        <w:t>дългови ценни книжа и възлизат на</w:t>
      </w:r>
      <w:r w:rsidR="006F01F5" w:rsidRPr="00D21435">
        <w:rPr>
          <w:rFonts w:cs="Calibri"/>
          <w:szCs w:val="22"/>
        </w:rPr>
        <w:t xml:space="preserve"> </w:t>
      </w:r>
      <w:r w:rsidR="00863AD9">
        <w:rPr>
          <w:rFonts w:cs="Calibri"/>
          <w:szCs w:val="22"/>
        </w:rPr>
        <w:t>20</w:t>
      </w:r>
      <w:r w:rsidR="006F01F5" w:rsidRPr="00D21435">
        <w:rPr>
          <w:rFonts w:cs="Calibri"/>
          <w:szCs w:val="22"/>
        </w:rPr>
        <w:t xml:space="preserve"> хил. лв.</w:t>
      </w:r>
      <w:r w:rsidRPr="00D21435">
        <w:rPr>
          <w:rFonts w:cs="Calibri"/>
          <w:szCs w:val="22"/>
        </w:rPr>
        <w:t xml:space="preserve"> </w:t>
      </w:r>
      <w:r w:rsidR="00D21435">
        <w:rPr>
          <w:rFonts w:cs="Calibri"/>
          <w:szCs w:val="22"/>
        </w:rPr>
        <w:t xml:space="preserve">По позицията </w:t>
      </w:r>
      <w:r w:rsidR="00863AD9">
        <w:rPr>
          <w:rFonts w:cs="Calibri"/>
          <w:szCs w:val="22"/>
        </w:rPr>
        <w:t>„</w:t>
      </w:r>
      <w:r w:rsidR="00D21435">
        <w:rPr>
          <w:rFonts w:cs="Calibri"/>
          <w:szCs w:val="22"/>
        </w:rPr>
        <w:t>Други доходи от дейността</w:t>
      </w:r>
      <w:r w:rsidR="00863AD9">
        <w:rPr>
          <w:rFonts w:cs="Calibri"/>
          <w:szCs w:val="22"/>
        </w:rPr>
        <w:t>”</w:t>
      </w:r>
      <w:r w:rsidR="00D21435">
        <w:rPr>
          <w:rFonts w:cs="Calibri"/>
          <w:szCs w:val="22"/>
        </w:rPr>
        <w:t xml:space="preserve"> има ръст от 13 хил. лв.</w:t>
      </w:r>
      <w:r w:rsidR="00863AD9">
        <w:rPr>
          <w:rFonts w:cs="Calibri"/>
          <w:szCs w:val="22"/>
        </w:rPr>
        <w:t xml:space="preserve"> </w:t>
      </w:r>
      <w:r w:rsidR="00D21435">
        <w:rPr>
          <w:rFonts w:cs="Calibri"/>
          <w:szCs w:val="22"/>
          <w:lang w:val="en-US"/>
        </w:rPr>
        <w:t>(30%)</w:t>
      </w:r>
      <w:r w:rsidR="00D21435">
        <w:rPr>
          <w:rFonts w:cs="Calibri"/>
          <w:szCs w:val="22"/>
        </w:rPr>
        <w:t>, който се дължи на приходи от финансирания.</w:t>
      </w:r>
    </w:p>
    <w:p w:rsidR="00801A77" w:rsidRPr="00D21435" w:rsidRDefault="00801A77" w:rsidP="00ED05A7">
      <w:pPr>
        <w:spacing w:line="276" w:lineRule="auto"/>
        <w:rPr>
          <w:rFonts w:cs="Calibri"/>
          <w:szCs w:val="22"/>
        </w:rPr>
      </w:pPr>
      <w:r w:rsidRPr="00D21435">
        <w:rPr>
          <w:rFonts w:cs="Calibri"/>
          <w:szCs w:val="22"/>
        </w:rPr>
        <w:t xml:space="preserve">По останалите приходни пера има </w:t>
      </w:r>
      <w:r w:rsidR="00863AD9">
        <w:rPr>
          <w:rFonts w:cs="Calibri"/>
          <w:szCs w:val="22"/>
        </w:rPr>
        <w:t>несъществено</w:t>
      </w:r>
      <w:r w:rsidRPr="00D21435">
        <w:rPr>
          <w:rFonts w:cs="Calibri"/>
          <w:szCs w:val="22"/>
        </w:rPr>
        <w:t xml:space="preserve"> в абсолютна стойност </w:t>
      </w:r>
      <w:r w:rsidR="007418F0">
        <w:rPr>
          <w:rFonts w:cs="Calibri"/>
          <w:szCs w:val="22"/>
        </w:rPr>
        <w:t>изменение</w:t>
      </w:r>
      <w:r w:rsidRPr="00D21435">
        <w:rPr>
          <w:rFonts w:cs="Calibri"/>
          <w:szCs w:val="22"/>
        </w:rPr>
        <w:t>.</w:t>
      </w:r>
    </w:p>
    <w:p w:rsidR="003019F2" w:rsidRPr="0010495A" w:rsidRDefault="00801A77" w:rsidP="003019F2">
      <w:pPr>
        <w:spacing w:line="276" w:lineRule="auto"/>
        <w:rPr>
          <w:rFonts w:cs="Calibri"/>
          <w:szCs w:val="22"/>
        </w:rPr>
      </w:pPr>
      <w:r w:rsidRPr="000E1EF5">
        <w:rPr>
          <w:rFonts w:cs="Calibri"/>
        </w:rPr>
        <w:t xml:space="preserve">По основните разходни пера </w:t>
      </w:r>
      <w:r w:rsidR="00BB6ADC">
        <w:rPr>
          <w:rFonts w:cs="Calibri"/>
        </w:rPr>
        <w:t>се отчита</w:t>
      </w:r>
      <w:r w:rsidRPr="000E1EF5">
        <w:rPr>
          <w:rFonts w:cs="Calibri"/>
        </w:rPr>
        <w:t xml:space="preserve"> ръст от </w:t>
      </w:r>
      <w:r w:rsidR="0010495A" w:rsidRPr="000E1EF5">
        <w:rPr>
          <w:rFonts w:cs="Calibri"/>
        </w:rPr>
        <w:t>25</w:t>
      </w:r>
      <w:r w:rsidRPr="000E1EF5">
        <w:rPr>
          <w:rFonts w:cs="Calibri"/>
        </w:rPr>
        <w:t xml:space="preserve">% спрямо </w:t>
      </w:r>
      <w:r w:rsidR="0010495A" w:rsidRPr="000E1EF5">
        <w:rPr>
          <w:rFonts w:cs="Calibri"/>
        </w:rPr>
        <w:t>първо тримесечие на 2019 г</w:t>
      </w:r>
      <w:r w:rsidRPr="000E1EF5">
        <w:rPr>
          <w:rFonts w:cs="Calibri"/>
        </w:rPr>
        <w:t>. Нарастване с</w:t>
      </w:r>
      <w:r w:rsidR="00250278" w:rsidRPr="000E1EF5">
        <w:rPr>
          <w:rFonts w:cs="Calibri"/>
        </w:rPr>
        <w:t>ъс</w:t>
      </w:r>
      <w:r w:rsidRPr="000E1EF5">
        <w:rPr>
          <w:rFonts w:cs="Calibri"/>
        </w:rPr>
        <w:t xml:space="preserve"> </w:t>
      </w:r>
      <w:r w:rsidR="0028492D" w:rsidRPr="000E1EF5">
        <w:rPr>
          <w:rFonts w:cs="Calibri"/>
        </w:rPr>
        <w:t>1</w:t>
      </w:r>
      <w:r w:rsidR="0010495A" w:rsidRPr="000E1EF5">
        <w:rPr>
          <w:rFonts w:cs="Calibri"/>
        </w:rPr>
        <w:t>62</w:t>
      </w:r>
      <w:r w:rsidR="0028492D" w:rsidRPr="000E1EF5">
        <w:rPr>
          <w:rFonts w:cs="Calibri"/>
        </w:rPr>
        <w:t xml:space="preserve"> </w:t>
      </w:r>
      <w:r w:rsidRPr="000E1EF5">
        <w:rPr>
          <w:rFonts w:cs="Calibri"/>
        </w:rPr>
        <w:t xml:space="preserve">хиляди лева </w:t>
      </w:r>
      <w:r w:rsidR="004C2F86">
        <w:rPr>
          <w:rFonts w:cs="Calibri"/>
          <w:lang w:val="en-US"/>
        </w:rPr>
        <w:t>(</w:t>
      </w:r>
      <w:r w:rsidRPr="000E1EF5">
        <w:rPr>
          <w:rFonts w:cs="Calibri"/>
        </w:rPr>
        <w:t xml:space="preserve">или </w:t>
      </w:r>
      <w:r w:rsidR="00250278" w:rsidRPr="000E1EF5">
        <w:rPr>
          <w:rFonts w:cs="Calibri"/>
        </w:rPr>
        <w:t>3</w:t>
      </w:r>
      <w:r w:rsidR="0010495A" w:rsidRPr="000E1EF5">
        <w:rPr>
          <w:rFonts w:cs="Calibri"/>
        </w:rPr>
        <w:t>4</w:t>
      </w:r>
      <w:r w:rsidRPr="000E1EF5">
        <w:rPr>
          <w:rFonts w:cs="Calibri"/>
        </w:rPr>
        <w:t>%</w:t>
      </w:r>
      <w:r w:rsidR="004C2F86">
        <w:rPr>
          <w:rFonts w:cs="Calibri"/>
          <w:lang w:val="en-US"/>
        </w:rPr>
        <w:t>)</w:t>
      </w:r>
      <w:r w:rsidRPr="000E1EF5">
        <w:rPr>
          <w:rFonts w:cs="Calibri"/>
        </w:rPr>
        <w:t xml:space="preserve"> има при „Разходи за външни услуги“</w:t>
      </w:r>
      <w:r w:rsidR="00A72E31" w:rsidRPr="000E1EF5">
        <w:rPr>
          <w:rFonts w:cs="Calibri"/>
        </w:rPr>
        <w:t>, което се дължи основно на ръст в „</w:t>
      </w:r>
      <w:r w:rsidR="000E1EF5" w:rsidRPr="000E1EF5">
        <w:rPr>
          <w:rFonts w:cs="Calibri"/>
        </w:rPr>
        <w:t>Абонаментни и л</w:t>
      </w:r>
      <w:r w:rsidR="00A72E31" w:rsidRPr="000E1EF5">
        <w:rPr>
          <w:rFonts w:cs="Calibri"/>
        </w:rPr>
        <w:t>ицензионни такси“, които дружествата в Групата заплащат за използване на различните информационни системи, необходими за осигуряване на правилното функциониране на пазарната инфраструктура</w:t>
      </w:r>
      <w:r w:rsidR="000E1EF5" w:rsidRPr="000E1EF5">
        <w:rPr>
          <w:rFonts w:cs="Calibri"/>
        </w:rPr>
        <w:t xml:space="preserve"> и ръст в  „Други разходи”</w:t>
      </w:r>
      <w:r w:rsidR="00A72E31" w:rsidRPr="000E1EF5">
        <w:rPr>
          <w:rFonts w:cs="Calibri"/>
        </w:rPr>
        <w:t xml:space="preserve">. </w:t>
      </w:r>
      <w:r w:rsidRPr="0010495A">
        <w:rPr>
          <w:rFonts w:cs="Calibri"/>
        </w:rPr>
        <w:t xml:space="preserve">„Разходи за персонала“ на свой ред се увеличават с </w:t>
      </w:r>
      <w:r w:rsidR="0010495A" w:rsidRPr="0010495A">
        <w:rPr>
          <w:rFonts w:cs="Calibri"/>
        </w:rPr>
        <w:t>18</w:t>
      </w:r>
      <w:r w:rsidRPr="0010495A">
        <w:rPr>
          <w:rFonts w:cs="Calibri"/>
        </w:rPr>
        <w:t xml:space="preserve">% </w:t>
      </w:r>
      <w:r w:rsidR="004C2F86">
        <w:rPr>
          <w:rFonts w:cs="Calibri"/>
          <w:lang w:val="en-US"/>
        </w:rPr>
        <w:t>(</w:t>
      </w:r>
      <w:r w:rsidRPr="0010495A">
        <w:rPr>
          <w:rFonts w:cs="Calibri"/>
        </w:rPr>
        <w:t xml:space="preserve">или </w:t>
      </w:r>
      <w:r w:rsidR="00250278" w:rsidRPr="0010495A">
        <w:rPr>
          <w:rFonts w:cs="Calibri"/>
        </w:rPr>
        <w:t>1</w:t>
      </w:r>
      <w:r w:rsidR="0010495A" w:rsidRPr="0010495A">
        <w:rPr>
          <w:rFonts w:cs="Calibri"/>
        </w:rPr>
        <w:t>10</w:t>
      </w:r>
      <w:r w:rsidRPr="0010495A">
        <w:rPr>
          <w:rFonts w:cs="Calibri"/>
        </w:rPr>
        <w:t xml:space="preserve"> хил. лева</w:t>
      </w:r>
      <w:r w:rsidR="004C2F86">
        <w:rPr>
          <w:rFonts w:cs="Calibri"/>
          <w:lang w:val="en-US"/>
        </w:rPr>
        <w:t>)</w:t>
      </w:r>
      <w:r w:rsidR="0010495A" w:rsidRPr="0010495A">
        <w:rPr>
          <w:rFonts w:cs="Calibri"/>
        </w:rPr>
        <w:t>, а тези за амортизации нарастват със 79 хил. л</w:t>
      </w:r>
      <w:r w:rsidR="00BB6ADC">
        <w:rPr>
          <w:rFonts w:cs="Calibri"/>
        </w:rPr>
        <w:t>е</w:t>
      </w:r>
      <w:r w:rsidR="0010495A" w:rsidRPr="0010495A">
        <w:rPr>
          <w:rFonts w:cs="Calibri"/>
        </w:rPr>
        <w:t xml:space="preserve">ва </w:t>
      </w:r>
      <w:r w:rsidR="004C2F86">
        <w:rPr>
          <w:rFonts w:cs="Calibri"/>
          <w:lang w:val="en-US"/>
        </w:rPr>
        <w:t>(</w:t>
      </w:r>
      <w:r w:rsidR="0010495A" w:rsidRPr="0010495A">
        <w:rPr>
          <w:rFonts w:cs="Calibri"/>
        </w:rPr>
        <w:t>или със 113%</w:t>
      </w:r>
      <w:r w:rsidR="004C2F86">
        <w:rPr>
          <w:rFonts w:cs="Calibri"/>
          <w:lang w:val="en-US"/>
        </w:rPr>
        <w:t>)</w:t>
      </w:r>
      <w:r w:rsidRPr="0010495A">
        <w:rPr>
          <w:rFonts w:cs="Calibri"/>
        </w:rPr>
        <w:t>. Промяната в останалите разходни пера е незначителна</w:t>
      </w:r>
      <w:r w:rsidR="00ED05A7" w:rsidRPr="0010495A">
        <w:rPr>
          <w:rFonts w:cs="Calibri"/>
        </w:rPr>
        <w:t xml:space="preserve"> в абсолютна стойност</w:t>
      </w:r>
      <w:r w:rsidR="00A13704" w:rsidRPr="0010495A">
        <w:rPr>
          <w:rFonts w:cs="Calibri"/>
        </w:rPr>
        <w:t>.</w:t>
      </w:r>
      <w:r w:rsidR="003019F2" w:rsidRPr="0010495A">
        <w:rPr>
          <w:rFonts w:cs="Calibri"/>
          <w:szCs w:val="22"/>
        </w:rPr>
        <w:t xml:space="preserve"> </w:t>
      </w:r>
    </w:p>
    <w:p w:rsidR="003019F2" w:rsidRPr="0010495A" w:rsidRDefault="003019F2" w:rsidP="003019F2">
      <w:pPr>
        <w:spacing w:line="276" w:lineRule="auto"/>
        <w:rPr>
          <w:rFonts w:cs="Calibri"/>
        </w:rPr>
      </w:pPr>
      <w:r w:rsidRPr="000E1EF5">
        <w:rPr>
          <w:rFonts w:cs="Calibri"/>
          <w:szCs w:val="22"/>
        </w:rPr>
        <w:t>Към 31.12.201</w:t>
      </w:r>
      <w:r w:rsidR="0010495A" w:rsidRPr="000E1EF5">
        <w:rPr>
          <w:rFonts w:cs="Calibri"/>
          <w:szCs w:val="22"/>
        </w:rPr>
        <w:t>9</w:t>
      </w:r>
      <w:r w:rsidRPr="000E1EF5">
        <w:rPr>
          <w:rFonts w:cs="Calibri"/>
          <w:szCs w:val="22"/>
        </w:rPr>
        <w:t xml:space="preserve"> г. бе реализирана печалба от оперативна дейност на Групата в размер на </w:t>
      </w:r>
      <w:r w:rsidR="000E1EF5" w:rsidRPr="000E1EF5">
        <w:rPr>
          <w:rFonts w:cs="Calibri"/>
          <w:szCs w:val="22"/>
        </w:rPr>
        <w:t>1 520</w:t>
      </w:r>
      <w:r w:rsidRPr="000E1EF5">
        <w:rPr>
          <w:rFonts w:cs="Calibri"/>
          <w:szCs w:val="22"/>
        </w:rPr>
        <w:t xml:space="preserve"> хил. лв., а през текущия период оперативната печалба </w:t>
      </w:r>
      <w:r w:rsidR="000E1EF5" w:rsidRPr="000E1EF5">
        <w:rPr>
          <w:rFonts w:cs="Calibri"/>
          <w:szCs w:val="22"/>
        </w:rPr>
        <w:t xml:space="preserve">се понижава със 110 хил. лв. и е в размер на </w:t>
      </w:r>
      <w:r w:rsidRPr="000E1EF5">
        <w:rPr>
          <w:rFonts w:cs="Calibri"/>
          <w:szCs w:val="22"/>
        </w:rPr>
        <w:t xml:space="preserve">1 </w:t>
      </w:r>
      <w:r w:rsidR="000E1EF5" w:rsidRPr="000E1EF5">
        <w:rPr>
          <w:rFonts w:cs="Calibri"/>
          <w:szCs w:val="22"/>
        </w:rPr>
        <w:t>410</w:t>
      </w:r>
      <w:r w:rsidRPr="000E1EF5">
        <w:rPr>
          <w:rFonts w:cs="Calibri"/>
          <w:szCs w:val="22"/>
        </w:rPr>
        <w:t xml:space="preserve"> хил. лв. Печалбата</w:t>
      </w:r>
      <w:r w:rsidRPr="00574838">
        <w:rPr>
          <w:rFonts w:cs="Calibri"/>
          <w:szCs w:val="22"/>
        </w:rPr>
        <w:t xml:space="preserve"> от оперативна дейност е в следствие на консолидацията на приходите на дъщерното дружество</w:t>
      </w:r>
      <w:r w:rsidRPr="00574838">
        <w:rPr>
          <w:rFonts w:cs="Calibri"/>
        </w:rPr>
        <w:t xml:space="preserve"> </w:t>
      </w:r>
      <w:r w:rsidR="00574838">
        <w:rPr>
          <w:rFonts w:cs="Calibri"/>
        </w:rPr>
        <w:t>„</w:t>
      </w:r>
      <w:r w:rsidRPr="00574838">
        <w:rPr>
          <w:rFonts w:cs="Calibri"/>
        </w:rPr>
        <w:t>Българска независима енергийна борса</w:t>
      </w:r>
      <w:r w:rsidR="00574838">
        <w:rPr>
          <w:rFonts w:cs="Calibri"/>
        </w:rPr>
        <w:t>”,</w:t>
      </w:r>
      <w:r w:rsidRPr="00574838">
        <w:rPr>
          <w:rFonts w:cs="Calibri"/>
        </w:rPr>
        <w:t xml:space="preserve"> на фона на ниските нива на приходите от основната дейност на дружеството-майка, по-конкретно – ниските приходи от </w:t>
      </w:r>
      <w:r w:rsidR="00574838" w:rsidRPr="00574838">
        <w:rPr>
          <w:rFonts w:cs="Calibri"/>
        </w:rPr>
        <w:t>Такси за регистрация на дружества</w:t>
      </w:r>
      <w:r w:rsidRPr="00574838">
        <w:rPr>
          <w:rFonts w:cs="Calibri"/>
          <w:lang w:val="en-US"/>
        </w:rPr>
        <w:t xml:space="preserve"> </w:t>
      </w:r>
      <w:r w:rsidRPr="00574838">
        <w:rPr>
          <w:rFonts w:cs="Calibri"/>
        </w:rPr>
        <w:t xml:space="preserve">и Такси за информационно обслужване. </w:t>
      </w:r>
      <w:r w:rsidRPr="0010495A">
        <w:rPr>
          <w:rFonts w:cs="Calibri"/>
        </w:rPr>
        <w:t xml:space="preserve">Общият всеобхватен доход за периода се променя от 1 </w:t>
      </w:r>
      <w:r w:rsidR="0010495A" w:rsidRPr="0010495A">
        <w:rPr>
          <w:rFonts w:cs="Calibri"/>
        </w:rPr>
        <w:t>350</w:t>
      </w:r>
      <w:r w:rsidRPr="0010495A">
        <w:rPr>
          <w:rFonts w:cs="Calibri"/>
        </w:rPr>
        <w:t xml:space="preserve"> хиляди лева към 31 март 201</w:t>
      </w:r>
      <w:r w:rsidR="0010495A" w:rsidRPr="0010495A">
        <w:rPr>
          <w:rFonts w:cs="Calibri"/>
        </w:rPr>
        <w:t>9</w:t>
      </w:r>
      <w:r w:rsidRPr="0010495A">
        <w:rPr>
          <w:rFonts w:cs="Calibri"/>
        </w:rPr>
        <w:t xml:space="preserve"> година до 1 </w:t>
      </w:r>
      <w:r w:rsidR="0010495A" w:rsidRPr="0010495A">
        <w:rPr>
          <w:rFonts w:cs="Calibri"/>
        </w:rPr>
        <w:t>242</w:t>
      </w:r>
      <w:r w:rsidRPr="0010495A">
        <w:rPr>
          <w:rFonts w:cs="Calibri"/>
        </w:rPr>
        <w:t xml:space="preserve"> хил. лв. в края на отчетния период.</w:t>
      </w:r>
    </w:p>
    <w:p w:rsidR="00D65947" w:rsidRPr="0010495A" w:rsidRDefault="00D65947" w:rsidP="00801A77">
      <w:pPr>
        <w:spacing w:line="276" w:lineRule="auto"/>
        <w:rPr>
          <w:rFonts w:cs="Calibri"/>
        </w:rPr>
      </w:pPr>
    </w:p>
    <w:p w:rsidR="00D65947" w:rsidRPr="00820214" w:rsidRDefault="00D65947" w:rsidP="0098559B">
      <w:pPr>
        <w:pStyle w:val="SubNumbers"/>
        <w:ind w:left="1418" w:hanging="916"/>
        <w:rPr>
          <w:rFonts w:cs="Calibri"/>
        </w:rPr>
      </w:pPr>
      <w:bookmarkStart w:id="92" w:name="_Toc42271176"/>
      <w:r w:rsidRPr="00820214">
        <w:rPr>
          <w:rFonts w:cs="Calibri"/>
        </w:rPr>
        <w:t>Финансов резултат</w:t>
      </w:r>
      <w:bookmarkEnd w:id="88"/>
      <w:bookmarkEnd w:id="92"/>
    </w:p>
    <w:p w:rsidR="00AD71B2" w:rsidRPr="003116F2" w:rsidRDefault="00801A77" w:rsidP="00732D4C">
      <w:pPr>
        <w:spacing w:line="276" w:lineRule="auto"/>
        <w:rPr>
          <w:rFonts w:cs="Calibri"/>
          <w:highlight w:val="yellow"/>
        </w:rPr>
      </w:pPr>
      <w:r w:rsidRPr="00820214">
        <w:rPr>
          <w:rFonts w:cs="Calibri"/>
        </w:rPr>
        <w:t xml:space="preserve">Към края на </w:t>
      </w:r>
      <w:r w:rsidR="00250278" w:rsidRPr="00820214">
        <w:rPr>
          <w:rFonts w:cs="Calibri"/>
        </w:rPr>
        <w:t xml:space="preserve">първото тримесечие на </w:t>
      </w:r>
      <w:r w:rsidRPr="00820214">
        <w:rPr>
          <w:rFonts w:cs="Calibri"/>
        </w:rPr>
        <w:t>20</w:t>
      </w:r>
      <w:r w:rsidR="00EB2852" w:rsidRPr="00820214">
        <w:rPr>
          <w:rFonts w:cs="Calibri"/>
        </w:rPr>
        <w:t>20</w:t>
      </w:r>
      <w:r w:rsidRPr="00820214">
        <w:rPr>
          <w:rFonts w:cs="Calibri"/>
        </w:rPr>
        <w:t xml:space="preserve"> г. нетният финансов резултат, реализиран от </w:t>
      </w:r>
      <w:r w:rsidR="00B52B39" w:rsidRPr="00820214">
        <w:rPr>
          <w:rFonts w:cs="Calibri"/>
        </w:rPr>
        <w:t xml:space="preserve">Група </w:t>
      </w:r>
      <w:r w:rsidRPr="00AD71B2">
        <w:rPr>
          <w:rFonts w:cs="Calibri"/>
        </w:rPr>
        <w:t>„</w:t>
      </w:r>
      <w:r w:rsidR="00165C3F" w:rsidRPr="00AD71B2">
        <w:rPr>
          <w:rFonts w:cs="Calibri"/>
        </w:rPr>
        <w:t>Българска фондова борса</w:t>
      </w:r>
      <w:r w:rsidRPr="00AD71B2">
        <w:rPr>
          <w:rFonts w:cs="Calibri"/>
        </w:rPr>
        <w:t xml:space="preserve">“ АД е печалба в размер на </w:t>
      </w:r>
      <w:r w:rsidR="00250278" w:rsidRPr="00AD71B2">
        <w:rPr>
          <w:rFonts w:cs="Calibri"/>
        </w:rPr>
        <w:t>1</w:t>
      </w:r>
      <w:r w:rsidR="00A72E31" w:rsidRPr="00AD71B2">
        <w:rPr>
          <w:rFonts w:cs="Calibri"/>
        </w:rPr>
        <w:t> </w:t>
      </w:r>
      <w:r w:rsidR="00820214" w:rsidRPr="00AD71B2">
        <w:rPr>
          <w:rFonts w:cs="Calibri"/>
        </w:rPr>
        <w:t>2</w:t>
      </w:r>
      <w:r w:rsidR="00BB753B" w:rsidRPr="00AD71B2">
        <w:rPr>
          <w:rFonts w:cs="Calibri"/>
          <w:lang w:val="en-US"/>
        </w:rPr>
        <w:t>79</w:t>
      </w:r>
      <w:r w:rsidR="00A72E31" w:rsidRPr="00AD71B2">
        <w:rPr>
          <w:rFonts w:cs="Calibri"/>
        </w:rPr>
        <w:t xml:space="preserve"> </w:t>
      </w:r>
      <w:r w:rsidR="00B52B39" w:rsidRPr="00AD71B2">
        <w:rPr>
          <w:rFonts w:cs="Calibri"/>
        </w:rPr>
        <w:t>х</w:t>
      </w:r>
      <w:r w:rsidRPr="00AD71B2">
        <w:rPr>
          <w:rFonts w:cs="Calibri"/>
        </w:rPr>
        <w:t>ил. лв.</w:t>
      </w:r>
      <w:r w:rsidR="00AD71B2" w:rsidRPr="00AD71B2">
        <w:rPr>
          <w:rFonts w:cs="Calibri"/>
        </w:rPr>
        <w:t xml:space="preserve">, което </w:t>
      </w:r>
      <w:r w:rsidR="00AD71B2" w:rsidRPr="00AD71B2">
        <w:rPr>
          <w:rFonts w:cs="Calibri"/>
          <w:lang w:val="en-US"/>
        </w:rPr>
        <w:t xml:space="preserve"> </w:t>
      </w:r>
      <w:r w:rsidRPr="00AD71B2">
        <w:rPr>
          <w:rFonts w:cs="Calibri"/>
        </w:rPr>
        <w:t xml:space="preserve">се дължи главно на </w:t>
      </w:r>
      <w:r w:rsidR="00B52B39" w:rsidRPr="00AD71B2">
        <w:rPr>
          <w:rFonts w:cs="Calibri"/>
        </w:rPr>
        <w:t xml:space="preserve">дъщерното дружество </w:t>
      </w:r>
      <w:r w:rsidR="00BB6ADC">
        <w:rPr>
          <w:rFonts w:cs="Calibri"/>
        </w:rPr>
        <w:t>„</w:t>
      </w:r>
      <w:r w:rsidR="00B52B39" w:rsidRPr="00AD71B2">
        <w:rPr>
          <w:rFonts w:cs="Calibri"/>
        </w:rPr>
        <w:t>Българска независима енергийна борса</w:t>
      </w:r>
      <w:r w:rsidR="00BB6ADC">
        <w:rPr>
          <w:rFonts w:cs="Calibri"/>
        </w:rPr>
        <w:t>”</w:t>
      </w:r>
      <w:r w:rsidR="00AD71B2" w:rsidRPr="00AD71B2">
        <w:rPr>
          <w:rFonts w:cs="Calibri"/>
        </w:rPr>
        <w:t xml:space="preserve">. Финансовият резултат  на Групата </w:t>
      </w:r>
      <w:r w:rsidR="00B52B39" w:rsidRPr="00AD71B2">
        <w:rPr>
          <w:rFonts w:cs="Calibri"/>
        </w:rPr>
        <w:t xml:space="preserve"> </w:t>
      </w:r>
      <w:r w:rsidR="00AD71B2" w:rsidRPr="003116F2">
        <w:rPr>
          <w:rFonts w:cs="Calibri"/>
        </w:rPr>
        <w:t xml:space="preserve">намалява със 71 хил. лв. </w:t>
      </w:r>
      <w:r w:rsidR="00AD71B2" w:rsidRPr="003116F2">
        <w:rPr>
          <w:rFonts w:cs="Calibri"/>
          <w:lang w:val="en-US"/>
        </w:rPr>
        <w:t>(</w:t>
      </w:r>
      <w:r w:rsidR="00BB6ADC">
        <w:rPr>
          <w:rFonts w:cs="Calibri"/>
        </w:rPr>
        <w:t xml:space="preserve"> </w:t>
      </w:r>
      <w:r w:rsidR="00AD71B2" w:rsidRPr="003116F2">
        <w:rPr>
          <w:rFonts w:cs="Calibri"/>
        </w:rPr>
        <w:t>5%</w:t>
      </w:r>
      <w:r w:rsidR="00AD71B2" w:rsidRPr="003116F2">
        <w:rPr>
          <w:rFonts w:cs="Calibri"/>
          <w:lang w:val="en-US"/>
        </w:rPr>
        <w:t>)</w:t>
      </w:r>
      <w:r w:rsidR="00AD71B2" w:rsidRPr="003116F2">
        <w:rPr>
          <w:rFonts w:cs="Calibri"/>
        </w:rPr>
        <w:t xml:space="preserve"> спрямо същия период на миналата година, в резултат на нарастване на разходите за външни услуги, както и на тези за амортизации и за персонал.  </w:t>
      </w:r>
    </w:p>
    <w:p w:rsidR="00AD71B2" w:rsidRPr="003116F2" w:rsidRDefault="00AD71B2" w:rsidP="00732D4C">
      <w:pPr>
        <w:spacing w:line="276" w:lineRule="auto"/>
        <w:rPr>
          <w:rFonts w:cs="Calibri"/>
          <w:highlight w:val="yellow"/>
        </w:rPr>
      </w:pPr>
    </w:p>
    <w:p w:rsidR="00AD71B2" w:rsidRPr="003116F2" w:rsidRDefault="00AD71B2" w:rsidP="00732D4C">
      <w:pPr>
        <w:spacing w:line="276" w:lineRule="auto"/>
        <w:rPr>
          <w:rFonts w:cs="Calibri"/>
          <w:highlight w:val="yellow"/>
        </w:rPr>
      </w:pPr>
    </w:p>
    <w:p w:rsidR="00D65947" w:rsidRPr="003116F2" w:rsidRDefault="00D65947" w:rsidP="0098559B">
      <w:pPr>
        <w:pStyle w:val="SubNumbers"/>
        <w:ind w:left="1418" w:hanging="916"/>
        <w:rPr>
          <w:rFonts w:cs="Calibri"/>
        </w:rPr>
      </w:pPr>
      <w:bookmarkStart w:id="93" w:name="_Toc42271177"/>
      <w:r w:rsidRPr="003116F2">
        <w:rPr>
          <w:rFonts w:cs="Calibri"/>
        </w:rPr>
        <w:t>Сделки със свързани лица</w:t>
      </w:r>
      <w:bookmarkEnd w:id="93"/>
    </w:p>
    <w:p w:rsidR="00DC2097" w:rsidRPr="00922BF4" w:rsidRDefault="00D65947" w:rsidP="00B24BCA">
      <w:pPr>
        <w:rPr>
          <w:rFonts w:cs="Calibri"/>
        </w:rPr>
      </w:pPr>
      <w:r w:rsidRPr="00922BF4">
        <w:rPr>
          <w:rFonts w:cs="Calibri"/>
        </w:rPr>
        <w:t>Общият размер на сделките със свързани лица през отчетния период е, както следва:</w:t>
      </w:r>
    </w:p>
    <w:p w:rsidR="00250278" w:rsidRPr="00922BF4" w:rsidRDefault="00250278" w:rsidP="00D65947">
      <w:pPr>
        <w:tabs>
          <w:tab w:val="left" w:pos="360"/>
        </w:tabs>
        <w:jc w:val="left"/>
        <w:rPr>
          <w:rFonts w:cs="Calibri"/>
          <w:b/>
          <w:szCs w:val="22"/>
        </w:rPr>
      </w:pPr>
    </w:p>
    <w:p w:rsidR="003A08D2" w:rsidRPr="001C3431" w:rsidRDefault="00D65947" w:rsidP="00D65947">
      <w:pPr>
        <w:tabs>
          <w:tab w:val="left" w:pos="360"/>
        </w:tabs>
        <w:jc w:val="left"/>
        <w:rPr>
          <w:rFonts w:cs="Calibri"/>
          <w:b/>
          <w:szCs w:val="22"/>
        </w:rPr>
      </w:pPr>
      <w:r w:rsidRPr="001C3431">
        <w:rPr>
          <w:rFonts w:cs="Calibri"/>
          <w:b/>
          <w:szCs w:val="22"/>
        </w:rPr>
        <w:t>Таблица 14. Сделки със свързани лица</w:t>
      </w:r>
    </w:p>
    <w:tbl>
      <w:tblPr>
        <w:tblW w:w="10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34"/>
        <w:gridCol w:w="3085"/>
        <w:gridCol w:w="1060"/>
        <w:gridCol w:w="1003"/>
      </w:tblGrid>
      <w:tr w:rsidR="003B5144" w:rsidRPr="001C3431" w:rsidTr="00247BAC">
        <w:trPr>
          <w:trHeight w:val="170"/>
          <w:jc w:val="center"/>
        </w:trPr>
        <w:tc>
          <w:tcPr>
            <w:tcW w:w="5434" w:type="dxa"/>
            <w:shd w:val="clear" w:color="auto" w:fill="4F81BD" w:themeFill="accent1"/>
            <w:noWrap/>
            <w:tcMar>
              <w:left w:w="28" w:type="dxa"/>
              <w:right w:w="57" w:type="dxa"/>
            </w:tcMar>
            <w:vAlign w:val="center"/>
            <w:hideMark/>
          </w:tcPr>
          <w:p w:rsidR="003B5144" w:rsidRPr="001C3431" w:rsidRDefault="003B5144" w:rsidP="00A13704">
            <w:pPr>
              <w:widowControl/>
              <w:jc w:val="center"/>
              <w:rPr>
                <w:rFonts w:cs="Calibri"/>
                <w:b/>
                <w:bCs/>
                <w:color w:val="FFFFFF"/>
                <w:sz w:val="20"/>
                <w:szCs w:val="20"/>
                <w:lang w:eastAsia="en-US"/>
              </w:rPr>
            </w:pPr>
            <w:r w:rsidRPr="001C3431">
              <w:rPr>
                <w:rFonts w:cs="Calibri"/>
                <w:b/>
                <w:bCs/>
                <w:color w:val="FFFFFF"/>
                <w:sz w:val="20"/>
                <w:szCs w:val="20"/>
                <w:lang w:eastAsia="en-US"/>
              </w:rPr>
              <w:t>Продажби на свързани лица</w:t>
            </w:r>
          </w:p>
        </w:tc>
        <w:tc>
          <w:tcPr>
            <w:tcW w:w="3085" w:type="dxa"/>
            <w:shd w:val="clear" w:color="auto" w:fill="4F81BD" w:themeFill="accent1"/>
            <w:noWrap/>
            <w:tcMar>
              <w:left w:w="28" w:type="dxa"/>
              <w:right w:w="57" w:type="dxa"/>
            </w:tcMar>
            <w:vAlign w:val="center"/>
            <w:hideMark/>
          </w:tcPr>
          <w:p w:rsidR="003B5144" w:rsidRPr="001C3431" w:rsidRDefault="003B5144" w:rsidP="00A13704">
            <w:pPr>
              <w:widowControl/>
              <w:jc w:val="center"/>
              <w:rPr>
                <w:rFonts w:cs="Calibri"/>
                <w:b/>
                <w:bCs/>
                <w:color w:val="FFFFFF"/>
                <w:sz w:val="20"/>
                <w:szCs w:val="20"/>
                <w:lang w:eastAsia="en-US"/>
              </w:rPr>
            </w:pPr>
            <w:r w:rsidRPr="001C3431">
              <w:rPr>
                <w:rFonts w:cs="Calibri"/>
                <w:b/>
                <w:bCs/>
                <w:color w:val="FFFFFF"/>
                <w:sz w:val="20"/>
                <w:szCs w:val="20"/>
                <w:lang w:eastAsia="en-US"/>
              </w:rPr>
              <w:t>Свързано лице</w:t>
            </w:r>
          </w:p>
        </w:tc>
        <w:tc>
          <w:tcPr>
            <w:tcW w:w="1060" w:type="dxa"/>
            <w:shd w:val="clear" w:color="auto" w:fill="4F81BD" w:themeFill="accent1"/>
            <w:noWrap/>
            <w:tcMar>
              <w:left w:w="28" w:type="dxa"/>
              <w:right w:w="57" w:type="dxa"/>
            </w:tcMar>
            <w:vAlign w:val="center"/>
            <w:hideMark/>
          </w:tcPr>
          <w:p w:rsidR="003B5144" w:rsidRPr="001C3431" w:rsidRDefault="00DC2097" w:rsidP="001C3431">
            <w:pPr>
              <w:jc w:val="center"/>
              <w:rPr>
                <w:rFonts w:cs="Calibri"/>
                <w:b/>
                <w:bCs/>
                <w:color w:val="FFFFFF"/>
                <w:sz w:val="20"/>
                <w:szCs w:val="20"/>
              </w:rPr>
            </w:pPr>
            <w:r w:rsidRPr="001C3431">
              <w:rPr>
                <w:rFonts w:cs="Calibri"/>
                <w:b/>
                <w:bCs/>
                <w:color w:val="FFFFFF"/>
                <w:sz w:val="20"/>
                <w:szCs w:val="20"/>
              </w:rPr>
              <w:t>31</w:t>
            </w:r>
            <w:r w:rsidR="003B5144" w:rsidRPr="001C3431">
              <w:rPr>
                <w:rFonts w:cs="Calibri"/>
                <w:b/>
                <w:bCs/>
                <w:color w:val="FFFFFF"/>
                <w:sz w:val="20"/>
                <w:szCs w:val="20"/>
              </w:rPr>
              <w:t>.</w:t>
            </w:r>
            <w:r w:rsidR="008D6A03" w:rsidRPr="001C3431">
              <w:rPr>
                <w:rFonts w:cs="Calibri"/>
                <w:b/>
                <w:bCs/>
                <w:color w:val="FFFFFF"/>
                <w:sz w:val="20"/>
                <w:szCs w:val="20"/>
              </w:rPr>
              <w:t>03</w:t>
            </w:r>
            <w:r w:rsidR="003B5144" w:rsidRPr="001C3431">
              <w:rPr>
                <w:rFonts w:cs="Calibri"/>
                <w:b/>
                <w:bCs/>
                <w:color w:val="FFFFFF"/>
                <w:sz w:val="20"/>
                <w:szCs w:val="20"/>
              </w:rPr>
              <w:t>.20</w:t>
            </w:r>
            <w:r w:rsidR="001C3431">
              <w:rPr>
                <w:rFonts w:cs="Calibri"/>
                <w:b/>
                <w:bCs/>
                <w:color w:val="FFFFFF"/>
                <w:sz w:val="20"/>
                <w:szCs w:val="20"/>
              </w:rPr>
              <w:t>20</w:t>
            </w:r>
          </w:p>
        </w:tc>
        <w:tc>
          <w:tcPr>
            <w:tcW w:w="1003" w:type="dxa"/>
            <w:shd w:val="clear" w:color="auto" w:fill="4F81BD" w:themeFill="accent1"/>
            <w:noWrap/>
            <w:tcMar>
              <w:left w:w="28" w:type="dxa"/>
              <w:right w:w="57" w:type="dxa"/>
            </w:tcMar>
            <w:vAlign w:val="center"/>
            <w:hideMark/>
          </w:tcPr>
          <w:p w:rsidR="003B5144" w:rsidRPr="001C3431" w:rsidRDefault="00DC2097" w:rsidP="00DC2097">
            <w:pPr>
              <w:jc w:val="center"/>
              <w:rPr>
                <w:rFonts w:cs="Calibri"/>
                <w:b/>
                <w:bCs/>
                <w:color w:val="FFFFFF"/>
                <w:sz w:val="20"/>
                <w:szCs w:val="20"/>
              </w:rPr>
            </w:pPr>
            <w:r w:rsidRPr="001C3431">
              <w:rPr>
                <w:rFonts w:cs="Calibri"/>
                <w:b/>
                <w:bCs/>
                <w:color w:val="FFFFFF"/>
                <w:sz w:val="20"/>
                <w:szCs w:val="20"/>
              </w:rPr>
              <w:t>31</w:t>
            </w:r>
            <w:r w:rsidR="003B5144" w:rsidRPr="001C3431">
              <w:rPr>
                <w:rFonts w:cs="Calibri"/>
                <w:b/>
                <w:bCs/>
                <w:color w:val="FFFFFF"/>
                <w:sz w:val="20"/>
                <w:szCs w:val="20"/>
              </w:rPr>
              <w:t>.</w:t>
            </w:r>
            <w:r w:rsidR="008D6A03" w:rsidRPr="001C3431">
              <w:rPr>
                <w:rFonts w:cs="Calibri"/>
                <w:b/>
                <w:bCs/>
                <w:color w:val="FFFFFF"/>
                <w:sz w:val="20"/>
                <w:szCs w:val="20"/>
              </w:rPr>
              <w:t>03</w:t>
            </w:r>
            <w:r w:rsidR="00B52B39" w:rsidRPr="001C3431">
              <w:rPr>
                <w:rFonts w:cs="Calibri"/>
                <w:b/>
                <w:bCs/>
                <w:color w:val="FFFFFF"/>
                <w:sz w:val="20"/>
                <w:szCs w:val="20"/>
              </w:rPr>
              <w:t>.201</w:t>
            </w:r>
            <w:r w:rsidR="008D6A03" w:rsidRPr="001C3431">
              <w:rPr>
                <w:rFonts w:cs="Calibri"/>
                <w:b/>
                <w:bCs/>
                <w:color w:val="FFFFFF"/>
                <w:sz w:val="20"/>
                <w:szCs w:val="20"/>
              </w:rPr>
              <w:t>9</w:t>
            </w:r>
          </w:p>
        </w:tc>
      </w:tr>
      <w:tr w:rsidR="003B5144" w:rsidRPr="001C3431" w:rsidTr="00247BAC">
        <w:trPr>
          <w:trHeight w:val="170"/>
          <w:jc w:val="center"/>
        </w:trPr>
        <w:tc>
          <w:tcPr>
            <w:tcW w:w="5434" w:type="dxa"/>
            <w:shd w:val="clear" w:color="auto" w:fill="4F81BD" w:themeFill="accent1"/>
            <w:noWrap/>
            <w:tcMar>
              <w:left w:w="28" w:type="dxa"/>
              <w:right w:w="57" w:type="dxa"/>
            </w:tcMar>
            <w:hideMark/>
          </w:tcPr>
          <w:p w:rsidR="003B5144" w:rsidRPr="001C3431" w:rsidRDefault="003B5144" w:rsidP="00A13704">
            <w:pPr>
              <w:widowControl/>
              <w:jc w:val="left"/>
              <w:rPr>
                <w:rFonts w:cs="Calibri"/>
                <w:color w:val="FFFFFF"/>
                <w:sz w:val="20"/>
                <w:szCs w:val="20"/>
                <w:lang w:eastAsia="en-US"/>
              </w:rPr>
            </w:pPr>
            <w:r w:rsidRPr="001C3431">
              <w:rPr>
                <w:rFonts w:cs="Calibri"/>
                <w:color w:val="FFFFFF"/>
                <w:sz w:val="20"/>
                <w:szCs w:val="20"/>
                <w:lang w:eastAsia="en-US"/>
              </w:rPr>
              <w:t> </w:t>
            </w:r>
          </w:p>
        </w:tc>
        <w:tc>
          <w:tcPr>
            <w:tcW w:w="3085" w:type="dxa"/>
            <w:shd w:val="clear" w:color="auto" w:fill="4F81BD" w:themeFill="accent1"/>
            <w:noWrap/>
            <w:tcMar>
              <w:left w:w="28" w:type="dxa"/>
              <w:right w:w="57" w:type="dxa"/>
            </w:tcMar>
            <w:vAlign w:val="bottom"/>
            <w:hideMark/>
          </w:tcPr>
          <w:p w:rsidR="003B5144" w:rsidRPr="001C3431" w:rsidRDefault="003B5144" w:rsidP="00A13704">
            <w:pPr>
              <w:widowControl/>
              <w:jc w:val="left"/>
              <w:rPr>
                <w:rFonts w:cs="Calibri"/>
                <w:color w:val="FFFFFF"/>
                <w:sz w:val="20"/>
                <w:szCs w:val="20"/>
                <w:lang w:eastAsia="en-US"/>
              </w:rPr>
            </w:pPr>
            <w:r w:rsidRPr="001C3431">
              <w:rPr>
                <w:rFonts w:cs="Calibri"/>
                <w:color w:val="FFFFFF"/>
                <w:sz w:val="20"/>
                <w:szCs w:val="20"/>
                <w:lang w:eastAsia="en-US"/>
              </w:rPr>
              <w:t> </w:t>
            </w:r>
          </w:p>
        </w:tc>
        <w:tc>
          <w:tcPr>
            <w:tcW w:w="1060" w:type="dxa"/>
            <w:shd w:val="clear" w:color="auto" w:fill="4F81BD" w:themeFill="accent1"/>
            <w:noWrap/>
            <w:tcMar>
              <w:left w:w="28" w:type="dxa"/>
              <w:right w:w="57" w:type="dxa"/>
            </w:tcMar>
            <w:vAlign w:val="center"/>
            <w:hideMark/>
          </w:tcPr>
          <w:p w:rsidR="003B5144" w:rsidRPr="001C3431" w:rsidRDefault="003B5144">
            <w:pPr>
              <w:jc w:val="center"/>
              <w:rPr>
                <w:rFonts w:cs="Calibri"/>
                <w:b/>
                <w:bCs/>
                <w:color w:val="FFFFFF"/>
                <w:sz w:val="20"/>
                <w:szCs w:val="20"/>
              </w:rPr>
            </w:pPr>
            <w:r w:rsidRPr="001C3431">
              <w:rPr>
                <w:rFonts w:cs="Calibri"/>
                <w:b/>
                <w:bCs/>
                <w:color w:val="FFFFFF"/>
                <w:sz w:val="20"/>
                <w:szCs w:val="20"/>
              </w:rPr>
              <w:t>BGN ‘000</w:t>
            </w:r>
          </w:p>
        </w:tc>
        <w:tc>
          <w:tcPr>
            <w:tcW w:w="1003" w:type="dxa"/>
            <w:shd w:val="clear" w:color="auto" w:fill="4F81BD" w:themeFill="accent1"/>
            <w:noWrap/>
            <w:tcMar>
              <w:left w:w="28" w:type="dxa"/>
              <w:right w:w="57" w:type="dxa"/>
            </w:tcMar>
            <w:vAlign w:val="center"/>
            <w:hideMark/>
          </w:tcPr>
          <w:p w:rsidR="003B5144" w:rsidRPr="001C3431" w:rsidRDefault="003B5144">
            <w:pPr>
              <w:jc w:val="center"/>
              <w:rPr>
                <w:rFonts w:cs="Calibri"/>
                <w:b/>
                <w:bCs/>
                <w:color w:val="FFFFFF"/>
                <w:sz w:val="20"/>
                <w:szCs w:val="20"/>
              </w:rPr>
            </w:pPr>
            <w:r w:rsidRPr="001C3431">
              <w:rPr>
                <w:rFonts w:cs="Calibri"/>
                <w:b/>
                <w:bCs/>
                <w:color w:val="FFFFFF"/>
                <w:sz w:val="20"/>
                <w:szCs w:val="20"/>
              </w:rPr>
              <w:t>BGN ‘000</w:t>
            </w:r>
          </w:p>
        </w:tc>
      </w:tr>
      <w:tr w:rsidR="00DC2097" w:rsidRPr="001C3431" w:rsidTr="00247BAC">
        <w:trPr>
          <w:trHeight w:val="170"/>
          <w:jc w:val="center"/>
        </w:trPr>
        <w:tc>
          <w:tcPr>
            <w:tcW w:w="5434" w:type="dxa"/>
            <w:shd w:val="clear" w:color="auto" w:fill="auto"/>
            <w:noWrap/>
            <w:tcMar>
              <w:left w:w="28" w:type="dxa"/>
              <w:right w:w="57" w:type="dxa"/>
            </w:tcMar>
            <w:vAlign w:val="center"/>
          </w:tcPr>
          <w:p w:rsidR="00DC2097" w:rsidRPr="001C3431" w:rsidRDefault="00247BAC" w:rsidP="00DC2097">
            <w:pPr>
              <w:pStyle w:val="a2"/>
              <w:rPr>
                <w:rFonts w:ascii="Calibri" w:hAnsi="Calibri" w:cs="Calibri"/>
                <w:color w:val="auto"/>
                <w:sz w:val="20"/>
                <w:szCs w:val="20"/>
              </w:rPr>
            </w:pPr>
            <w:r>
              <w:rPr>
                <w:rFonts w:ascii="Calibri" w:hAnsi="Calibri" w:cs="Calibri"/>
                <w:color w:val="auto"/>
                <w:sz w:val="20"/>
                <w:szCs w:val="20"/>
              </w:rPr>
              <w:t>Наем на офис</w:t>
            </w:r>
          </w:p>
        </w:tc>
        <w:tc>
          <w:tcPr>
            <w:tcW w:w="3085" w:type="dxa"/>
            <w:shd w:val="clear" w:color="auto" w:fill="auto"/>
            <w:noWrap/>
            <w:tcMar>
              <w:left w:w="28" w:type="dxa"/>
              <w:right w:w="57" w:type="dxa"/>
            </w:tcMar>
            <w:vAlign w:val="center"/>
          </w:tcPr>
          <w:p w:rsidR="00DC2097" w:rsidRPr="001C3431" w:rsidRDefault="00247BAC" w:rsidP="00DC2097">
            <w:pPr>
              <w:pStyle w:val="a2"/>
              <w:rPr>
                <w:rFonts w:ascii="Calibri" w:hAnsi="Calibri" w:cs="Calibri"/>
                <w:color w:val="auto"/>
                <w:sz w:val="20"/>
                <w:szCs w:val="20"/>
              </w:rPr>
            </w:pPr>
            <w:r>
              <w:rPr>
                <w:rFonts w:ascii="Calibri" w:hAnsi="Calibri" w:cs="Calibri"/>
                <w:color w:val="auto"/>
                <w:sz w:val="20"/>
                <w:szCs w:val="20"/>
              </w:rPr>
              <w:t>Сервиз финансови пазари ЕООД</w:t>
            </w:r>
          </w:p>
        </w:tc>
        <w:tc>
          <w:tcPr>
            <w:tcW w:w="1060" w:type="dxa"/>
            <w:shd w:val="clear" w:color="auto" w:fill="auto"/>
            <w:noWrap/>
            <w:tcMar>
              <w:left w:w="28" w:type="dxa"/>
              <w:right w:w="57" w:type="dxa"/>
            </w:tcMar>
            <w:vAlign w:val="center"/>
          </w:tcPr>
          <w:p w:rsidR="00DC2097" w:rsidRPr="001C3431" w:rsidRDefault="008D6A03" w:rsidP="00247BAC">
            <w:pPr>
              <w:pStyle w:val="a3"/>
              <w:rPr>
                <w:rFonts w:ascii="Calibri" w:hAnsi="Calibri" w:cs="Calibri"/>
                <w:sz w:val="20"/>
                <w:szCs w:val="20"/>
                <w:lang w:eastAsia="en-US"/>
              </w:rPr>
            </w:pPr>
            <w:r w:rsidRPr="001C3431">
              <w:rPr>
                <w:rFonts w:ascii="Calibri" w:hAnsi="Calibri" w:cs="Calibri"/>
                <w:sz w:val="20"/>
                <w:szCs w:val="20"/>
              </w:rPr>
              <w:t>1</w:t>
            </w:r>
            <w:r w:rsidR="00247BAC">
              <w:rPr>
                <w:rFonts w:ascii="Calibri" w:hAnsi="Calibri" w:cs="Calibri"/>
                <w:sz w:val="20"/>
                <w:szCs w:val="20"/>
              </w:rPr>
              <w:t>0</w:t>
            </w:r>
          </w:p>
        </w:tc>
        <w:tc>
          <w:tcPr>
            <w:tcW w:w="1003" w:type="dxa"/>
            <w:shd w:val="clear" w:color="auto" w:fill="auto"/>
            <w:noWrap/>
            <w:tcMar>
              <w:left w:w="28" w:type="dxa"/>
              <w:right w:w="57" w:type="dxa"/>
            </w:tcMar>
            <w:vAlign w:val="center"/>
          </w:tcPr>
          <w:p w:rsidR="00DC2097" w:rsidRPr="001C3431" w:rsidRDefault="00247BAC" w:rsidP="00DC2097">
            <w:pPr>
              <w:pStyle w:val="a3"/>
              <w:rPr>
                <w:rFonts w:ascii="Calibri" w:hAnsi="Calibri" w:cs="Calibri"/>
                <w:sz w:val="20"/>
                <w:szCs w:val="20"/>
                <w:lang w:eastAsia="en-US"/>
              </w:rPr>
            </w:pPr>
            <w:r>
              <w:rPr>
                <w:rFonts w:ascii="Calibri" w:hAnsi="Calibri" w:cs="Calibri"/>
                <w:sz w:val="20"/>
                <w:szCs w:val="20"/>
                <w:lang w:eastAsia="en-US"/>
              </w:rPr>
              <w:t>10</w:t>
            </w:r>
          </w:p>
        </w:tc>
      </w:tr>
      <w:tr w:rsidR="00247BAC" w:rsidRPr="001C3431" w:rsidTr="00247BAC">
        <w:trPr>
          <w:trHeight w:val="170"/>
          <w:jc w:val="center"/>
        </w:trPr>
        <w:tc>
          <w:tcPr>
            <w:tcW w:w="5434" w:type="dxa"/>
            <w:shd w:val="clear" w:color="auto" w:fill="auto"/>
            <w:noWrap/>
            <w:tcMar>
              <w:left w:w="28" w:type="dxa"/>
              <w:right w:w="57" w:type="dxa"/>
            </w:tcMar>
            <w:vAlign w:val="center"/>
          </w:tcPr>
          <w:p w:rsidR="00247BAC" w:rsidRPr="001C3431" w:rsidRDefault="00247BAC" w:rsidP="00247BAC">
            <w:pPr>
              <w:pStyle w:val="a2"/>
              <w:rPr>
                <w:rFonts w:ascii="Calibri" w:hAnsi="Calibri" w:cs="Calibri"/>
                <w:color w:val="auto"/>
                <w:sz w:val="20"/>
                <w:szCs w:val="20"/>
              </w:rPr>
            </w:pPr>
            <w:r w:rsidRPr="001C3431">
              <w:rPr>
                <w:rFonts w:ascii="Calibri" w:hAnsi="Calibri" w:cs="Calibri"/>
                <w:color w:val="auto"/>
                <w:sz w:val="20"/>
                <w:szCs w:val="20"/>
              </w:rPr>
              <w:t>Такса сделки, такса членство, такса интернет търговия</w:t>
            </w:r>
          </w:p>
        </w:tc>
        <w:tc>
          <w:tcPr>
            <w:tcW w:w="3085" w:type="dxa"/>
            <w:shd w:val="clear" w:color="auto" w:fill="auto"/>
            <w:noWrap/>
            <w:tcMar>
              <w:left w:w="28" w:type="dxa"/>
              <w:right w:w="57" w:type="dxa"/>
            </w:tcMar>
            <w:vAlign w:val="center"/>
          </w:tcPr>
          <w:p w:rsidR="00247BAC" w:rsidRPr="001C3431" w:rsidRDefault="00247BAC" w:rsidP="00DC2097">
            <w:pPr>
              <w:pStyle w:val="a2"/>
              <w:rPr>
                <w:rFonts w:ascii="Calibri" w:hAnsi="Calibri" w:cs="Calibri"/>
                <w:color w:val="auto"/>
                <w:sz w:val="20"/>
                <w:szCs w:val="20"/>
              </w:rPr>
            </w:pPr>
            <w:r w:rsidRPr="001C3431">
              <w:rPr>
                <w:rFonts w:ascii="Calibri" w:hAnsi="Calibri" w:cs="Calibri"/>
                <w:color w:val="auto"/>
                <w:sz w:val="20"/>
                <w:szCs w:val="20"/>
              </w:rPr>
              <w:t>Бенчмарк Финанс АД</w:t>
            </w:r>
          </w:p>
        </w:tc>
        <w:tc>
          <w:tcPr>
            <w:tcW w:w="1060" w:type="dxa"/>
            <w:shd w:val="clear" w:color="auto" w:fill="auto"/>
            <w:noWrap/>
            <w:tcMar>
              <w:left w:w="28" w:type="dxa"/>
              <w:right w:w="57" w:type="dxa"/>
            </w:tcMar>
            <w:vAlign w:val="center"/>
          </w:tcPr>
          <w:p w:rsidR="00247BAC" w:rsidRPr="001C3431" w:rsidRDefault="00247BAC" w:rsidP="00DC2097">
            <w:pPr>
              <w:pStyle w:val="a3"/>
              <w:rPr>
                <w:rFonts w:ascii="Calibri" w:hAnsi="Calibri" w:cs="Calibri"/>
                <w:sz w:val="20"/>
                <w:szCs w:val="20"/>
              </w:rPr>
            </w:pPr>
            <w:r>
              <w:rPr>
                <w:rFonts w:ascii="Calibri" w:hAnsi="Calibri" w:cs="Calibri"/>
                <w:sz w:val="20"/>
                <w:szCs w:val="20"/>
              </w:rPr>
              <w:t>5</w:t>
            </w:r>
          </w:p>
        </w:tc>
        <w:tc>
          <w:tcPr>
            <w:tcW w:w="1003" w:type="dxa"/>
            <w:shd w:val="clear" w:color="auto" w:fill="auto"/>
            <w:noWrap/>
            <w:tcMar>
              <w:left w:w="28" w:type="dxa"/>
              <w:right w:w="57" w:type="dxa"/>
            </w:tcMar>
            <w:vAlign w:val="center"/>
          </w:tcPr>
          <w:p w:rsidR="00247BAC" w:rsidRPr="001C3431" w:rsidRDefault="00247BAC" w:rsidP="00DC2097">
            <w:pPr>
              <w:pStyle w:val="a3"/>
              <w:rPr>
                <w:rFonts w:ascii="Calibri" w:hAnsi="Calibri" w:cs="Calibri"/>
                <w:sz w:val="20"/>
                <w:szCs w:val="20"/>
              </w:rPr>
            </w:pPr>
            <w:r>
              <w:rPr>
                <w:rFonts w:ascii="Calibri" w:hAnsi="Calibri" w:cs="Calibri"/>
                <w:sz w:val="20"/>
                <w:szCs w:val="20"/>
              </w:rPr>
              <w:t>5</w:t>
            </w:r>
          </w:p>
        </w:tc>
      </w:tr>
      <w:tr w:rsidR="00DC2097" w:rsidRPr="001C3431" w:rsidTr="00247BAC">
        <w:trPr>
          <w:trHeight w:val="170"/>
          <w:jc w:val="center"/>
        </w:trPr>
        <w:tc>
          <w:tcPr>
            <w:tcW w:w="5434" w:type="dxa"/>
            <w:shd w:val="clear" w:color="auto" w:fill="auto"/>
            <w:noWrap/>
            <w:tcMar>
              <w:left w:w="28" w:type="dxa"/>
              <w:right w:w="57" w:type="dxa"/>
            </w:tcMar>
            <w:vAlign w:val="center"/>
          </w:tcPr>
          <w:p w:rsidR="00DC2097" w:rsidRPr="001C3431" w:rsidRDefault="00DC2097" w:rsidP="00247BAC">
            <w:pPr>
              <w:pStyle w:val="a2"/>
              <w:rPr>
                <w:rFonts w:ascii="Calibri" w:hAnsi="Calibri" w:cs="Calibri"/>
                <w:color w:val="auto"/>
                <w:sz w:val="20"/>
                <w:szCs w:val="20"/>
              </w:rPr>
            </w:pPr>
            <w:r w:rsidRPr="001C3431">
              <w:rPr>
                <w:rFonts w:ascii="Calibri" w:hAnsi="Calibri" w:cs="Calibri"/>
                <w:color w:val="auto"/>
                <w:sz w:val="20"/>
                <w:szCs w:val="20"/>
              </w:rPr>
              <w:t>Такса сделки</w:t>
            </w:r>
            <w:r w:rsidR="00247BAC">
              <w:rPr>
                <w:rFonts w:ascii="Calibri" w:hAnsi="Calibri" w:cs="Calibri"/>
                <w:color w:val="auto"/>
                <w:sz w:val="20"/>
                <w:szCs w:val="20"/>
              </w:rPr>
              <w:t>,</w:t>
            </w:r>
            <w:r w:rsidRPr="001C3431">
              <w:rPr>
                <w:rFonts w:ascii="Calibri" w:hAnsi="Calibri" w:cs="Calibri"/>
                <w:color w:val="auto"/>
                <w:sz w:val="20"/>
                <w:szCs w:val="20"/>
              </w:rPr>
              <w:t xml:space="preserve"> такса членство, такса интернет търговия </w:t>
            </w:r>
          </w:p>
        </w:tc>
        <w:tc>
          <w:tcPr>
            <w:tcW w:w="3085" w:type="dxa"/>
            <w:shd w:val="clear" w:color="auto" w:fill="auto"/>
            <w:noWrap/>
            <w:tcMar>
              <w:left w:w="28" w:type="dxa"/>
              <w:right w:w="57" w:type="dxa"/>
            </w:tcMar>
            <w:vAlign w:val="center"/>
          </w:tcPr>
          <w:p w:rsidR="00DC2097" w:rsidRPr="001C3431" w:rsidRDefault="00DC2097" w:rsidP="00DC2097">
            <w:pPr>
              <w:pStyle w:val="a2"/>
              <w:rPr>
                <w:rFonts w:ascii="Calibri" w:hAnsi="Calibri" w:cs="Calibri"/>
                <w:color w:val="auto"/>
                <w:sz w:val="20"/>
                <w:szCs w:val="20"/>
              </w:rPr>
            </w:pPr>
            <w:r w:rsidRPr="001C3431">
              <w:rPr>
                <w:rFonts w:ascii="Calibri" w:hAnsi="Calibri" w:cs="Calibri"/>
                <w:color w:val="auto"/>
                <w:sz w:val="20"/>
                <w:szCs w:val="20"/>
              </w:rPr>
              <w:t>Юробанк България АД</w:t>
            </w:r>
          </w:p>
        </w:tc>
        <w:tc>
          <w:tcPr>
            <w:tcW w:w="1060" w:type="dxa"/>
            <w:shd w:val="clear" w:color="auto" w:fill="auto"/>
            <w:noWrap/>
            <w:tcMar>
              <w:left w:w="28" w:type="dxa"/>
              <w:right w:w="57" w:type="dxa"/>
            </w:tcMar>
            <w:vAlign w:val="center"/>
          </w:tcPr>
          <w:p w:rsidR="00DC2097" w:rsidRPr="001C3431" w:rsidRDefault="008D6A03" w:rsidP="00DC2097">
            <w:pPr>
              <w:pStyle w:val="a3"/>
              <w:rPr>
                <w:rFonts w:ascii="Calibri" w:hAnsi="Calibri" w:cs="Calibri"/>
                <w:sz w:val="20"/>
                <w:szCs w:val="20"/>
                <w:lang w:eastAsia="en-US"/>
              </w:rPr>
            </w:pPr>
            <w:r w:rsidRPr="001C3431">
              <w:rPr>
                <w:rFonts w:ascii="Calibri" w:hAnsi="Calibri" w:cs="Calibri"/>
                <w:sz w:val="20"/>
                <w:szCs w:val="20"/>
              </w:rPr>
              <w:t>4</w:t>
            </w:r>
          </w:p>
        </w:tc>
        <w:tc>
          <w:tcPr>
            <w:tcW w:w="1003" w:type="dxa"/>
            <w:shd w:val="clear" w:color="auto" w:fill="auto"/>
            <w:noWrap/>
            <w:tcMar>
              <w:left w:w="28" w:type="dxa"/>
              <w:right w:w="57" w:type="dxa"/>
            </w:tcMar>
            <w:vAlign w:val="center"/>
          </w:tcPr>
          <w:p w:rsidR="00DC2097" w:rsidRPr="001C3431" w:rsidRDefault="008D6A03" w:rsidP="00DC2097">
            <w:pPr>
              <w:pStyle w:val="a3"/>
              <w:rPr>
                <w:rFonts w:ascii="Calibri" w:hAnsi="Calibri" w:cs="Calibri"/>
                <w:sz w:val="20"/>
                <w:szCs w:val="20"/>
                <w:lang w:eastAsia="en-US"/>
              </w:rPr>
            </w:pPr>
            <w:r w:rsidRPr="001C3431">
              <w:rPr>
                <w:rFonts w:ascii="Calibri" w:hAnsi="Calibri" w:cs="Calibri"/>
                <w:sz w:val="20"/>
                <w:szCs w:val="20"/>
              </w:rPr>
              <w:t>4</w:t>
            </w:r>
          </w:p>
        </w:tc>
      </w:tr>
      <w:tr w:rsidR="00247BAC" w:rsidRPr="001C3431" w:rsidTr="00247BAC">
        <w:trPr>
          <w:trHeight w:val="170"/>
          <w:jc w:val="center"/>
        </w:trPr>
        <w:tc>
          <w:tcPr>
            <w:tcW w:w="5434" w:type="dxa"/>
            <w:shd w:val="clear" w:color="auto" w:fill="auto"/>
            <w:noWrap/>
            <w:tcMar>
              <w:left w:w="28" w:type="dxa"/>
              <w:right w:w="57" w:type="dxa"/>
            </w:tcMar>
            <w:vAlign w:val="center"/>
          </w:tcPr>
          <w:p w:rsidR="00247BAC" w:rsidRPr="001C3431" w:rsidRDefault="00247BAC" w:rsidP="00247BAC">
            <w:pPr>
              <w:pStyle w:val="a2"/>
              <w:rPr>
                <w:rFonts w:ascii="Calibri" w:hAnsi="Calibri" w:cs="Calibri"/>
                <w:color w:val="auto"/>
                <w:sz w:val="20"/>
                <w:szCs w:val="20"/>
              </w:rPr>
            </w:pPr>
            <w:r w:rsidRPr="001C3431">
              <w:rPr>
                <w:rFonts w:ascii="Calibri" w:hAnsi="Calibri" w:cs="Calibri"/>
                <w:color w:val="auto"/>
                <w:sz w:val="20"/>
                <w:szCs w:val="20"/>
              </w:rPr>
              <w:t>Информационно обслужване</w:t>
            </w:r>
          </w:p>
        </w:tc>
        <w:tc>
          <w:tcPr>
            <w:tcW w:w="3085" w:type="dxa"/>
            <w:shd w:val="clear" w:color="auto" w:fill="auto"/>
            <w:noWrap/>
            <w:tcMar>
              <w:left w:w="28" w:type="dxa"/>
              <w:right w:w="57" w:type="dxa"/>
            </w:tcMar>
            <w:vAlign w:val="center"/>
          </w:tcPr>
          <w:p w:rsidR="00247BAC" w:rsidRPr="001C3431" w:rsidRDefault="00247BAC" w:rsidP="00DC2097">
            <w:pPr>
              <w:pStyle w:val="a2"/>
              <w:rPr>
                <w:rFonts w:ascii="Calibri" w:hAnsi="Calibri" w:cs="Calibri"/>
                <w:color w:val="auto"/>
                <w:sz w:val="20"/>
                <w:szCs w:val="20"/>
              </w:rPr>
            </w:pPr>
            <w:r>
              <w:rPr>
                <w:rFonts w:ascii="Calibri" w:hAnsi="Calibri" w:cs="Calibri"/>
                <w:color w:val="auto"/>
                <w:sz w:val="20"/>
                <w:szCs w:val="20"/>
              </w:rPr>
              <w:t>Сервиз финансови пазари ЕООД</w:t>
            </w:r>
          </w:p>
        </w:tc>
        <w:tc>
          <w:tcPr>
            <w:tcW w:w="1060" w:type="dxa"/>
            <w:shd w:val="clear" w:color="auto" w:fill="auto"/>
            <w:noWrap/>
            <w:tcMar>
              <w:left w:w="28" w:type="dxa"/>
              <w:right w:w="57" w:type="dxa"/>
            </w:tcMar>
            <w:vAlign w:val="center"/>
          </w:tcPr>
          <w:p w:rsidR="00247BAC" w:rsidRPr="001C3431" w:rsidRDefault="00247BAC" w:rsidP="00DC2097">
            <w:pPr>
              <w:pStyle w:val="a3"/>
              <w:rPr>
                <w:rFonts w:ascii="Calibri" w:hAnsi="Calibri" w:cs="Calibri"/>
                <w:sz w:val="20"/>
                <w:szCs w:val="20"/>
              </w:rPr>
            </w:pPr>
            <w:r>
              <w:rPr>
                <w:rFonts w:ascii="Calibri" w:hAnsi="Calibri" w:cs="Calibri"/>
                <w:sz w:val="20"/>
                <w:szCs w:val="20"/>
              </w:rPr>
              <w:t>1</w:t>
            </w:r>
          </w:p>
        </w:tc>
        <w:tc>
          <w:tcPr>
            <w:tcW w:w="1003" w:type="dxa"/>
            <w:shd w:val="clear" w:color="auto" w:fill="auto"/>
            <w:noWrap/>
            <w:tcMar>
              <w:left w:w="28" w:type="dxa"/>
              <w:right w:w="57" w:type="dxa"/>
            </w:tcMar>
            <w:vAlign w:val="center"/>
          </w:tcPr>
          <w:p w:rsidR="00247BAC" w:rsidRPr="001C3431" w:rsidRDefault="00247BAC" w:rsidP="00DC2097">
            <w:pPr>
              <w:pStyle w:val="a3"/>
              <w:rPr>
                <w:rFonts w:ascii="Calibri" w:hAnsi="Calibri" w:cs="Calibri"/>
                <w:sz w:val="20"/>
                <w:szCs w:val="20"/>
              </w:rPr>
            </w:pPr>
            <w:r>
              <w:rPr>
                <w:rFonts w:ascii="Calibri" w:hAnsi="Calibri" w:cs="Calibri"/>
                <w:sz w:val="20"/>
                <w:szCs w:val="20"/>
              </w:rPr>
              <w:t>1</w:t>
            </w:r>
          </w:p>
        </w:tc>
      </w:tr>
      <w:tr w:rsidR="00DC2097" w:rsidRPr="001C3431" w:rsidTr="00247BAC">
        <w:trPr>
          <w:trHeight w:val="170"/>
          <w:jc w:val="center"/>
        </w:trPr>
        <w:tc>
          <w:tcPr>
            <w:tcW w:w="5434" w:type="dxa"/>
            <w:shd w:val="clear" w:color="auto" w:fill="auto"/>
            <w:noWrap/>
            <w:tcMar>
              <w:left w:w="28" w:type="dxa"/>
              <w:right w:w="57" w:type="dxa"/>
            </w:tcMar>
            <w:vAlign w:val="center"/>
            <w:hideMark/>
          </w:tcPr>
          <w:p w:rsidR="00DC2097" w:rsidRPr="001C3431" w:rsidRDefault="00DC2097" w:rsidP="00DC2097">
            <w:pPr>
              <w:widowControl/>
              <w:jc w:val="left"/>
              <w:rPr>
                <w:rFonts w:cs="Calibri"/>
                <w:b/>
                <w:bCs/>
                <w:sz w:val="20"/>
                <w:szCs w:val="20"/>
                <w:lang w:eastAsia="en-US"/>
              </w:rPr>
            </w:pPr>
            <w:r w:rsidRPr="001C3431">
              <w:rPr>
                <w:rFonts w:cs="Calibri"/>
                <w:b/>
                <w:bCs/>
                <w:sz w:val="20"/>
                <w:szCs w:val="20"/>
                <w:lang w:eastAsia="en-US"/>
              </w:rPr>
              <w:t>Общо</w:t>
            </w:r>
          </w:p>
        </w:tc>
        <w:tc>
          <w:tcPr>
            <w:tcW w:w="3085" w:type="dxa"/>
            <w:shd w:val="clear" w:color="auto" w:fill="auto"/>
            <w:noWrap/>
            <w:tcMar>
              <w:left w:w="28" w:type="dxa"/>
              <w:right w:w="57" w:type="dxa"/>
            </w:tcMar>
            <w:vAlign w:val="bottom"/>
            <w:hideMark/>
          </w:tcPr>
          <w:p w:rsidR="00DC2097" w:rsidRPr="001C3431" w:rsidRDefault="00DC2097" w:rsidP="00DC2097">
            <w:pPr>
              <w:widowControl/>
              <w:jc w:val="left"/>
              <w:rPr>
                <w:rFonts w:cs="Calibri"/>
                <w:b/>
                <w:color w:val="000000"/>
                <w:sz w:val="20"/>
                <w:szCs w:val="20"/>
                <w:lang w:eastAsia="en-US"/>
              </w:rPr>
            </w:pPr>
            <w:r w:rsidRPr="001C3431">
              <w:rPr>
                <w:rFonts w:cs="Calibri"/>
                <w:b/>
                <w:color w:val="000000"/>
                <w:sz w:val="20"/>
                <w:szCs w:val="20"/>
                <w:lang w:eastAsia="en-US"/>
              </w:rPr>
              <w:t> </w:t>
            </w:r>
          </w:p>
        </w:tc>
        <w:tc>
          <w:tcPr>
            <w:tcW w:w="1060" w:type="dxa"/>
            <w:shd w:val="clear" w:color="auto" w:fill="auto"/>
            <w:noWrap/>
            <w:tcMar>
              <w:left w:w="28" w:type="dxa"/>
              <w:right w:w="57" w:type="dxa"/>
            </w:tcMar>
            <w:vAlign w:val="center"/>
            <w:hideMark/>
          </w:tcPr>
          <w:p w:rsidR="00DC2097" w:rsidRPr="001C3431" w:rsidRDefault="00247BAC" w:rsidP="00DC2097">
            <w:pPr>
              <w:pStyle w:val="a3"/>
              <w:rPr>
                <w:rFonts w:ascii="Calibri" w:hAnsi="Calibri" w:cs="Calibri"/>
                <w:b/>
                <w:sz w:val="20"/>
                <w:szCs w:val="20"/>
                <w:lang w:eastAsia="en-US"/>
              </w:rPr>
            </w:pPr>
            <w:r>
              <w:rPr>
                <w:rFonts w:ascii="Calibri" w:hAnsi="Calibri" w:cs="Calibri"/>
                <w:b/>
                <w:sz w:val="20"/>
                <w:szCs w:val="20"/>
              </w:rPr>
              <w:t>20</w:t>
            </w:r>
          </w:p>
        </w:tc>
        <w:tc>
          <w:tcPr>
            <w:tcW w:w="1003" w:type="dxa"/>
            <w:shd w:val="clear" w:color="auto" w:fill="auto"/>
            <w:noWrap/>
            <w:tcMar>
              <w:left w:w="28" w:type="dxa"/>
              <w:right w:w="57" w:type="dxa"/>
            </w:tcMar>
            <w:vAlign w:val="center"/>
            <w:hideMark/>
          </w:tcPr>
          <w:p w:rsidR="00DC2097" w:rsidRPr="001C3431" w:rsidRDefault="00247BAC" w:rsidP="00DC2097">
            <w:pPr>
              <w:pStyle w:val="a3"/>
              <w:rPr>
                <w:rFonts w:ascii="Calibri" w:hAnsi="Calibri" w:cs="Calibri"/>
                <w:b/>
                <w:sz w:val="20"/>
                <w:szCs w:val="20"/>
                <w:lang w:eastAsia="en-US"/>
              </w:rPr>
            </w:pPr>
            <w:r>
              <w:rPr>
                <w:rFonts w:ascii="Calibri" w:hAnsi="Calibri" w:cs="Calibri"/>
                <w:b/>
                <w:sz w:val="20"/>
                <w:szCs w:val="20"/>
              </w:rPr>
              <w:t>20</w:t>
            </w:r>
          </w:p>
        </w:tc>
      </w:tr>
    </w:tbl>
    <w:p w:rsidR="003D4E57" w:rsidRDefault="003D4E57" w:rsidP="00D65947">
      <w:pPr>
        <w:tabs>
          <w:tab w:val="left" w:pos="360"/>
        </w:tabs>
        <w:jc w:val="left"/>
        <w:rPr>
          <w:rFonts w:cs="Calibri"/>
          <w:b/>
          <w:szCs w:val="22"/>
          <w:lang w:val="en-US"/>
        </w:rPr>
      </w:pPr>
    </w:p>
    <w:p w:rsidR="002C062A" w:rsidRDefault="002C062A" w:rsidP="00D65947">
      <w:pPr>
        <w:tabs>
          <w:tab w:val="left" w:pos="360"/>
        </w:tabs>
        <w:jc w:val="left"/>
        <w:rPr>
          <w:rFonts w:cs="Calibri"/>
          <w:b/>
          <w:szCs w:val="22"/>
          <w:lang w:val="en-US"/>
        </w:rPr>
      </w:pPr>
    </w:p>
    <w:p w:rsidR="002C062A" w:rsidRDefault="002C062A" w:rsidP="00D65947">
      <w:pPr>
        <w:tabs>
          <w:tab w:val="left" w:pos="360"/>
        </w:tabs>
        <w:jc w:val="left"/>
        <w:rPr>
          <w:rFonts w:cs="Calibri"/>
          <w:b/>
          <w:szCs w:val="22"/>
          <w:lang w:val="en-US"/>
        </w:rPr>
      </w:pPr>
    </w:p>
    <w:p w:rsidR="002C062A" w:rsidRDefault="002C062A" w:rsidP="00D65947">
      <w:pPr>
        <w:tabs>
          <w:tab w:val="left" w:pos="360"/>
        </w:tabs>
        <w:jc w:val="left"/>
        <w:rPr>
          <w:rFonts w:cs="Calibri"/>
          <w:b/>
          <w:szCs w:val="22"/>
          <w:lang w:val="en-US"/>
        </w:rPr>
      </w:pPr>
    </w:p>
    <w:p w:rsidR="002C062A" w:rsidRPr="002C062A" w:rsidRDefault="002C062A" w:rsidP="00D65947">
      <w:pPr>
        <w:tabs>
          <w:tab w:val="left" w:pos="360"/>
        </w:tabs>
        <w:jc w:val="left"/>
        <w:rPr>
          <w:rFonts w:cs="Calibri"/>
          <w:b/>
          <w:szCs w:val="22"/>
          <w:lang w:val="en-US"/>
        </w:rPr>
      </w:pPr>
    </w:p>
    <w:tbl>
      <w:tblPr>
        <w:tblW w:w="10594" w:type="dxa"/>
        <w:jc w:val="center"/>
        <w:tblLook w:val="04A0"/>
      </w:tblPr>
      <w:tblGrid>
        <w:gridCol w:w="4164"/>
        <w:gridCol w:w="4176"/>
        <w:gridCol w:w="1127"/>
        <w:gridCol w:w="1127"/>
      </w:tblGrid>
      <w:tr w:rsidR="00DC2097" w:rsidRPr="001C3431" w:rsidTr="001C3431">
        <w:trPr>
          <w:trHeight w:val="170"/>
          <w:jc w:val="center"/>
        </w:trPr>
        <w:tc>
          <w:tcPr>
            <w:tcW w:w="4164" w:type="dxa"/>
            <w:tcBorders>
              <w:top w:val="single" w:sz="4" w:space="0" w:color="auto"/>
              <w:left w:val="single" w:sz="4" w:space="0" w:color="auto"/>
              <w:bottom w:val="single" w:sz="4" w:space="0" w:color="auto"/>
              <w:right w:val="single" w:sz="4" w:space="0" w:color="auto"/>
            </w:tcBorders>
            <w:shd w:val="clear" w:color="auto" w:fill="4F81BD" w:themeFill="accent1"/>
            <w:noWrap/>
            <w:tcMar>
              <w:left w:w="28" w:type="dxa"/>
              <w:right w:w="57" w:type="dxa"/>
            </w:tcMar>
            <w:vAlign w:val="center"/>
            <w:hideMark/>
          </w:tcPr>
          <w:p w:rsidR="00DC2097" w:rsidRPr="001C3431" w:rsidRDefault="00DC2097" w:rsidP="00DC2097">
            <w:pPr>
              <w:widowControl/>
              <w:jc w:val="center"/>
              <w:rPr>
                <w:rFonts w:cs="Calibri"/>
                <w:b/>
                <w:bCs/>
                <w:color w:val="FFFFFF"/>
                <w:sz w:val="20"/>
                <w:szCs w:val="20"/>
                <w:lang w:eastAsia="en-US"/>
              </w:rPr>
            </w:pPr>
            <w:r w:rsidRPr="001C3431">
              <w:rPr>
                <w:rFonts w:cs="Calibri"/>
                <w:b/>
                <w:bCs/>
                <w:color w:val="FFFFFF"/>
                <w:sz w:val="20"/>
                <w:szCs w:val="20"/>
                <w:lang w:eastAsia="en-US"/>
              </w:rPr>
              <w:t>Доставки от свързани лица</w:t>
            </w:r>
          </w:p>
        </w:tc>
        <w:tc>
          <w:tcPr>
            <w:tcW w:w="4176" w:type="dxa"/>
            <w:tcBorders>
              <w:top w:val="single" w:sz="4" w:space="0" w:color="auto"/>
              <w:left w:val="nil"/>
              <w:bottom w:val="single" w:sz="4" w:space="0" w:color="auto"/>
              <w:right w:val="single" w:sz="4" w:space="0" w:color="auto"/>
            </w:tcBorders>
            <w:shd w:val="clear" w:color="auto" w:fill="4F81BD" w:themeFill="accent1"/>
            <w:noWrap/>
            <w:tcMar>
              <w:left w:w="28" w:type="dxa"/>
              <w:right w:w="57" w:type="dxa"/>
            </w:tcMar>
            <w:vAlign w:val="center"/>
            <w:hideMark/>
          </w:tcPr>
          <w:p w:rsidR="00DC2097" w:rsidRPr="001C3431" w:rsidRDefault="00DC2097" w:rsidP="00DC2097">
            <w:pPr>
              <w:widowControl/>
              <w:jc w:val="center"/>
              <w:rPr>
                <w:rFonts w:cs="Calibri"/>
                <w:b/>
                <w:bCs/>
                <w:color w:val="FFFFFF"/>
                <w:sz w:val="20"/>
                <w:szCs w:val="20"/>
                <w:lang w:eastAsia="en-US"/>
              </w:rPr>
            </w:pPr>
            <w:r w:rsidRPr="001C3431">
              <w:rPr>
                <w:rFonts w:cs="Calibri"/>
                <w:b/>
                <w:bCs/>
                <w:color w:val="FFFFFF"/>
                <w:sz w:val="20"/>
                <w:szCs w:val="20"/>
                <w:lang w:eastAsia="en-US"/>
              </w:rPr>
              <w:t>Свързано лице</w:t>
            </w:r>
          </w:p>
        </w:tc>
        <w:tc>
          <w:tcPr>
            <w:tcW w:w="1127" w:type="dxa"/>
            <w:tcBorders>
              <w:top w:val="single" w:sz="4" w:space="0" w:color="auto"/>
              <w:left w:val="nil"/>
              <w:bottom w:val="single" w:sz="4" w:space="0" w:color="auto"/>
              <w:right w:val="single" w:sz="4" w:space="0" w:color="auto"/>
            </w:tcBorders>
            <w:shd w:val="clear" w:color="auto" w:fill="4F81BD" w:themeFill="accent1"/>
            <w:noWrap/>
            <w:tcMar>
              <w:left w:w="28" w:type="dxa"/>
              <w:right w:w="57" w:type="dxa"/>
            </w:tcMar>
            <w:vAlign w:val="center"/>
            <w:hideMark/>
          </w:tcPr>
          <w:p w:rsidR="00DC2097" w:rsidRPr="001C3431" w:rsidRDefault="00DC2097" w:rsidP="001C3431">
            <w:pPr>
              <w:jc w:val="center"/>
              <w:rPr>
                <w:rFonts w:cs="Calibri"/>
                <w:b/>
                <w:bCs/>
                <w:color w:val="FFFFFF"/>
                <w:sz w:val="20"/>
                <w:szCs w:val="20"/>
              </w:rPr>
            </w:pPr>
            <w:r w:rsidRPr="001C3431">
              <w:rPr>
                <w:rFonts w:cs="Calibri"/>
                <w:b/>
                <w:bCs/>
                <w:color w:val="FFFFFF"/>
                <w:sz w:val="20"/>
                <w:szCs w:val="20"/>
              </w:rPr>
              <w:t>31.</w:t>
            </w:r>
            <w:r w:rsidR="008D6A03" w:rsidRPr="001C3431">
              <w:rPr>
                <w:rFonts w:cs="Calibri"/>
                <w:b/>
                <w:bCs/>
                <w:color w:val="FFFFFF"/>
                <w:sz w:val="20"/>
                <w:szCs w:val="20"/>
              </w:rPr>
              <w:t>03</w:t>
            </w:r>
            <w:r w:rsidRPr="001C3431">
              <w:rPr>
                <w:rFonts w:cs="Calibri"/>
                <w:b/>
                <w:bCs/>
                <w:color w:val="FFFFFF"/>
                <w:sz w:val="20"/>
                <w:szCs w:val="20"/>
              </w:rPr>
              <w:t>.20</w:t>
            </w:r>
            <w:r w:rsidR="001C3431">
              <w:rPr>
                <w:rFonts w:cs="Calibri"/>
                <w:b/>
                <w:bCs/>
                <w:color w:val="FFFFFF"/>
                <w:sz w:val="20"/>
                <w:szCs w:val="20"/>
              </w:rPr>
              <w:t>20</w:t>
            </w:r>
          </w:p>
        </w:tc>
        <w:tc>
          <w:tcPr>
            <w:tcW w:w="1127" w:type="dxa"/>
            <w:tcBorders>
              <w:top w:val="single" w:sz="4" w:space="0" w:color="auto"/>
              <w:left w:val="nil"/>
              <w:bottom w:val="single" w:sz="4" w:space="0" w:color="auto"/>
              <w:right w:val="single" w:sz="4" w:space="0" w:color="auto"/>
            </w:tcBorders>
            <w:shd w:val="clear" w:color="auto" w:fill="4F81BD" w:themeFill="accent1"/>
            <w:noWrap/>
            <w:tcMar>
              <w:left w:w="28" w:type="dxa"/>
              <w:right w:w="57" w:type="dxa"/>
            </w:tcMar>
            <w:vAlign w:val="center"/>
            <w:hideMark/>
          </w:tcPr>
          <w:p w:rsidR="00DC2097" w:rsidRPr="001C3431" w:rsidRDefault="00DC2097" w:rsidP="00FB2FA9">
            <w:pPr>
              <w:jc w:val="center"/>
              <w:rPr>
                <w:rFonts w:cs="Calibri"/>
                <w:b/>
                <w:bCs/>
                <w:color w:val="FFFFFF"/>
                <w:sz w:val="20"/>
                <w:szCs w:val="20"/>
              </w:rPr>
            </w:pPr>
            <w:r w:rsidRPr="001C3431">
              <w:rPr>
                <w:rFonts w:cs="Calibri"/>
                <w:b/>
                <w:bCs/>
                <w:color w:val="FFFFFF"/>
                <w:sz w:val="20"/>
                <w:szCs w:val="20"/>
              </w:rPr>
              <w:t>31.</w:t>
            </w:r>
            <w:r w:rsidR="008D6A03" w:rsidRPr="001C3431">
              <w:rPr>
                <w:rFonts w:cs="Calibri"/>
                <w:b/>
                <w:bCs/>
                <w:color w:val="FFFFFF"/>
                <w:sz w:val="20"/>
                <w:szCs w:val="20"/>
              </w:rPr>
              <w:t>03</w:t>
            </w:r>
            <w:r w:rsidRPr="001C3431">
              <w:rPr>
                <w:rFonts w:cs="Calibri"/>
                <w:b/>
                <w:bCs/>
                <w:color w:val="FFFFFF"/>
                <w:sz w:val="20"/>
                <w:szCs w:val="20"/>
              </w:rPr>
              <w:t>.201</w:t>
            </w:r>
            <w:r w:rsidR="008D6A03" w:rsidRPr="001C3431">
              <w:rPr>
                <w:rFonts w:cs="Calibri"/>
                <w:b/>
                <w:bCs/>
                <w:color w:val="FFFFFF"/>
                <w:sz w:val="20"/>
                <w:szCs w:val="20"/>
              </w:rPr>
              <w:t>9</w:t>
            </w:r>
          </w:p>
        </w:tc>
      </w:tr>
      <w:tr w:rsidR="00FD44DC" w:rsidRPr="001C3431"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4F81BD" w:themeFill="accent1"/>
            <w:noWrap/>
            <w:tcMar>
              <w:left w:w="28" w:type="dxa"/>
              <w:right w:w="57" w:type="dxa"/>
            </w:tcMar>
            <w:vAlign w:val="bottom"/>
            <w:hideMark/>
          </w:tcPr>
          <w:p w:rsidR="00FD44DC" w:rsidRPr="001C3431" w:rsidRDefault="00FD44DC" w:rsidP="00FD44DC">
            <w:pPr>
              <w:widowControl/>
              <w:jc w:val="left"/>
              <w:rPr>
                <w:rFonts w:cs="Calibri"/>
                <w:color w:val="FFFFFF"/>
                <w:sz w:val="20"/>
                <w:szCs w:val="20"/>
                <w:lang w:eastAsia="en-US"/>
              </w:rPr>
            </w:pPr>
          </w:p>
        </w:tc>
        <w:tc>
          <w:tcPr>
            <w:tcW w:w="4176" w:type="dxa"/>
            <w:tcBorders>
              <w:top w:val="nil"/>
              <w:left w:val="nil"/>
              <w:bottom w:val="single" w:sz="4" w:space="0" w:color="auto"/>
              <w:right w:val="single" w:sz="4" w:space="0" w:color="auto"/>
            </w:tcBorders>
            <w:shd w:val="clear" w:color="auto" w:fill="4F81BD" w:themeFill="accent1"/>
            <w:noWrap/>
            <w:tcMar>
              <w:left w:w="28" w:type="dxa"/>
              <w:right w:w="57" w:type="dxa"/>
            </w:tcMar>
            <w:vAlign w:val="bottom"/>
            <w:hideMark/>
          </w:tcPr>
          <w:p w:rsidR="00FD44DC" w:rsidRPr="001C3431" w:rsidRDefault="00FD44DC" w:rsidP="00FD44DC">
            <w:pPr>
              <w:widowControl/>
              <w:jc w:val="left"/>
              <w:rPr>
                <w:rFonts w:cs="Calibri"/>
                <w:color w:val="FFFFFF"/>
                <w:sz w:val="20"/>
                <w:szCs w:val="20"/>
                <w:lang w:eastAsia="en-US"/>
              </w:rPr>
            </w:pPr>
          </w:p>
        </w:tc>
        <w:tc>
          <w:tcPr>
            <w:tcW w:w="1127" w:type="dxa"/>
            <w:tcBorders>
              <w:top w:val="nil"/>
              <w:left w:val="nil"/>
              <w:bottom w:val="single" w:sz="4" w:space="0" w:color="auto"/>
              <w:right w:val="single" w:sz="4" w:space="0" w:color="auto"/>
            </w:tcBorders>
            <w:shd w:val="clear" w:color="auto" w:fill="4F81BD" w:themeFill="accent1"/>
            <w:noWrap/>
            <w:tcMar>
              <w:left w:w="28" w:type="dxa"/>
              <w:right w:w="57" w:type="dxa"/>
            </w:tcMar>
            <w:vAlign w:val="center"/>
            <w:hideMark/>
          </w:tcPr>
          <w:p w:rsidR="00FD44DC" w:rsidRPr="001C3431" w:rsidRDefault="00FD44DC" w:rsidP="00FB2FA9">
            <w:pPr>
              <w:jc w:val="center"/>
              <w:rPr>
                <w:rFonts w:cs="Calibri"/>
                <w:b/>
                <w:bCs/>
                <w:color w:val="FFFFFF"/>
                <w:sz w:val="20"/>
                <w:szCs w:val="20"/>
              </w:rPr>
            </w:pPr>
            <w:r w:rsidRPr="001C3431">
              <w:rPr>
                <w:rFonts w:cs="Calibri"/>
                <w:b/>
                <w:bCs/>
                <w:color w:val="FFFFFF"/>
                <w:sz w:val="20"/>
                <w:szCs w:val="20"/>
              </w:rPr>
              <w:t>BGN ‘000</w:t>
            </w:r>
          </w:p>
        </w:tc>
        <w:tc>
          <w:tcPr>
            <w:tcW w:w="1127" w:type="dxa"/>
            <w:tcBorders>
              <w:top w:val="nil"/>
              <w:left w:val="nil"/>
              <w:bottom w:val="single" w:sz="4" w:space="0" w:color="auto"/>
              <w:right w:val="single" w:sz="4" w:space="0" w:color="auto"/>
            </w:tcBorders>
            <w:shd w:val="clear" w:color="auto" w:fill="4F81BD" w:themeFill="accent1"/>
            <w:noWrap/>
            <w:tcMar>
              <w:left w:w="28" w:type="dxa"/>
              <w:right w:w="57" w:type="dxa"/>
            </w:tcMar>
            <w:vAlign w:val="center"/>
            <w:hideMark/>
          </w:tcPr>
          <w:p w:rsidR="00FD44DC" w:rsidRPr="001C3431" w:rsidRDefault="00FD44DC" w:rsidP="00FB2FA9">
            <w:pPr>
              <w:jc w:val="center"/>
              <w:rPr>
                <w:rFonts w:cs="Calibri"/>
                <w:b/>
                <w:bCs/>
                <w:color w:val="FFFFFF"/>
                <w:sz w:val="20"/>
                <w:szCs w:val="20"/>
              </w:rPr>
            </w:pPr>
            <w:r w:rsidRPr="001C3431">
              <w:rPr>
                <w:rFonts w:cs="Calibri"/>
                <w:b/>
                <w:bCs/>
                <w:color w:val="FFFFFF"/>
                <w:sz w:val="20"/>
                <w:szCs w:val="20"/>
              </w:rPr>
              <w:t>BGN ‘000</w:t>
            </w:r>
          </w:p>
        </w:tc>
      </w:tr>
      <w:tr w:rsidR="00B52B39" w:rsidRPr="001C3431"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center"/>
          </w:tcPr>
          <w:p w:rsidR="00B52B39" w:rsidRPr="001C3431" w:rsidRDefault="001C3431" w:rsidP="00DC2097">
            <w:pPr>
              <w:pStyle w:val="a2"/>
              <w:rPr>
                <w:rFonts w:ascii="Calibri" w:hAnsi="Calibri" w:cs="Calibri"/>
                <w:color w:val="auto"/>
                <w:sz w:val="20"/>
                <w:szCs w:val="20"/>
              </w:rPr>
            </w:pPr>
            <w:r>
              <w:rPr>
                <w:rFonts w:ascii="Calibri" w:hAnsi="Calibri" w:cs="Calibri"/>
                <w:color w:val="auto"/>
                <w:sz w:val="20"/>
                <w:szCs w:val="20"/>
              </w:rPr>
              <w:t>Деловодни услуги</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center"/>
          </w:tcPr>
          <w:p w:rsidR="00B52B39" w:rsidRPr="001C3431" w:rsidRDefault="001C3431" w:rsidP="00DC2097">
            <w:pPr>
              <w:pStyle w:val="a2"/>
              <w:rPr>
                <w:rFonts w:ascii="Calibri" w:hAnsi="Calibri" w:cs="Calibri"/>
                <w:color w:val="auto"/>
                <w:sz w:val="20"/>
                <w:szCs w:val="20"/>
              </w:rPr>
            </w:pPr>
            <w:r>
              <w:rPr>
                <w:rFonts w:ascii="Calibri" w:hAnsi="Calibri" w:cs="Calibri"/>
                <w:color w:val="auto"/>
                <w:sz w:val="20"/>
                <w:szCs w:val="20"/>
              </w:rPr>
              <w:t>Сервиз финансови пазари ЕООД</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B52B39" w:rsidRPr="001C3431" w:rsidRDefault="001C3431" w:rsidP="00B52B39">
            <w:pPr>
              <w:jc w:val="right"/>
              <w:rPr>
                <w:rFonts w:cs="Calibri"/>
                <w:bCs/>
                <w:color w:val="000000"/>
                <w:sz w:val="20"/>
                <w:szCs w:val="20"/>
              </w:rPr>
            </w:pPr>
            <w:r>
              <w:rPr>
                <w:rFonts w:cs="Calibri"/>
                <w:bCs/>
                <w:color w:val="000000"/>
                <w:sz w:val="20"/>
                <w:szCs w:val="20"/>
              </w:rPr>
              <w:t>9</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B52B39" w:rsidRPr="001C3431" w:rsidRDefault="001C3431" w:rsidP="00B52B39">
            <w:pPr>
              <w:jc w:val="right"/>
              <w:rPr>
                <w:rFonts w:cs="Calibri"/>
                <w:bCs/>
                <w:color w:val="000000"/>
                <w:sz w:val="20"/>
                <w:szCs w:val="20"/>
              </w:rPr>
            </w:pPr>
            <w:r>
              <w:rPr>
                <w:rFonts w:cs="Calibri"/>
                <w:bCs/>
                <w:color w:val="000000"/>
                <w:sz w:val="20"/>
                <w:szCs w:val="20"/>
              </w:rPr>
              <w:t>9</w:t>
            </w:r>
          </w:p>
        </w:tc>
      </w:tr>
      <w:tr w:rsidR="001C3431" w:rsidRPr="001C3431"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center"/>
          </w:tcPr>
          <w:p w:rsidR="001C3431" w:rsidRDefault="001C3431" w:rsidP="00DC2097">
            <w:pPr>
              <w:pStyle w:val="a2"/>
              <w:rPr>
                <w:rFonts w:ascii="Calibri" w:hAnsi="Calibri" w:cs="Calibri"/>
                <w:color w:val="auto"/>
                <w:sz w:val="20"/>
                <w:szCs w:val="20"/>
              </w:rPr>
            </w:pPr>
            <w:r>
              <w:rPr>
                <w:rFonts w:ascii="Calibri" w:hAnsi="Calibri" w:cs="Calibri"/>
                <w:color w:val="auto"/>
                <w:sz w:val="20"/>
                <w:szCs w:val="20"/>
              </w:rPr>
              <w:t>Такса членство</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Default="001C3431" w:rsidP="00DC2097">
            <w:pPr>
              <w:pStyle w:val="a2"/>
              <w:rPr>
                <w:rFonts w:ascii="Calibri" w:hAnsi="Calibri" w:cs="Calibri"/>
                <w:color w:val="auto"/>
                <w:sz w:val="20"/>
                <w:szCs w:val="20"/>
              </w:rPr>
            </w:pPr>
            <w:r w:rsidRPr="001C3431">
              <w:rPr>
                <w:rFonts w:ascii="Calibri" w:hAnsi="Calibri" w:cs="Calibri"/>
                <w:color w:val="auto"/>
                <w:sz w:val="20"/>
                <w:szCs w:val="20"/>
              </w:rPr>
              <w:t>Сии Линк Скопие</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Default="001C3431" w:rsidP="00B52B39">
            <w:pPr>
              <w:jc w:val="right"/>
              <w:rPr>
                <w:rFonts w:cs="Calibri"/>
                <w:bCs/>
                <w:color w:val="000000"/>
                <w:sz w:val="20"/>
                <w:szCs w:val="20"/>
              </w:rPr>
            </w:pPr>
            <w:r>
              <w:rPr>
                <w:rFonts w:cs="Calibri"/>
                <w:bCs/>
                <w:color w:val="000000"/>
                <w:sz w:val="20"/>
                <w:szCs w:val="20"/>
              </w:rPr>
              <w:t>4</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Default="001C3431" w:rsidP="00B52B39">
            <w:pPr>
              <w:jc w:val="right"/>
              <w:rPr>
                <w:rFonts w:cs="Calibri"/>
                <w:bCs/>
                <w:color w:val="000000"/>
                <w:sz w:val="20"/>
                <w:szCs w:val="20"/>
              </w:rPr>
            </w:pPr>
            <w:r>
              <w:rPr>
                <w:rFonts w:cs="Calibri"/>
                <w:bCs/>
                <w:color w:val="000000"/>
                <w:sz w:val="20"/>
                <w:szCs w:val="20"/>
              </w:rPr>
              <w:t>4</w:t>
            </w:r>
          </w:p>
        </w:tc>
      </w:tr>
      <w:tr w:rsidR="001C3431" w:rsidRPr="001C3431"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pStyle w:val="a2"/>
              <w:rPr>
                <w:rFonts w:ascii="Calibri" w:hAnsi="Calibri" w:cs="Calibri"/>
                <w:color w:val="auto"/>
                <w:sz w:val="20"/>
                <w:szCs w:val="20"/>
              </w:rPr>
            </w:pPr>
            <w:r w:rsidRPr="001C3431">
              <w:rPr>
                <w:rFonts w:ascii="Calibri" w:hAnsi="Calibri" w:cs="Calibri"/>
                <w:color w:val="auto"/>
                <w:sz w:val="20"/>
                <w:szCs w:val="20"/>
              </w:rPr>
              <w:t>Информационно обслужване</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pStyle w:val="a2"/>
              <w:rPr>
                <w:rFonts w:ascii="Calibri" w:hAnsi="Calibri" w:cs="Calibri"/>
                <w:color w:val="auto"/>
                <w:sz w:val="20"/>
                <w:szCs w:val="20"/>
              </w:rPr>
            </w:pPr>
            <w:r w:rsidRPr="001C3431">
              <w:rPr>
                <w:rFonts w:ascii="Calibri" w:hAnsi="Calibri" w:cs="Calibri"/>
                <w:color w:val="auto"/>
                <w:sz w:val="20"/>
                <w:szCs w:val="20"/>
              </w:rPr>
              <w:t>Централен депозитар АД</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jc w:val="right"/>
              <w:rPr>
                <w:rFonts w:cs="Calibri"/>
                <w:bCs/>
                <w:color w:val="000000"/>
                <w:sz w:val="20"/>
                <w:szCs w:val="20"/>
              </w:rPr>
            </w:pPr>
            <w:r>
              <w:rPr>
                <w:rFonts w:cs="Calibri"/>
                <w:bCs/>
                <w:color w:val="000000"/>
                <w:sz w:val="20"/>
                <w:szCs w:val="20"/>
              </w:rPr>
              <w:t>-</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jc w:val="right"/>
              <w:rPr>
                <w:rFonts w:cs="Calibri"/>
                <w:bCs/>
                <w:color w:val="000000"/>
                <w:sz w:val="20"/>
                <w:szCs w:val="20"/>
              </w:rPr>
            </w:pPr>
            <w:r w:rsidRPr="001C3431">
              <w:rPr>
                <w:rFonts w:cs="Calibri"/>
                <w:bCs/>
                <w:color w:val="000000"/>
                <w:sz w:val="20"/>
                <w:szCs w:val="20"/>
              </w:rPr>
              <w:t>-</w:t>
            </w:r>
          </w:p>
        </w:tc>
      </w:tr>
      <w:tr w:rsidR="001C3431" w:rsidRPr="001C3431"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pStyle w:val="a2"/>
              <w:rPr>
                <w:rFonts w:ascii="Calibri" w:hAnsi="Calibri" w:cs="Calibri"/>
                <w:color w:val="auto"/>
                <w:sz w:val="20"/>
                <w:szCs w:val="20"/>
              </w:rPr>
            </w:pPr>
            <w:r>
              <w:rPr>
                <w:rFonts w:ascii="Calibri" w:hAnsi="Calibri" w:cs="Calibri"/>
                <w:color w:val="auto"/>
                <w:sz w:val="20"/>
                <w:szCs w:val="20"/>
              </w:rPr>
              <w:t>Възнаграждения за опериране с продукта Х3</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pStyle w:val="a2"/>
              <w:rPr>
                <w:rFonts w:ascii="Calibri" w:hAnsi="Calibri" w:cs="Calibri"/>
                <w:color w:val="auto"/>
                <w:sz w:val="20"/>
                <w:szCs w:val="20"/>
              </w:rPr>
            </w:pPr>
            <w:r>
              <w:rPr>
                <w:rFonts w:ascii="Calibri" w:hAnsi="Calibri" w:cs="Calibri"/>
                <w:color w:val="auto"/>
                <w:sz w:val="20"/>
                <w:szCs w:val="20"/>
              </w:rPr>
              <w:t>Сервиз финансови пазари ЕООД</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jc w:val="right"/>
              <w:rPr>
                <w:rFonts w:cs="Calibri"/>
                <w:bCs/>
                <w:color w:val="000000"/>
                <w:sz w:val="20"/>
                <w:szCs w:val="20"/>
              </w:rPr>
            </w:pPr>
            <w:r>
              <w:rPr>
                <w:rFonts w:cs="Calibri"/>
                <w:bCs/>
                <w:color w:val="000000"/>
                <w:sz w:val="20"/>
                <w:szCs w:val="20"/>
              </w:rPr>
              <w:t>1</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9A1913">
            <w:pPr>
              <w:jc w:val="right"/>
              <w:rPr>
                <w:rFonts w:cs="Calibri"/>
                <w:bCs/>
                <w:color w:val="000000"/>
                <w:sz w:val="20"/>
                <w:szCs w:val="20"/>
              </w:rPr>
            </w:pPr>
            <w:r>
              <w:rPr>
                <w:rFonts w:cs="Calibri"/>
                <w:bCs/>
                <w:color w:val="000000"/>
                <w:sz w:val="20"/>
                <w:szCs w:val="20"/>
              </w:rPr>
              <w:t>1</w:t>
            </w:r>
          </w:p>
        </w:tc>
      </w:tr>
      <w:tr w:rsidR="001C3431" w:rsidRPr="001C3431" w:rsidTr="009A1913">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bottom"/>
          </w:tcPr>
          <w:p w:rsidR="001C3431" w:rsidRPr="001C3431" w:rsidRDefault="001C3431" w:rsidP="001C3431">
            <w:pPr>
              <w:pStyle w:val="a2"/>
              <w:widowControl w:val="0"/>
              <w:jc w:val="both"/>
              <w:rPr>
                <w:rFonts w:ascii="Calibri" w:hAnsi="Calibri" w:cs="Calibri"/>
                <w:color w:val="auto"/>
                <w:sz w:val="20"/>
                <w:szCs w:val="20"/>
              </w:rPr>
            </w:pPr>
            <w:r w:rsidRPr="001C3431">
              <w:rPr>
                <w:rFonts w:ascii="Calibri" w:hAnsi="Calibri" w:cs="Calibri"/>
                <w:color w:val="auto"/>
                <w:sz w:val="20"/>
                <w:szCs w:val="20"/>
              </w:rPr>
              <w:t xml:space="preserve">Такса </w:t>
            </w:r>
            <w:r>
              <w:rPr>
                <w:rFonts w:ascii="Calibri" w:hAnsi="Calibri" w:cs="Calibri"/>
                <w:color w:val="auto"/>
                <w:sz w:val="20"/>
                <w:szCs w:val="20"/>
              </w:rPr>
              <w:t>попечителски услуги</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bottom"/>
          </w:tcPr>
          <w:p w:rsidR="001C3431" w:rsidRPr="001C3431" w:rsidRDefault="001C3431" w:rsidP="009A1913">
            <w:pPr>
              <w:pStyle w:val="a2"/>
              <w:widowControl w:val="0"/>
              <w:jc w:val="both"/>
              <w:rPr>
                <w:rFonts w:ascii="Calibri" w:hAnsi="Calibri" w:cs="Calibri"/>
                <w:color w:val="auto"/>
                <w:sz w:val="20"/>
                <w:szCs w:val="20"/>
              </w:rPr>
            </w:pPr>
            <w:r w:rsidRPr="001C3431">
              <w:rPr>
                <w:rFonts w:ascii="Calibri" w:hAnsi="Calibri" w:cs="Calibri"/>
                <w:color w:val="auto"/>
                <w:sz w:val="20"/>
                <w:szCs w:val="20"/>
              </w:rPr>
              <w:t>Юробанк България АД</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B52B39">
            <w:pPr>
              <w:jc w:val="right"/>
              <w:rPr>
                <w:rFonts w:cs="Calibri"/>
                <w:bCs/>
                <w:color w:val="000000"/>
                <w:sz w:val="20"/>
                <w:szCs w:val="20"/>
              </w:rPr>
            </w:pPr>
            <w:r>
              <w:rPr>
                <w:rFonts w:cs="Calibri"/>
                <w:bCs/>
                <w:color w:val="000000"/>
                <w:sz w:val="20"/>
                <w:szCs w:val="20"/>
              </w:rPr>
              <w:t>-</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tcPr>
          <w:p w:rsidR="001C3431" w:rsidRPr="001C3431" w:rsidRDefault="001C3431" w:rsidP="00B52B39">
            <w:pPr>
              <w:jc w:val="right"/>
              <w:rPr>
                <w:rFonts w:cs="Calibri"/>
                <w:bCs/>
                <w:color w:val="000000"/>
                <w:sz w:val="20"/>
                <w:szCs w:val="20"/>
              </w:rPr>
            </w:pPr>
            <w:r w:rsidRPr="001C3431">
              <w:rPr>
                <w:rFonts w:cs="Calibri"/>
                <w:bCs/>
                <w:color w:val="000000"/>
                <w:sz w:val="20"/>
                <w:szCs w:val="20"/>
              </w:rPr>
              <w:t>-</w:t>
            </w:r>
          </w:p>
        </w:tc>
      </w:tr>
      <w:tr w:rsidR="001C3431" w:rsidRPr="00F55B63" w:rsidTr="001C3431">
        <w:trPr>
          <w:trHeight w:val="170"/>
          <w:jc w:val="center"/>
        </w:trPr>
        <w:tc>
          <w:tcPr>
            <w:tcW w:w="4164" w:type="dxa"/>
            <w:tcBorders>
              <w:top w:val="nil"/>
              <w:left w:val="single" w:sz="4" w:space="0" w:color="auto"/>
              <w:bottom w:val="single" w:sz="4" w:space="0" w:color="auto"/>
              <w:right w:val="single" w:sz="4" w:space="0" w:color="auto"/>
            </w:tcBorders>
            <w:shd w:val="clear" w:color="auto" w:fill="auto"/>
            <w:noWrap/>
            <w:tcMar>
              <w:left w:w="28" w:type="dxa"/>
              <w:right w:w="57" w:type="dxa"/>
            </w:tcMar>
            <w:vAlign w:val="center"/>
            <w:hideMark/>
          </w:tcPr>
          <w:p w:rsidR="001C3431" w:rsidRPr="001C3431" w:rsidRDefault="001C3431" w:rsidP="00DC2097">
            <w:pPr>
              <w:widowControl/>
              <w:jc w:val="left"/>
              <w:rPr>
                <w:rFonts w:cs="Calibri"/>
                <w:b/>
                <w:bCs/>
                <w:sz w:val="20"/>
                <w:szCs w:val="20"/>
                <w:lang w:eastAsia="en-US"/>
              </w:rPr>
            </w:pPr>
            <w:r w:rsidRPr="001C3431">
              <w:rPr>
                <w:rFonts w:cs="Calibri"/>
                <w:b/>
                <w:bCs/>
                <w:sz w:val="20"/>
                <w:szCs w:val="20"/>
                <w:lang w:eastAsia="en-US"/>
              </w:rPr>
              <w:t>Общо</w:t>
            </w:r>
          </w:p>
        </w:tc>
        <w:tc>
          <w:tcPr>
            <w:tcW w:w="4176"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1C3431" w:rsidRPr="001C3431" w:rsidRDefault="001C3431" w:rsidP="00DC2097">
            <w:pPr>
              <w:widowControl/>
              <w:jc w:val="left"/>
              <w:rPr>
                <w:rFonts w:cs="Calibri"/>
                <w:color w:val="000000"/>
                <w:sz w:val="20"/>
                <w:szCs w:val="20"/>
                <w:lang w:eastAsia="en-US"/>
              </w:rPr>
            </w:pPr>
            <w:r w:rsidRPr="001C3431">
              <w:rPr>
                <w:rFonts w:cs="Calibri"/>
                <w:color w:val="000000"/>
                <w:sz w:val="20"/>
                <w:szCs w:val="20"/>
                <w:lang w:eastAsia="en-US"/>
              </w:rPr>
              <w:t> </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1C3431" w:rsidRPr="001C3431" w:rsidRDefault="001C3431" w:rsidP="00B52B39">
            <w:pPr>
              <w:jc w:val="right"/>
              <w:rPr>
                <w:rFonts w:cs="Calibri"/>
                <w:b/>
                <w:bCs/>
                <w:color w:val="000000"/>
                <w:sz w:val="20"/>
                <w:szCs w:val="20"/>
              </w:rPr>
            </w:pPr>
            <w:r>
              <w:rPr>
                <w:rFonts w:cs="Calibri"/>
                <w:b/>
                <w:bCs/>
                <w:color w:val="000000"/>
                <w:sz w:val="20"/>
                <w:szCs w:val="20"/>
              </w:rPr>
              <w:t>14</w:t>
            </w:r>
          </w:p>
        </w:tc>
        <w:tc>
          <w:tcPr>
            <w:tcW w:w="1127" w:type="dxa"/>
            <w:tcBorders>
              <w:top w:val="nil"/>
              <w:left w:val="nil"/>
              <w:bottom w:val="single" w:sz="4" w:space="0" w:color="auto"/>
              <w:right w:val="single" w:sz="4" w:space="0" w:color="auto"/>
            </w:tcBorders>
            <w:shd w:val="clear" w:color="auto" w:fill="auto"/>
            <w:noWrap/>
            <w:tcMar>
              <w:left w:w="28" w:type="dxa"/>
              <w:right w:w="57" w:type="dxa"/>
            </w:tcMar>
            <w:vAlign w:val="center"/>
            <w:hideMark/>
          </w:tcPr>
          <w:p w:rsidR="001C3431" w:rsidRPr="001C3431" w:rsidRDefault="001C3431" w:rsidP="00B52B39">
            <w:pPr>
              <w:jc w:val="right"/>
              <w:rPr>
                <w:rFonts w:cs="Calibri"/>
                <w:b/>
                <w:bCs/>
                <w:color w:val="000000"/>
                <w:sz w:val="20"/>
                <w:szCs w:val="20"/>
              </w:rPr>
            </w:pPr>
            <w:r>
              <w:rPr>
                <w:rFonts w:cs="Calibri"/>
                <w:b/>
                <w:bCs/>
                <w:color w:val="000000"/>
                <w:sz w:val="20"/>
                <w:szCs w:val="20"/>
              </w:rPr>
              <w:t>14</w:t>
            </w:r>
          </w:p>
        </w:tc>
      </w:tr>
    </w:tbl>
    <w:p w:rsidR="00FD44DC" w:rsidRPr="00F55B63" w:rsidRDefault="00FD44DC" w:rsidP="00D65947">
      <w:pPr>
        <w:pStyle w:val="BodyText"/>
        <w:tabs>
          <w:tab w:val="left" w:pos="720"/>
        </w:tabs>
        <w:spacing w:line="260" w:lineRule="exact"/>
        <w:rPr>
          <w:rFonts w:cs="Calibri"/>
          <w:b w:val="0"/>
          <w:szCs w:val="22"/>
          <w:highlight w:val="yellow"/>
        </w:rPr>
      </w:pPr>
    </w:p>
    <w:p w:rsidR="00D65947" w:rsidRPr="00490466" w:rsidRDefault="00D65947" w:rsidP="003A0CCD">
      <w:pPr>
        <w:spacing w:line="276" w:lineRule="auto"/>
        <w:rPr>
          <w:rFonts w:cs="Calibri"/>
          <w:szCs w:val="22"/>
        </w:rPr>
      </w:pPr>
      <w:r w:rsidRPr="00490466">
        <w:rPr>
          <w:rFonts w:cs="Calibri"/>
          <w:szCs w:val="22"/>
        </w:rPr>
        <w:t>Разчети със свързани лица</w:t>
      </w:r>
    </w:p>
    <w:p w:rsidR="006678D4" w:rsidRPr="00490466" w:rsidRDefault="003B73E5" w:rsidP="003A0CCD">
      <w:pPr>
        <w:spacing w:line="276" w:lineRule="auto"/>
        <w:rPr>
          <w:rFonts w:cs="Calibri"/>
          <w:szCs w:val="22"/>
        </w:rPr>
      </w:pPr>
      <w:r w:rsidRPr="00490466">
        <w:rPr>
          <w:rFonts w:cs="Calibri"/>
          <w:szCs w:val="22"/>
        </w:rPr>
        <w:t xml:space="preserve">Разчетните взаимоотношения със свързани лица включват вземания по продажби </w:t>
      </w:r>
      <w:r w:rsidR="000233E0" w:rsidRPr="00490466">
        <w:rPr>
          <w:rFonts w:cs="Calibri"/>
          <w:szCs w:val="22"/>
        </w:rPr>
        <w:t xml:space="preserve">и към </w:t>
      </w:r>
      <w:r w:rsidR="00EA4A74" w:rsidRPr="00490466">
        <w:rPr>
          <w:rFonts w:cs="Calibri"/>
          <w:szCs w:val="22"/>
        </w:rPr>
        <w:t>31.</w:t>
      </w:r>
      <w:r w:rsidR="008D6A03" w:rsidRPr="00490466">
        <w:rPr>
          <w:rFonts w:cs="Calibri"/>
          <w:szCs w:val="22"/>
        </w:rPr>
        <w:t>03</w:t>
      </w:r>
      <w:r w:rsidR="00EA4A74" w:rsidRPr="00490466">
        <w:rPr>
          <w:rFonts w:cs="Calibri"/>
          <w:szCs w:val="22"/>
        </w:rPr>
        <w:t>.20</w:t>
      </w:r>
      <w:r w:rsidR="00490466" w:rsidRPr="00490466">
        <w:rPr>
          <w:rFonts w:cs="Calibri"/>
          <w:szCs w:val="22"/>
        </w:rPr>
        <w:t>20</w:t>
      </w:r>
      <w:r w:rsidR="003A55CE" w:rsidRPr="00490466">
        <w:rPr>
          <w:rFonts w:cs="Calibri"/>
          <w:szCs w:val="22"/>
        </w:rPr>
        <w:t xml:space="preserve"> г.</w:t>
      </w:r>
      <w:r w:rsidR="000233E0" w:rsidRPr="00490466">
        <w:rPr>
          <w:rFonts w:cs="Calibri"/>
          <w:szCs w:val="22"/>
        </w:rPr>
        <w:t xml:space="preserve"> </w:t>
      </w:r>
      <w:r w:rsidR="003D4E57" w:rsidRPr="00490466">
        <w:rPr>
          <w:rFonts w:cs="Calibri"/>
          <w:szCs w:val="22"/>
        </w:rPr>
        <w:t xml:space="preserve">са в размер на </w:t>
      </w:r>
      <w:r w:rsidR="00FD44DC" w:rsidRPr="00490466">
        <w:rPr>
          <w:rFonts w:cs="Calibri"/>
          <w:szCs w:val="22"/>
        </w:rPr>
        <w:t>1</w:t>
      </w:r>
      <w:r w:rsidR="003D4E57" w:rsidRPr="00490466">
        <w:rPr>
          <w:rFonts w:cs="Calibri"/>
          <w:szCs w:val="22"/>
        </w:rPr>
        <w:t xml:space="preserve"> хил. лв.</w:t>
      </w:r>
      <w:r w:rsidR="003A55CE" w:rsidRPr="00490466">
        <w:rPr>
          <w:rFonts w:cs="Calibri"/>
          <w:szCs w:val="22"/>
        </w:rPr>
        <w:t xml:space="preserve"> (</w:t>
      </w:r>
      <w:r w:rsidR="003B5144" w:rsidRPr="00490466">
        <w:rPr>
          <w:rFonts w:cs="Calibri"/>
          <w:szCs w:val="22"/>
        </w:rPr>
        <w:t>3</w:t>
      </w:r>
      <w:r w:rsidR="00DC2097" w:rsidRPr="00490466">
        <w:rPr>
          <w:rFonts w:cs="Calibri"/>
          <w:szCs w:val="22"/>
        </w:rPr>
        <w:t>1</w:t>
      </w:r>
      <w:r w:rsidR="003A55CE" w:rsidRPr="00490466">
        <w:rPr>
          <w:rFonts w:cs="Calibri"/>
          <w:szCs w:val="22"/>
        </w:rPr>
        <w:t>.</w:t>
      </w:r>
      <w:r w:rsidR="008D6A03" w:rsidRPr="00490466">
        <w:rPr>
          <w:rFonts w:cs="Calibri"/>
          <w:szCs w:val="22"/>
        </w:rPr>
        <w:t>03</w:t>
      </w:r>
      <w:r w:rsidR="006B2641" w:rsidRPr="00490466">
        <w:rPr>
          <w:rFonts w:cs="Calibri"/>
          <w:szCs w:val="22"/>
        </w:rPr>
        <w:t>.201</w:t>
      </w:r>
      <w:r w:rsidR="00490466" w:rsidRPr="00490466">
        <w:rPr>
          <w:rFonts w:cs="Calibri"/>
          <w:szCs w:val="22"/>
        </w:rPr>
        <w:t>9</w:t>
      </w:r>
      <w:r w:rsidR="006B2641" w:rsidRPr="00490466">
        <w:rPr>
          <w:rFonts w:cs="Calibri"/>
          <w:szCs w:val="22"/>
        </w:rPr>
        <w:t xml:space="preserve"> г.</w:t>
      </w:r>
      <w:r w:rsidR="003A55CE" w:rsidRPr="00490466">
        <w:rPr>
          <w:rFonts w:cs="Calibri"/>
          <w:szCs w:val="22"/>
        </w:rPr>
        <w:t xml:space="preserve">: </w:t>
      </w:r>
      <w:r w:rsidR="00A2777E" w:rsidRPr="00490466">
        <w:rPr>
          <w:rFonts w:cs="Calibri"/>
          <w:szCs w:val="22"/>
        </w:rPr>
        <w:t>1</w:t>
      </w:r>
      <w:r w:rsidR="003B5144" w:rsidRPr="00490466">
        <w:rPr>
          <w:rFonts w:cs="Calibri"/>
          <w:szCs w:val="22"/>
        </w:rPr>
        <w:t xml:space="preserve"> хил</w:t>
      </w:r>
      <w:r w:rsidR="00490466">
        <w:rPr>
          <w:rFonts w:cs="Calibri"/>
          <w:szCs w:val="22"/>
        </w:rPr>
        <w:t>.</w:t>
      </w:r>
      <w:r w:rsidR="003B5144" w:rsidRPr="00490466">
        <w:rPr>
          <w:rFonts w:cs="Calibri"/>
          <w:szCs w:val="22"/>
        </w:rPr>
        <w:t xml:space="preserve"> лв</w:t>
      </w:r>
      <w:r w:rsidR="00490466">
        <w:rPr>
          <w:rFonts w:cs="Calibri"/>
          <w:szCs w:val="22"/>
        </w:rPr>
        <w:t>.</w:t>
      </w:r>
      <w:r w:rsidR="003A55CE" w:rsidRPr="00490466">
        <w:rPr>
          <w:rFonts w:cs="Calibri"/>
          <w:szCs w:val="22"/>
        </w:rPr>
        <w:t>)</w:t>
      </w:r>
      <w:r w:rsidR="00D65947" w:rsidRPr="00490466">
        <w:rPr>
          <w:rFonts w:cs="Calibri"/>
          <w:szCs w:val="22"/>
        </w:rPr>
        <w:t>.</w:t>
      </w:r>
    </w:p>
    <w:p w:rsidR="00D65947" w:rsidRPr="00EB2852" w:rsidRDefault="00D65947" w:rsidP="0098559B">
      <w:pPr>
        <w:pStyle w:val="SubNumbers"/>
        <w:ind w:left="1418" w:hanging="916"/>
        <w:rPr>
          <w:rFonts w:cs="Calibri"/>
        </w:rPr>
      </w:pPr>
      <w:bookmarkStart w:id="94" w:name="_Toc42271178"/>
      <w:r w:rsidRPr="00EB2852">
        <w:rPr>
          <w:rFonts w:cs="Calibri"/>
        </w:rPr>
        <w:t>Основен доход на акция</w:t>
      </w:r>
      <w:bookmarkEnd w:id="94"/>
    </w:p>
    <w:p w:rsidR="00D65947" w:rsidRPr="00596BE4" w:rsidRDefault="00D65947" w:rsidP="003A0CCD">
      <w:pPr>
        <w:tabs>
          <w:tab w:val="left" w:pos="360"/>
        </w:tabs>
        <w:spacing w:line="276" w:lineRule="auto"/>
        <w:rPr>
          <w:rFonts w:cs="Calibri"/>
          <w:szCs w:val="22"/>
        </w:rPr>
      </w:pPr>
      <w:r w:rsidRPr="00596BE4">
        <w:rPr>
          <w:rFonts w:cs="Calibri"/>
          <w:szCs w:val="22"/>
        </w:rPr>
        <w:t xml:space="preserve">Нетната печалба на една акция е изчислена на база на нетната печалба на Групата за периода и броя на обикновените акции </w:t>
      </w:r>
      <w:r w:rsidR="00665D0A" w:rsidRPr="00596BE4">
        <w:rPr>
          <w:rFonts w:cs="Calibri"/>
          <w:szCs w:val="22"/>
        </w:rPr>
        <w:t xml:space="preserve">на дружеството-майка </w:t>
      </w:r>
      <w:r w:rsidRPr="00596BE4">
        <w:rPr>
          <w:rFonts w:cs="Calibri"/>
          <w:szCs w:val="22"/>
        </w:rPr>
        <w:t>през отчетния период.</w:t>
      </w:r>
    </w:p>
    <w:p w:rsidR="00327F09" w:rsidRPr="00596BE4" w:rsidRDefault="00327F09" w:rsidP="003A0CCD">
      <w:pPr>
        <w:tabs>
          <w:tab w:val="left" w:pos="360"/>
        </w:tabs>
        <w:spacing w:line="276" w:lineRule="auto"/>
        <w:rPr>
          <w:rFonts w:cs="Calibri"/>
          <w:szCs w:val="22"/>
        </w:rPr>
      </w:pPr>
    </w:p>
    <w:p w:rsidR="00D65947" w:rsidRPr="00EB2852" w:rsidRDefault="00D65947" w:rsidP="00D65947">
      <w:pPr>
        <w:tabs>
          <w:tab w:val="left" w:pos="360"/>
        </w:tabs>
        <w:rPr>
          <w:rFonts w:cs="Calibri"/>
          <w:b/>
          <w:szCs w:val="20"/>
        </w:rPr>
      </w:pPr>
      <w:r w:rsidRPr="00EB2852">
        <w:rPr>
          <w:rFonts w:cs="Calibri"/>
          <w:b/>
          <w:szCs w:val="20"/>
        </w:rPr>
        <w:t>Таблица 15. Доход на акция</w:t>
      </w:r>
    </w:p>
    <w:tbl>
      <w:tblPr>
        <w:tblW w:w="7803" w:type="dxa"/>
        <w:jc w:val="center"/>
        <w:tblCellMar>
          <w:left w:w="70" w:type="dxa"/>
          <w:right w:w="70" w:type="dxa"/>
        </w:tblCellMar>
        <w:tblLook w:val="04A0"/>
      </w:tblPr>
      <w:tblGrid>
        <w:gridCol w:w="4980"/>
        <w:gridCol w:w="1414"/>
        <w:gridCol w:w="1409"/>
      </w:tblGrid>
      <w:tr w:rsidR="00801A77" w:rsidRPr="00EB2852" w:rsidTr="008E05D1">
        <w:trPr>
          <w:trHeight w:val="170"/>
          <w:jc w:val="center"/>
        </w:trPr>
        <w:tc>
          <w:tcPr>
            <w:tcW w:w="4980" w:type="dxa"/>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rsidR="00801A77" w:rsidRPr="00EB2852" w:rsidRDefault="00801A77" w:rsidP="008E05D1">
            <w:pPr>
              <w:widowControl/>
              <w:jc w:val="left"/>
              <w:rPr>
                <w:rFonts w:cs="Calibri"/>
                <w:bCs/>
                <w:color w:val="FFFFFF"/>
                <w:sz w:val="20"/>
                <w:szCs w:val="20"/>
              </w:rPr>
            </w:pPr>
            <w:bookmarkStart w:id="95" w:name="_GoBack" w:colFirst="1" w:colLast="2"/>
            <w:r w:rsidRPr="00EB2852">
              <w:rPr>
                <w:rFonts w:cs="Calibri"/>
                <w:bCs/>
                <w:color w:val="FFFFFF"/>
                <w:sz w:val="20"/>
                <w:szCs w:val="20"/>
              </w:rPr>
              <w:t>Основен доход на акция</w:t>
            </w:r>
          </w:p>
        </w:tc>
        <w:tc>
          <w:tcPr>
            <w:tcW w:w="1414" w:type="dxa"/>
            <w:tcBorders>
              <w:top w:val="single" w:sz="4" w:space="0" w:color="auto"/>
              <w:left w:val="nil"/>
              <w:bottom w:val="single" w:sz="4" w:space="0" w:color="auto"/>
              <w:right w:val="single" w:sz="4" w:space="0" w:color="auto"/>
            </w:tcBorders>
            <w:shd w:val="clear" w:color="auto" w:fill="4F81BD" w:themeFill="accent1"/>
            <w:vAlign w:val="center"/>
            <w:hideMark/>
          </w:tcPr>
          <w:p w:rsidR="00801A77" w:rsidRPr="00EB2852" w:rsidRDefault="00DC2097" w:rsidP="00EB2852">
            <w:pPr>
              <w:widowControl/>
              <w:jc w:val="center"/>
              <w:rPr>
                <w:rFonts w:cs="Calibri"/>
                <w:color w:val="FFFFFF"/>
                <w:sz w:val="20"/>
                <w:szCs w:val="20"/>
              </w:rPr>
            </w:pPr>
            <w:r w:rsidRPr="00EB2852">
              <w:rPr>
                <w:rFonts w:cs="Calibri"/>
                <w:color w:val="FFFFFF"/>
                <w:sz w:val="20"/>
                <w:szCs w:val="20"/>
              </w:rPr>
              <w:t>31.</w:t>
            </w:r>
            <w:r w:rsidR="00765361" w:rsidRPr="00EB2852">
              <w:rPr>
                <w:rFonts w:cs="Calibri"/>
                <w:color w:val="FFFFFF"/>
                <w:sz w:val="20"/>
                <w:szCs w:val="20"/>
              </w:rPr>
              <w:t>03</w:t>
            </w:r>
            <w:r w:rsidRPr="00EB2852">
              <w:rPr>
                <w:rFonts w:cs="Calibri"/>
                <w:color w:val="FFFFFF"/>
                <w:sz w:val="20"/>
                <w:szCs w:val="20"/>
              </w:rPr>
              <w:t>.</w:t>
            </w:r>
            <w:r w:rsidR="00801A77" w:rsidRPr="00EB2852">
              <w:rPr>
                <w:rFonts w:cs="Calibri"/>
                <w:color w:val="FFFFFF"/>
                <w:sz w:val="20"/>
                <w:szCs w:val="20"/>
              </w:rPr>
              <w:t>20</w:t>
            </w:r>
            <w:r w:rsidR="00EB2852">
              <w:rPr>
                <w:rFonts w:cs="Calibri"/>
                <w:color w:val="FFFFFF"/>
                <w:sz w:val="20"/>
                <w:szCs w:val="20"/>
              </w:rPr>
              <w:t>20</w:t>
            </w:r>
          </w:p>
        </w:tc>
        <w:tc>
          <w:tcPr>
            <w:tcW w:w="1409" w:type="dxa"/>
            <w:tcBorders>
              <w:top w:val="single" w:sz="4" w:space="0" w:color="auto"/>
              <w:left w:val="nil"/>
              <w:bottom w:val="single" w:sz="4" w:space="0" w:color="auto"/>
              <w:right w:val="single" w:sz="4" w:space="0" w:color="auto"/>
            </w:tcBorders>
            <w:shd w:val="clear" w:color="auto" w:fill="4F81BD" w:themeFill="accent1"/>
            <w:vAlign w:val="center"/>
            <w:hideMark/>
          </w:tcPr>
          <w:p w:rsidR="00801A77" w:rsidRPr="00EB2852" w:rsidRDefault="00801A77" w:rsidP="00DC2097">
            <w:pPr>
              <w:widowControl/>
              <w:jc w:val="center"/>
              <w:rPr>
                <w:rFonts w:cs="Calibri"/>
                <w:color w:val="FFFFFF"/>
                <w:sz w:val="20"/>
                <w:szCs w:val="20"/>
              </w:rPr>
            </w:pPr>
            <w:r w:rsidRPr="00EB2852">
              <w:rPr>
                <w:rFonts w:cs="Calibri"/>
                <w:color w:val="FFFFFF"/>
                <w:sz w:val="20"/>
                <w:szCs w:val="20"/>
              </w:rPr>
              <w:t>3</w:t>
            </w:r>
            <w:r w:rsidR="00DC2097" w:rsidRPr="00EB2852">
              <w:rPr>
                <w:rFonts w:cs="Calibri"/>
                <w:color w:val="FFFFFF"/>
                <w:sz w:val="20"/>
                <w:szCs w:val="20"/>
              </w:rPr>
              <w:t>1</w:t>
            </w:r>
            <w:r w:rsidRPr="00EB2852">
              <w:rPr>
                <w:rFonts w:cs="Calibri"/>
                <w:color w:val="FFFFFF"/>
                <w:sz w:val="20"/>
                <w:szCs w:val="20"/>
              </w:rPr>
              <w:t>.</w:t>
            </w:r>
            <w:r w:rsidR="00765361" w:rsidRPr="00EB2852">
              <w:rPr>
                <w:rFonts w:cs="Calibri"/>
                <w:color w:val="FFFFFF"/>
                <w:sz w:val="20"/>
                <w:szCs w:val="20"/>
              </w:rPr>
              <w:t>03</w:t>
            </w:r>
            <w:r w:rsidRPr="00EB2852">
              <w:rPr>
                <w:rFonts w:cs="Calibri"/>
                <w:color w:val="FFFFFF"/>
                <w:sz w:val="20"/>
                <w:szCs w:val="20"/>
              </w:rPr>
              <w:t>.201</w:t>
            </w:r>
            <w:r w:rsidR="00765361" w:rsidRPr="00EB2852">
              <w:rPr>
                <w:rFonts w:cs="Calibri"/>
                <w:color w:val="FFFFFF"/>
                <w:sz w:val="20"/>
                <w:szCs w:val="20"/>
              </w:rPr>
              <w:t>9</w:t>
            </w:r>
          </w:p>
        </w:tc>
      </w:tr>
      <w:tr w:rsidR="00801A77" w:rsidRPr="00EB2852" w:rsidTr="008E05D1">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801A77" w:rsidRPr="00EB2852" w:rsidRDefault="00801A77" w:rsidP="008E05D1">
            <w:pPr>
              <w:widowControl/>
              <w:rPr>
                <w:rFonts w:cs="Calibri"/>
                <w:color w:val="000000"/>
                <w:sz w:val="20"/>
                <w:szCs w:val="20"/>
              </w:rPr>
            </w:pPr>
            <w:r w:rsidRPr="00EB2852">
              <w:rPr>
                <w:rFonts w:cs="Calibri"/>
                <w:color w:val="000000"/>
                <w:sz w:val="20"/>
                <w:szCs w:val="20"/>
              </w:rPr>
              <w:t>Средно претеглен брой акции</w:t>
            </w:r>
          </w:p>
        </w:tc>
        <w:tc>
          <w:tcPr>
            <w:tcW w:w="1414" w:type="dxa"/>
            <w:tcBorders>
              <w:top w:val="nil"/>
              <w:left w:val="nil"/>
              <w:bottom w:val="single" w:sz="4" w:space="0" w:color="auto"/>
              <w:right w:val="single" w:sz="4" w:space="0" w:color="auto"/>
            </w:tcBorders>
            <w:shd w:val="clear" w:color="auto" w:fill="auto"/>
            <w:noWrap/>
            <w:vAlign w:val="center"/>
            <w:hideMark/>
          </w:tcPr>
          <w:p w:rsidR="00801A77" w:rsidRPr="00EB2852" w:rsidRDefault="00801A77" w:rsidP="008E05D1">
            <w:pPr>
              <w:widowControl/>
              <w:jc w:val="right"/>
              <w:rPr>
                <w:rFonts w:cs="Calibri"/>
                <w:color w:val="000000"/>
                <w:sz w:val="20"/>
                <w:szCs w:val="20"/>
              </w:rPr>
            </w:pPr>
            <w:r w:rsidRPr="00EB2852">
              <w:rPr>
                <w:rFonts w:cs="Calibri"/>
                <w:color w:val="000000"/>
                <w:sz w:val="20"/>
                <w:szCs w:val="20"/>
              </w:rPr>
              <w:t>6 582 860</w:t>
            </w:r>
          </w:p>
        </w:tc>
        <w:tc>
          <w:tcPr>
            <w:tcW w:w="1409" w:type="dxa"/>
            <w:tcBorders>
              <w:top w:val="nil"/>
              <w:left w:val="nil"/>
              <w:bottom w:val="single" w:sz="4" w:space="0" w:color="auto"/>
              <w:right w:val="single" w:sz="4" w:space="0" w:color="auto"/>
            </w:tcBorders>
            <w:shd w:val="clear" w:color="auto" w:fill="auto"/>
            <w:noWrap/>
            <w:vAlign w:val="center"/>
            <w:hideMark/>
          </w:tcPr>
          <w:p w:rsidR="00801A77" w:rsidRPr="00EB2852" w:rsidRDefault="00801A77" w:rsidP="008E05D1">
            <w:pPr>
              <w:widowControl/>
              <w:jc w:val="right"/>
              <w:rPr>
                <w:rFonts w:cs="Calibri"/>
                <w:color w:val="000000"/>
                <w:sz w:val="20"/>
                <w:szCs w:val="20"/>
              </w:rPr>
            </w:pPr>
            <w:r w:rsidRPr="00EB2852">
              <w:rPr>
                <w:rFonts w:cs="Calibri"/>
                <w:color w:val="000000"/>
                <w:sz w:val="20"/>
                <w:szCs w:val="20"/>
              </w:rPr>
              <w:t>6 582 860</w:t>
            </w:r>
          </w:p>
        </w:tc>
      </w:tr>
      <w:tr w:rsidR="00801A77" w:rsidRPr="00EB2852" w:rsidTr="008E05D1">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801A77" w:rsidRPr="00EB2852" w:rsidRDefault="00B52B39" w:rsidP="00B52B39">
            <w:pPr>
              <w:widowControl/>
              <w:rPr>
                <w:rFonts w:cs="Calibri"/>
                <w:color w:val="000000"/>
                <w:sz w:val="20"/>
                <w:szCs w:val="20"/>
              </w:rPr>
            </w:pPr>
            <w:r w:rsidRPr="00EB2852">
              <w:rPr>
                <w:rFonts w:cs="Calibri"/>
                <w:color w:val="000000"/>
                <w:sz w:val="20"/>
                <w:szCs w:val="20"/>
              </w:rPr>
              <w:t xml:space="preserve">Нетна </w:t>
            </w:r>
            <w:r w:rsidR="00801A77" w:rsidRPr="00EB2852">
              <w:rPr>
                <w:rFonts w:cs="Calibri"/>
                <w:color w:val="000000"/>
                <w:sz w:val="20"/>
                <w:szCs w:val="20"/>
              </w:rPr>
              <w:t>печалба за годината</w:t>
            </w:r>
            <w:r w:rsidRPr="00EB2852">
              <w:rPr>
                <w:rFonts w:cs="Calibri"/>
                <w:color w:val="000000"/>
                <w:sz w:val="20"/>
                <w:szCs w:val="20"/>
              </w:rPr>
              <w:t>/периода</w:t>
            </w:r>
            <w:r w:rsidR="00801A77" w:rsidRPr="00EB2852">
              <w:rPr>
                <w:rFonts w:cs="Calibri"/>
                <w:color w:val="000000"/>
                <w:sz w:val="20"/>
                <w:szCs w:val="20"/>
              </w:rPr>
              <w:t xml:space="preserve"> (BGN’000)</w:t>
            </w:r>
          </w:p>
        </w:tc>
        <w:tc>
          <w:tcPr>
            <w:tcW w:w="1414" w:type="dxa"/>
            <w:tcBorders>
              <w:top w:val="nil"/>
              <w:left w:val="nil"/>
              <w:bottom w:val="single" w:sz="4" w:space="0" w:color="auto"/>
              <w:right w:val="single" w:sz="4" w:space="0" w:color="auto"/>
            </w:tcBorders>
            <w:shd w:val="clear" w:color="auto" w:fill="auto"/>
            <w:noWrap/>
            <w:vAlign w:val="center"/>
            <w:hideMark/>
          </w:tcPr>
          <w:p w:rsidR="00801A77" w:rsidRPr="00BB753B" w:rsidRDefault="00765361" w:rsidP="00BB753B">
            <w:pPr>
              <w:widowControl/>
              <w:jc w:val="right"/>
              <w:rPr>
                <w:rFonts w:cs="Calibri"/>
                <w:color w:val="000000"/>
                <w:sz w:val="20"/>
                <w:szCs w:val="20"/>
                <w:lang w:val="en-US"/>
              </w:rPr>
            </w:pPr>
            <w:r w:rsidRPr="00EB2852">
              <w:rPr>
                <w:rFonts w:cs="Calibri"/>
                <w:color w:val="000000"/>
                <w:sz w:val="20"/>
                <w:szCs w:val="20"/>
              </w:rPr>
              <w:t xml:space="preserve">1 </w:t>
            </w:r>
            <w:r w:rsidR="00EB2852">
              <w:rPr>
                <w:rFonts w:cs="Calibri"/>
                <w:color w:val="000000"/>
                <w:sz w:val="20"/>
                <w:szCs w:val="20"/>
              </w:rPr>
              <w:t>2</w:t>
            </w:r>
            <w:r w:rsidR="00BB753B">
              <w:rPr>
                <w:rFonts w:cs="Calibri"/>
                <w:color w:val="000000"/>
                <w:sz w:val="20"/>
                <w:szCs w:val="20"/>
                <w:lang w:val="en-US"/>
              </w:rPr>
              <w:t>79</w:t>
            </w:r>
          </w:p>
        </w:tc>
        <w:tc>
          <w:tcPr>
            <w:tcW w:w="1409" w:type="dxa"/>
            <w:tcBorders>
              <w:top w:val="nil"/>
              <w:left w:val="nil"/>
              <w:bottom w:val="single" w:sz="4" w:space="0" w:color="auto"/>
              <w:right w:val="single" w:sz="4" w:space="0" w:color="auto"/>
            </w:tcBorders>
            <w:shd w:val="clear" w:color="auto" w:fill="auto"/>
            <w:noWrap/>
            <w:vAlign w:val="center"/>
            <w:hideMark/>
          </w:tcPr>
          <w:p w:rsidR="00801A77" w:rsidRPr="00EB2852" w:rsidRDefault="00765361" w:rsidP="00DC2097">
            <w:pPr>
              <w:widowControl/>
              <w:jc w:val="right"/>
              <w:rPr>
                <w:rFonts w:cs="Calibri"/>
                <w:color w:val="000000"/>
                <w:sz w:val="20"/>
                <w:szCs w:val="20"/>
              </w:rPr>
            </w:pPr>
            <w:r w:rsidRPr="00EB2852">
              <w:rPr>
                <w:rFonts w:cs="Calibri"/>
                <w:color w:val="000000"/>
                <w:sz w:val="20"/>
                <w:szCs w:val="20"/>
              </w:rPr>
              <w:t>1 350</w:t>
            </w:r>
          </w:p>
        </w:tc>
      </w:tr>
      <w:tr w:rsidR="00801A77" w:rsidRPr="001255F1" w:rsidTr="008E05D1">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801A77" w:rsidRPr="00EB2852" w:rsidRDefault="00B52B39" w:rsidP="008E05D1">
            <w:pPr>
              <w:widowControl/>
              <w:rPr>
                <w:rFonts w:cs="Calibri"/>
                <w:color w:val="000000"/>
                <w:sz w:val="20"/>
                <w:szCs w:val="20"/>
              </w:rPr>
            </w:pPr>
            <w:r w:rsidRPr="00EB2852">
              <w:rPr>
                <w:rFonts w:cs="Calibri"/>
                <w:color w:val="000000"/>
                <w:sz w:val="20"/>
                <w:szCs w:val="20"/>
              </w:rPr>
              <w:t>Д</w:t>
            </w:r>
            <w:r w:rsidR="00801A77" w:rsidRPr="00EB2852">
              <w:rPr>
                <w:rFonts w:cs="Calibri"/>
                <w:color w:val="000000"/>
                <w:sz w:val="20"/>
                <w:szCs w:val="20"/>
              </w:rPr>
              <w:t>оход на акция (BGN)</w:t>
            </w:r>
          </w:p>
        </w:tc>
        <w:tc>
          <w:tcPr>
            <w:tcW w:w="1414" w:type="dxa"/>
            <w:tcBorders>
              <w:top w:val="nil"/>
              <w:left w:val="nil"/>
              <w:bottom w:val="single" w:sz="4" w:space="0" w:color="auto"/>
              <w:right w:val="single" w:sz="4" w:space="0" w:color="auto"/>
            </w:tcBorders>
            <w:shd w:val="clear" w:color="auto" w:fill="auto"/>
            <w:noWrap/>
            <w:vAlign w:val="center"/>
            <w:hideMark/>
          </w:tcPr>
          <w:p w:rsidR="00801A77" w:rsidRPr="00EB2852" w:rsidRDefault="00801A77" w:rsidP="00EB2852">
            <w:pPr>
              <w:widowControl/>
              <w:jc w:val="right"/>
              <w:rPr>
                <w:rFonts w:cs="Calibri"/>
                <w:color w:val="000000"/>
                <w:sz w:val="20"/>
                <w:szCs w:val="20"/>
              </w:rPr>
            </w:pPr>
            <w:r w:rsidRPr="00EB2852">
              <w:rPr>
                <w:rFonts w:cs="Calibri"/>
                <w:color w:val="000000"/>
                <w:sz w:val="20"/>
                <w:szCs w:val="20"/>
              </w:rPr>
              <w:t>0</w:t>
            </w:r>
            <w:r w:rsidR="00FD44DC" w:rsidRPr="00EB2852">
              <w:rPr>
                <w:rFonts w:cs="Calibri"/>
                <w:color w:val="000000"/>
                <w:sz w:val="20"/>
                <w:szCs w:val="20"/>
              </w:rPr>
              <w:t>.</w:t>
            </w:r>
            <w:r w:rsidR="00765361" w:rsidRPr="00EB2852">
              <w:rPr>
                <w:rFonts w:cs="Calibri"/>
                <w:color w:val="000000"/>
                <w:sz w:val="20"/>
                <w:szCs w:val="20"/>
              </w:rPr>
              <w:t>1</w:t>
            </w:r>
            <w:r w:rsidR="00EB2852">
              <w:rPr>
                <w:rFonts w:cs="Calibri"/>
                <w:color w:val="000000"/>
                <w:sz w:val="20"/>
                <w:szCs w:val="20"/>
              </w:rPr>
              <w:t>9</w:t>
            </w:r>
          </w:p>
        </w:tc>
        <w:tc>
          <w:tcPr>
            <w:tcW w:w="1409" w:type="dxa"/>
            <w:tcBorders>
              <w:top w:val="nil"/>
              <w:left w:val="nil"/>
              <w:bottom w:val="single" w:sz="4" w:space="0" w:color="auto"/>
              <w:right w:val="single" w:sz="4" w:space="0" w:color="auto"/>
            </w:tcBorders>
            <w:shd w:val="clear" w:color="auto" w:fill="auto"/>
            <w:noWrap/>
            <w:vAlign w:val="center"/>
            <w:hideMark/>
          </w:tcPr>
          <w:p w:rsidR="00801A77" w:rsidRPr="00250278" w:rsidRDefault="00801A77" w:rsidP="00B52B39">
            <w:pPr>
              <w:widowControl/>
              <w:jc w:val="right"/>
              <w:rPr>
                <w:rFonts w:cs="Calibri"/>
                <w:color w:val="000000"/>
                <w:sz w:val="20"/>
                <w:szCs w:val="20"/>
              </w:rPr>
            </w:pPr>
            <w:r w:rsidRPr="00EB2852">
              <w:rPr>
                <w:rFonts w:cs="Calibri"/>
                <w:color w:val="000000"/>
                <w:sz w:val="20"/>
                <w:szCs w:val="20"/>
              </w:rPr>
              <w:t>0</w:t>
            </w:r>
            <w:r w:rsidR="00DC2097" w:rsidRPr="00EB2852">
              <w:rPr>
                <w:rFonts w:cs="Calibri"/>
                <w:color w:val="000000"/>
                <w:sz w:val="20"/>
                <w:szCs w:val="20"/>
              </w:rPr>
              <w:t>.</w:t>
            </w:r>
            <w:r w:rsidR="00765361" w:rsidRPr="00EB2852">
              <w:rPr>
                <w:rFonts w:cs="Calibri"/>
                <w:color w:val="000000"/>
                <w:sz w:val="20"/>
                <w:szCs w:val="20"/>
              </w:rPr>
              <w:t>21</w:t>
            </w:r>
          </w:p>
        </w:tc>
      </w:tr>
      <w:bookmarkEnd w:id="95"/>
    </w:tbl>
    <w:p w:rsidR="00ED1EEC" w:rsidRPr="001255F1" w:rsidRDefault="00ED1EEC" w:rsidP="00B52B39">
      <w:pPr>
        <w:rPr>
          <w:rFonts w:cs="Calibri"/>
        </w:rPr>
      </w:pPr>
    </w:p>
    <w:sectPr w:rsidR="00ED1EEC" w:rsidRPr="001255F1" w:rsidSect="006854A3">
      <w:headerReference w:type="default" r:id="rId22"/>
      <w:footerReference w:type="even" r:id="rId23"/>
      <w:footerReference w:type="default" r:id="rId24"/>
      <w:pgSz w:w="11906" w:h="16838" w:code="9"/>
      <w:pgMar w:top="2268" w:right="991" w:bottom="1134" w:left="1276" w:header="0" w:footer="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4B75" w:rsidRDefault="00B94B75">
      <w:r>
        <w:separator/>
      </w:r>
    </w:p>
  </w:endnote>
  <w:endnote w:type="continuationSeparator" w:id="0">
    <w:p w:rsidR="00B94B75" w:rsidRDefault="00B94B75">
      <w:r>
        <w:continuationSeparator/>
      </w:r>
    </w:p>
  </w:endnote>
</w:endnotes>
</file>

<file path=word/fontTable.xml><?xml version="1.0" encoding="utf-8"?>
<w:fonts xmlns:r="http://schemas.openxmlformats.org/officeDocument/2006/relationships" xmlns:w="http://schemas.openxmlformats.org/wordprocessingml/2006/main">
  <w:font w:name="News Gothic Cyr">
    <w:panose1 w:val="020B0503020103020203"/>
    <w:charset w:val="CC"/>
    <w:family w:val="swiss"/>
    <w:pitch w:val="variable"/>
    <w:sig w:usb0="00000201" w:usb1="00000000" w:usb2="00000000" w:usb3="00000000" w:csb0="00000004" w:csb1="00000000"/>
    <w:embedRegular r:id="rId1" w:fontKey="{8F784652-3F8E-4DCF-B04C-E328D90F4F51}"/>
    <w:embedBold r:id="rId2" w:fontKey="{6795DF4D-207B-43E6-B939-3EAA9D6D8825}"/>
    <w:embedBoldItalic r:id="rId3" w:fontKey="{7C8A52A5-7B51-4999-95DC-D0555D2E68CE}"/>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4" w:fontKey="{2FCEF822-C97C-4349-A906-2BB2747D9F3B}"/>
    <w:embedBold r:id="rId5" w:fontKey="{7934F9BE-3F68-4ADB-B0A3-A94F801200B6}"/>
    <w:embedItalic r:id="rId6" w:fontKey="{27C58137-7742-48D5-B5B4-EFCF61217B7A}"/>
    <w:embedBoldItalic r:id="rId7" w:fontKey="{8C0CAD95-08D0-4CF5-81CF-A3700390F91B}"/>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embedRegular r:id="rId8" w:fontKey="{F83A16B5-7E91-4296-8020-600F8DE4F2FA}"/>
  </w:font>
  <w:font w:name="Verdana">
    <w:panose1 w:val="020B0604030504040204"/>
    <w:charset w:val="CC"/>
    <w:family w:val="swiss"/>
    <w:pitch w:val="variable"/>
    <w:sig w:usb0="A10006FF" w:usb1="4000205B" w:usb2="00000010" w:usb3="00000000" w:csb0="0000019F" w:csb1="00000000"/>
    <w:embedRegular r:id="rId9" w:fontKey="{1C6B93D1-E96F-4A73-B86B-368C85B6DE09}"/>
    <w:embedBold r:id="rId10" w:fontKey="{C3D11D68-9C06-4CF9-BB5A-9D934819B3BE}"/>
  </w:font>
  <w:font w:name="Vrinda">
    <w:panose1 w:val="020B0502040204020203"/>
    <w:charset w:val="00"/>
    <w:family w:val="swiss"/>
    <w:pitch w:val="variable"/>
    <w:sig w:usb0="00010003" w:usb1="00000000" w:usb2="00000000" w:usb3="00000000" w:csb0="00000001" w:csb1="00000000"/>
    <w:embedBold r:id="rId11" w:fontKey="{CD9F1190-E10E-41D4-BD1D-29B1C65A1183}"/>
  </w:font>
  <w:font w:name="Cambria">
    <w:panose1 w:val="02040503050406030204"/>
    <w:charset w:val="CC"/>
    <w:family w:val="roman"/>
    <w:pitch w:val="variable"/>
    <w:sig w:usb0="E00002FF" w:usb1="400004FF" w:usb2="00000000" w:usb3="00000000" w:csb0="0000019F" w:csb1="00000000"/>
    <w:embedRegular r:id="rId12" w:fontKey="{07D15FCE-5B01-41F0-B3CC-50335C1056DF}"/>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913" w:rsidRDefault="003D57A5" w:rsidP="003500EF">
    <w:pPr>
      <w:framePr w:wrap="around" w:vAnchor="text" w:hAnchor="margin" w:xAlign="right" w:y="1"/>
      <w:rPr>
        <w:rStyle w:val="PageNumber"/>
      </w:rPr>
    </w:pPr>
    <w:r>
      <w:rPr>
        <w:rStyle w:val="PageNumber"/>
      </w:rPr>
      <w:fldChar w:fldCharType="begin"/>
    </w:r>
    <w:r w:rsidR="009A1913">
      <w:rPr>
        <w:rStyle w:val="PageNumber"/>
      </w:rPr>
      <w:instrText xml:space="preserve">PAGE  </w:instrText>
    </w:r>
    <w:r>
      <w:rPr>
        <w:rStyle w:val="PageNumber"/>
      </w:rPr>
      <w:fldChar w:fldCharType="end"/>
    </w:r>
  </w:p>
  <w:p w:rsidR="009A1913" w:rsidRDefault="009A1913" w:rsidP="003500EF">
    <w:pP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913" w:rsidRDefault="003D57A5" w:rsidP="00327F09">
    <w:pPr>
      <w:framePr w:w="369" w:h="442" w:hRule="exact" w:wrap="around" w:vAnchor="text" w:hAnchor="page" w:x="10650" w:y="-636"/>
      <w:rPr>
        <w:rStyle w:val="PageNumber"/>
      </w:rPr>
    </w:pPr>
    <w:r>
      <w:rPr>
        <w:rStyle w:val="PageNumber"/>
      </w:rPr>
      <w:fldChar w:fldCharType="begin"/>
    </w:r>
    <w:r w:rsidR="009A1913">
      <w:rPr>
        <w:rStyle w:val="PageNumber"/>
      </w:rPr>
      <w:instrText xml:space="preserve">PAGE  </w:instrText>
    </w:r>
    <w:r>
      <w:rPr>
        <w:rStyle w:val="PageNumber"/>
      </w:rPr>
      <w:fldChar w:fldCharType="separate"/>
    </w:r>
    <w:r w:rsidR="0013144E">
      <w:rPr>
        <w:rStyle w:val="PageNumber"/>
        <w:noProof/>
      </w:rPr>
      <w:t>32</w:t>
    </w:r>
    <w:r>
      <w:rPr>
        <w:rStyle w:val="PageNumber"/>
      </w:rPr>
      <w:fldChar w:fldCharType="end"/>
    </w:r>
  </w:p>
  <w:p w:rsidR="009A1913" w:rsidRDefault="009A1913" w:rsidP="003500EF">
    <w:pPr>
      <w:ind w:right="360"/>
    </w:pPr>
    <w:r>
      <w:rPr>
        <w:noProof/>
      </w:rPr>
      <w:drawing>
        <wp:anchor distT="0" distB="0" distL="114300" distR="114300" simplePos="0" relativeHeight="251657728" behindDoc="1" locked="0" layoutInCell="1" allowOverlap="1">
          <wp:simplePos x="0" y="0"/>
          <wp:positionH relativeFrom="column">
            <wp:posOffset>-1031324</wp:posOffset>
          </wp:positionH>
          <wp:positionV relativeFrom="paragraph">
            <wp:posOffset>-464820</wp:posOffset>
          </wp:positionV>
          <wp:extent cx="7817618" cy="683288"/>
          <wp:effectExtent l="0" t="0" r="0" b="2540"/>
          <wp:wrapNone/>
          <wp:docPr id="15" name="Картина 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ter"/>
                  <pic:cNvPicPr>
                    <a:picLocks noChangeAspect="1" noChangeArrowheads="1"/>
                  </pic:cNvPicPr>
                </pic:nvPicPr>
                <pic:blipFill>
                  <a:blip r:embed="rId1"/>
                  <a:srcRect/>
                  <a:stretch>
                    <a:fillRect/>
                  </a:stretch>
                </pic:blipFill>
                <pic:spPr bwMode="auto">
                  <a:xfrm>
                    <a:off x="0" y="0"/>
                    <a:ext cx="7846358" cy="685800"/>
                  </a:xfrm>
                  <a:prstGeom prst="rect">
                    <a:avLst/>
                  </a:prstGeom>
                  <a:noFill/>
                  <a:ln w="9525">
                    <a:noFill/>
                    <a:miter lim="800000"/>
                    <a:headEnd/>
                    <a:tailEnd/>
                  </a:ln>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4B75" w:rsidRDefault="00B94B75">
      <w:r>
        <w:separator/>
      </w:r>
    </w:p>
  </w:footnote>
  <w:footnote w:type="continuationSeparator" w:id="0">
    <w:p w:rsidR="00B94B75" w:rsidRDefault="00B94B75">
      <w:r>
        <w:continuationSeparator/>
      </w:r>
    </w:p>
  </w:footnote>
  <w:footnote w:id="1">
    <w:p w:rsidR="009A1913" w:rsidRPr="00380C4E" w:rsidRDefault="009A1913" w:rsidP="009158CC">
      <w:pPr>
        <w:pStyle w:val="FootnoteText"/>
        <w:jc w:val="both"/>
        <w:rPr>
          <w:rFonts w:cstheme="minorHAnsi"/>
          <w:lang w:val="bg-BG"/>
        </w:rPr>
      </w:pPr>
      <w:r>
        <w:rPr>
          <w:rStyle w:val="FootnoteReference"/>
        </w:rPr>
        <w:footnoteRef/>
      </w:r>
      <w:r w:rsidRPr="00E040A5">
        <w:rPr>
          <w:lang w:val="bg-BG"/>
        </w:rPr>
        <w:t xml:space="preserve"> </w:t>
      </w:r>
      <w:r w:rsidRPr="00E040A5">
        <w:rPr>
          <w:rFonts w:cstheme="minorHAnsi"/>
          <w:lang w:val="en-GB"/>
        </w:rPr>
        <w:t>Interim</w:t>
      </w:r>
      <w:r w:rsidRPr="00E040A5">
        <w:rPr>
          <w:rFonts w:cstheme="minorHAnsi"/>
          <w:lang w:val="bg-BG"/>
        </w:rPr>
        <w:t xml:space="preserve"> </w:t>
      </w:r>
      <w:r w:rsidRPr="00E040A5">
        <w:rPr>
          <w:rFonts w:cstheme="minorHAnsi"/>
          <w:lang w:val="en-GB"/>
        </w:rPr>
        <w:t>Project</w:t>
      </w:r>
      <w:r w:rsidRPr="00E040A5">
        <w:rPr>
          <w:rFonts w:cstheme="minorHAnsi"/>
          <w:lang w:val="bg-BG"/>
        </w:rPr>
        <w:t xml:space="preserve"> – проект за обединение на регионалното обединение 4ММС с </w:t>
      </w:r>
      <w:r w:rsidRPr="00E040A5">
        <w:rPr>
          <w:rFonts w:cstheme="minorHAnsi"/>
          <w:lang w:val="en-GB"/>
        </w:rPr>
        <w:t>SDAC</w:t>
      </w:r>
      <w:r w:rsidRPr="00E040A5">
        <w:rPr>
          <w:rFonts w:cstheme="minorHAnsi"/>
          <w:lang w:val="bg-BG"/>
        </w:rPr>
        <w:t xml:space="preserve"> на база на </w:t>
      </w:r>
      <w:r w:rsidRPr="00E040A5">
        <w:rPr>
          <w:rFonts w:cstheme="minorHAnsi"/>
          <w:lang w:val="en-GB"/>
        </w:rPr>
        <w:t>NTC</w:t>
      </w:r>
      <w:r w:rsidRPr="00E040A5">
        <w:rPr>
          <w:rFonts w:cstheme="minorHAnsi"/>
          <w:lang w:val="bg-BG"/>
        </w:rPr>
        <w:t xml:space="preserve">, а не съгласно финалния вариант на </w:t>
      </w:r>
      <w:r w:rsidRPr="00E040A5">
        <w:rPr>
          <w:rFonts w:cstheme="minorHAnsi"/>
          <w:lang w:val="en-GB"/>
        </w:rPr>
        <w:t>EU</w:t>
      </w:r>
      <w:r w:rsidRPr="00E040A5">
        <w:rPr>
          <w:rFonts w:cstheme="minorHAnsi"/>
          <w:lang w:val="bg-BG"/>
        </w:rPr>
        <w:t xml:space="preserve"> </w:t>
      </w:r>
      <w:r w:rsidRPr="00E040A5">
        <w:rPr>
          <w:rFonts w:cstheme="minorHAnsi"/>
          <w:lang w:val="en-GB"/>
        </w:rPr>
        <w:t>Target</w:t>
      </w:r>
      <w:r w:rsidRPr="00E040A5">
        <w:rPr>
          <w:rFonts w:cstheme="minorHAnsi"/>
          <w:lang w:val="bg-BG"/>
        </w:rPr>
        <w:t xml:space="preserve"> </w:t>
      </w:r>
      <w:r w:rsidRPr="00E040A5">
        <w:rPr>
          <w:rFonts w:cstheme="minorHAnsi"/>
          <w:lang w:val="en-GB"/>
        </w:rPr>
        <w:t>model</w:t>
      </w:r>
      <w:r w:rsidRPr="00E040A5">
        <w:rPr>
          <w:rFonts w:cstheme="minorHAnsi"/>
          <w:lang w:val="bg-BG"/>
        </w:rPr>
        <w:t xml:space="preserve"> (</w:t>
      </w:r>
      <w:r w:rsidRPr="00E040A5">
        <w:rPr>
          <w:rFonts w:cstheme="minorHAnsi"/>
          <w:lang w:val="en-GB"/>
        </w:rPr>
        <w:t>Flow</w:t>
      </w:r>
      <w:r w:rsidRPr="00E040A5">
        <w:rPr>
          <w:rFonts w:cstheme="minorHAnsi"/>
          <w:lang w:val="bg-BG"/>
        </w:rPr>
        <w:t xml:space="preserve"> </w:t>
      </w:r>
      <w:r w:rsidRPr="00E040A5">
        <w:rPr>
          <w:rFonts w:cstheme="minorHAnsi"/>
          <w:lang w:val="en-GB"/>
        </w:rPr>
        <w:t>based</w:t>
      </w:r>
      <w:r w:rsidRPr="00E040A5">
        <w:rPr>
          <w:rFonts w:cstheme="minorHAnsi"/>
          <w:lang w:val="bg-BG"/>
        </w:rPr>
        <w:t xml:space="preserve"> </w:t>
      </w:r>
      <w:r w:rsidRPr="00E040A5">
        <w:rPr>
          <w:rFonts w:cstheme="minorHAnsi"/>
          <w:lang w:val="en-GB"/>
        </w:rPr>
        <w:t>coupling</w:t>
      </w:r>
      <w:r w:rsidRPr="00E040A5">
        <w:rPr>
          <w:rFonts w:cstheme="minorHAnsi"/>
          <w:lang w:val="bg-BG"/>
        </w:rPr>
        <w:t xml:space="preserve">), поради което се нарича </w:t>
      </w:r>
      <w:r w:rsidRPr="00E040A5">
        <w:rPr>
          <w:rFonts w:cstheme="minorHAnsi"/>
          <w:lang w:val="en-GB"/>
        </w:rPr>
        <w:t>Interim</w:t>
      </w:r>
      <w:r w:rsidRPr="00E040A5">
        <w:rPr>
          <w:rFonts w:cstheme="minorHAnsi"/>
          <w:lang w:val="bg-BG"/>
        </w:rPr>
        <w:t xml:space="preserve">, т.е. временен. Основен резултат от реализацията на този проект от наша гледна точка е изравняването на </w:t>
      </w:r>
      <w:r w:rsidRPr="00E040A5">
        <w:rPr>
          <w:rFonts w:cstheme="minorHAnsi"/>
          <w:lang w:val="en-GB"/>
        </w:rPr>
        <w:t>GCT</w:t>
      </w:r>
      <w:r w:rsidRPr="00E040A5">
        <w:rPr>
          <w:rFonts w:cstheme="minorHAnsi"/>
          <w:lang w:val="bg-BG"/>
        </w:rPr>
        <w:t xml:space="preserve"> на румънската пазарна зона с тези от </w:t>
      </w:r>
      <w:r w:rsidRPr="00E040A5">
        <w:rPr>
          <w:rFonts w:cstheme="minorHAnsi"/>
          <w:lang w:val="en-GB"/>
        </w:rPr>
        <w:t>SDAC</w:t>
      </w:r>
      <w:r w:rsidRPr="00E040A5">
        <w:rPr>
          <w:rFonts w:cstheme="minorHAnsi"/>
          <w:lang w:val="bg-BG"/>
        </w:rPr>
        <w:t>, т.е. 12:00 СЕТ.</w:t>
      </w:r>
    </w:p>
  </w:footnote>
  <w:footnote w:id="2">
    <w:p w:rsidR="009A1913" w:rsidRPr="00F86A2F" w:rsidRDefault="009A1913" w:rsidP="003B3C39">
      <w:pPr>
        <w:pStyle w:val="FootnoteText"/>
        <w:jc w:val="both"/>
        <w:rPr>
          <w:lang w:val="bg-BG"/>
        </w:rPr>
      </w:pPr>
      <w:r>
        <w:rPr>
          <w:rStyle w:val="FootnoteReference"/>
        </w:rPr>
        <w:footnoteRef/>
      </w:r>
      <w:r w:rsidRPr="005E5BCE">
        <w:rPr>
          <w:lang w:val="bg-BG"/>
        </w:rPr>
        <w:t xml:space="preserve"> </w:t>
      </w:r>
      <w:r>
        <w:rPr>
          <w:lang w:val="en-GB"/>
        </w:rPr>
        <w:t>IBWT</w:t>
      </w:r>
      <w:r>
        <w:rPr>
          <w:lang w:val="bg-BG"/>
        </w:rPr>
        <w:t xml:space="preserve"> е проект за пазарно обединение на всички пазари „ден напред</w:t>
      </w:r>
      <w:r w:rsidRPr="00433D78">
        <w:rPr>
          <w:lang w:val="bg-BG"/>
        </w:rPr>
        <w:t xml:space="preserve"> </w:t>
      </w:r>
      <w:r>
        <w:rPr>
          <w:lang w:val="bg-BG"/>
        </w:rPr>
        <w:t xml:space="preserve">“с обща граница с Италия, както и такива, които граничат с пазарни зони съседни на италианската. Това е проект, подпомагащ разширението на </w:t>
      </w:r>
      <w:r>
        <w:rPr>
          <w:lang w:val="en-GB"/>
        </w:rPr>
        <w:t>MRC</w:t>
      </w:r>
      <w:r w:rsidRPr="00FA5986">
        <w:rPr>
          <w:lang w:val="bg-BG"/>
        </w:rPr>
        <w:t xml:space="preserve"> </w:t>
      </w:r>
      <w:r>
        <w:rPr>
          <w:lang w:val="bg-BG"/>
        </w:rPr>
        <w:t>инициативата, като прави възможно координираното осъществяване на проекти за пазарна интеграция, основани на натрупания вече опит  - пазарни обединения на Италия с Франция, Словения, Австрия, както и на Словения с Хърватска.</w:t>
      </w:r>
    </w:p>
  </w:footnote>
  <w:footnote w:id="3">
    <w:p w:rsidR="009A1913" w:rsidRPr="00F73159" w:rsidRDefault="009A1913" w:rsidP="003B3C39">
      <w:pPr>
        <w:pStyle w:val="FootnoteText"/>
        <w:jc w:val="both"/>
        <w:rPr>
          <w:lang w:val="bg-BG"/>
        </w:rPr>
      </w:pPr>
      <w:r>
        <w:rPr>
          <w:rStyle w:val="FootnoteReference"/>
        </w:rPr>
        <w:footnoteRef/>
      </w:r>
      <w:r w:rsidRPr="00FA5986">
        <w:rPr>
          <w:lang w:val="bg-BG"/>
        </w:rPr>
        <w:t xml:space="preserve"> </w:t>
      </w:r>
      <w:r>
        <w:rPr>
          <w:lang w:val="en-GB"/>
        </w:rPr>
        <w:t>XBID</w:t>
      </w:r>
      <w:r w:rsidRPr="00FA5986">
        <w:rPr>
          <w:lang w:val="bg-BG"/>
        </w:rPr>
        <w:t xml:space="preserve"> – </w:t>
      </w:r>
      <w:r>
        <w:rPr>
          <w:lang w:val="en-GB"/>
        </w:rPr>
        <w:t>Cross</w:t>
      </w:r>
      <w:r w:rsidRPr="00FA5986">
        <w:rPr>
          <w:lang w:val="bg-BG"/>
        </w:rPr>
        <w:t xml:space="preserve"> </w:t>
      </w:r>
      <w:r>
        <w:rPr>
          <w:lang w:val="en-GB"/>
        </w:rPr>
        <w:t>border</w:t>
      </w:r>
      <w:r w:rsidRPr="00FA5986">
        <w:rPr>
          <w:lang w:val="bg-BG"/>
        </w:rPr>
        <w:t xml:space="preserve"> </w:t>
      </w:r>
      <w:r>
        <w:rPr>
          <w:lang w:val="en-GB"/>
        </w:rPr>
        <w:t>Intraday</w:t>
      </w:r>
      <w:r w:rsidRPr="00FA5986">
        <w:rPr>
          <w:lang w:val="bg-BG"/>
        </w:rPr>
        <w:t xml:space="preserve"> </w:t>
      </w:r>
      <w:r>
        <w:rPr>
          <w:lang w:val="bg-BG"/>
        </w:rPr>
        <w:t xml:space="preserve">е общоевропейски проект за пазарно обединение на пазарите „В рамките на деня “, който стартира вече на 15 граници в Европа на 12.06.2018. </w:t>
      </w:r>
    </w:p>
  </w:footnote>
  <w:footnote w:id="4">
    <w:p w:rsidR="009A1913" w:rsidRPr="00D26C64" w:rsidRDefault="009A1913" w:rsidP="003B3C39">
      <w:pPr>
        <w:pStyle w:val="FootnoteText"/>
        <w:jc w:val="both"/>
        <w:rPr>
          <w:lang w:val="bg-BG"/>
        </w:rPr>
      </w:pPr>
      <w:r>
        <w:rPr>
          <w:rStyle w:val="FootnoteReference"/>
        </w:rPr>
        <w:footnoteRef/>
      </w:r>
      <w:r w:rsidRPr="00D26C64">
        <w:rPr>
          <w:lang w:val="bg-BG"/>
        </w:rPr>
        <w:t xml:space="preserve"> </w:t>
      </w:r>
      <w:r>
        <w:rPr>
          <w:lang w:val="en-GB"/>
        </w:rPr>
        <w:t>LIP</w:t>
      </w:r>
      <w:r w:rsidRPr="00D26C64">
        <w:rPr>
          <w:lang w:val="bg-BG"/>
        </w:rPr>
        <w:t xml:space="preserve"> 14 – </w:t>
      </w:r>
      <w:r>
        <w:rPr>
          <w:lang w:val="en-GB"/>
        </w:rPr>
        <w:t>Local</w:t>
      </w:r>
      <w:r w:rsidRPr="00D26C64">
        <w:rPr>
          <w:lang w:val="bg-BG"/>
        </w:rPr>
        <w:t xml:space="preserve"> </w:t>
      </w:r>
      <w:r>
        <w:rPr>
          <w:lang w:val="en-GB"/>
        </w:rPr>
        <w:t>Implementation</w:t>
      </w:r>
      <w:r w:rsidRPr="00D26C64">
        <w:rPr>
          <w:lang w:val="bg-BG"/>
        </w:rPr>
        <w:t xml:space="preserve"> </w:t>
      </w:r>
      <w:r>
        <w:rPr>
          <w:lang w:val="en-GB"/>
        </w:rPr>
        <w:t>Project</w:t>
      </w:r>
      <w:r w:rsidRPr="00D26C64">
        <w:rPr>
          <w:lang w:val="bg-BG"/>
        </w:rPr>
        <w:t xml:space="preserve"> </w:t>
      </w:r>
      <w:r>
        <w:rPr>
          <w:lang w:val="bg-BG"/>
        </w:rPr>
        <w:t xml:space="preserve">към т.нар. трета и последна вълна на присъединяване към </w:t>
      </w:r>
      <w:r>
        <w:rPr>
          <w:lang w:val="en-GB"/>
        </w:rPr>
        <w:t>XBID</w:t>
      </w:r>
      <w:r>
        <w:rPr>
          <w:lang w:val="bg-BG"/>
        </w:rPr>
        <w:t xml:space="preserve">, който обхваща границите </w:t>
      </w:r>
      <w:r>
        <w:rPr>
          <w:lang w:val="en-GB"/>
        </w:rPr>
        <w:t>BG</w:t>
      </w:r>
      <w:r w:rsidRPr="00D26C64">
        <w:rPr>
          <w:lang w:val="bg-BG"/>
        </w:rPr>
        <w:t>-</w:t>
      </w:r>
      <w:r>
        <w:rPr>
          <w:lang w:val="en-GB"/>
        </w:rPr>
        <w:t>GR</w:t>
      </w:r>
      <w:r w:rsidRPr="00D26C64">
        <w:rPr>
          <w:lang w:val="bg-BG"/>
        </w:rPr>
        <w:t xml:space="preserve">, </w:t>
      </w:r>
      <w:r>
        <w:rPr>
          <w:lang w:val="en-GB"/>
        </w:rPr>
        <w:t>GR</w:t>
      </w:r>
      <w:r w:rsidRPr="00D26C64">
        <w:rPr>
          <w:lang w:val="bg-BG"/>
        </w:rPr>
        <w:t>-</w:t>
      </w:r>
      <w:r>
        <w:rPr>
          <w:lang w:val="en-GB"/>
        </w:rPr>
        <w:t>IT</w:t>
      </w:r>
      <w:r w:rsidRPr="00D26C64">
        <w:rPr>
          <w:lang w:val="bg-BG"/>
        </w:rPr>
        <w:t xml:space="preserve">, </w:t>
      </w:r>
      <w:r>
        <w:rPr>
          <w:lang w:val="en-GB"/>
        </w:rPr>
        <w:t>IT</w:t>
      </w:r>
      <w:r w:rsidRPr="00D26C64">
        <w:rPr>
          <w:lang w:val="bg-BG"/>
        </w:rPr>
        <w:t>-</w:t>
      </w:r>
      <w:r>
        <w:rPr>
          <w:lang w:val="en-GB"/>
        </w:rPr>
        <w:t>SI</w:t>
      </w:r>
      <w:r w:rsidRPr="00D26C64">
        <w:rPr>
          <w:lang w:val="bg-BG"/>
        </w:rPr>
        <w:t xml:space="preserve">, </w:t>
      </w:r>
      <w:r>
        <w:rPr>
          <w:lang w:val="en-GB"/>
        </w:rPr>
        <w:t>IT</w:t>
      </w:r>
      <w:r w:rsidRPr="00D26C64">
        <w:rPr>
          <w:lang w:val="bg-BG"/>
        </w:rPr>
        <w:t>-</w:t>
      </w:r>
      <w:r>
        <w:rPr>
          <w:lang w:val="en-GB"/>
        </w:rPr>
        <w:t>A</w:t>
      </w:r>
      <w:r w:rsidRPr="00D26C64">
        <w:rPr>
          <w:lang w:val="bg-BG"/>
        </w:rPr>
        <w:t xml:space="preserve"> </w:t>
      </w:r>
      <w:r>
        <w:rPr>
          <w:lang w:val="bg-BG"/>
        </w:rPr>
        <w:t xml:space="preserve">и </w:t>
      </w:r>
      <w:r>
        <w:rPr>
          <w:lang w:val="en-GB"/>
        </w:rPr>
        <w:t>IT</w:t>
      </w:r>
      <w:r w:rsidRPr="00D26C64">
        <w:rPr>
          <w:lang w:val="bg-BG"/>
        </w:rPr>
        <w:t>-</w:t>
      </w:r>
      <w:r>
        <w:rPr>
          <w:lang w:val="en-GB"/>
        </w:rPr>
        <w:t>FR</w:t>
      </w:r>
      <w:r w:rsidRPr="00D26C64">
        <w:rPr>
          <w:lang w:val="bg-BG"/>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1913" w:rsidRPr="003D6FEB" w:rsidRDefault="009A1913" w:rsidP="00D97B9E">
    <w:pPr>
      <w:pStyle w:val="Header"/>
      <w:jc w:val="right"/>
      <w:rPr>
        <w:sz w:val="16"/>
        <w:szCs w:val="16"/>
      </w:rPr>
    </w:pPr>
    <w:r w:rsidRPr="003D6FEB">
      <w:rPr>
        <w:noProof/>
        <w:sz w:val="16"/>
        <w:szCs w:val="16"/>
      </w:rPr>
      <w:drawing>
        <wp:anchor distT="0" distB="0" distL="114300" distR="114300" simplePos="0" relativeHeight="251659776" behindDoc="1" locked="0" layoutInCell="1" allowOverlap="1">
          <wp:simplePos x="0" y="0"/>
          <wp:positionH relativeFrom="column">
            <wp:posOffset>-803085</wp:posOffset>
          </wp:positionH>
          <wp:positionV relativeFrom="paragraph">
            <wp:posOffset>0</wp:posOffset>
          </wp:positionV>
          <wp:extent cx="7735537" cy="1436914"/>
          <wp:effectExtent l="19050" t="0" r="0" b="0"/>
          <wp:wrapNone/>
          <wp:docPr id="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tretch>
                    <a:fillRect/>
                  </a:stretch>
                </pic:blipFill>
                <pic:spPr bwMode="auto">
                  <a:xfrm>
                    <a:off x="0" y="0"/>
                    <a:ext cx="7735537" cy="1436914"/>
                  </a:xfrm>
                  <a:prstGeom prst="rect">
                    <a:avLst/>
                  </a:prstGeom>
                  <a:noFill/>
                  <a:ln>
                    <a:noFill/>
                  </a:ln>
                </pic:spPr>
              </pic:pic>
            </a:graphicData>
          </a:graphic>
        </wp:anchor>
      </w:drawing>
    </w:r>
    <w:r w:rsidRPr="003D6FEB">
      <w:rPr>
        <w:sz w:val="16"/>
        <w:szCs w:val="16"/>
      </w:rPr>
      <w:t xml:space="preserve">     </w:t>
    </w:r>
  </w:p>
  <w:p w:rsidR="009A1913" w:rsidRDefault="009A1913" w:rsidP="00D97B9E">
    <w:pPr>
      <w:pStyle w:val="Header"/>
      <w:jc w:val="right"/>
      <w:rPr>
        <w:color w:val="FFFFFF" w:themeColor="background1"/>
        <w:sz w:val="84"/>
        <w:szCs w:val="84"/>
      </w:rPr>
    </w:pPr>
    <w:r w:rsidRPr="00996DCB">
      <w:rPr>
        <w:color w:val="FFFFFF" w:themeColor="background1"/>
        <w:sz w:val="84"/>
        <w:szCs w:val="84"/>
      </w:rPr>
      <w:t>20</w:t>
    </w:r>
    <w:r>
      <w:rPr>
        <w:color w:val="FFFFFF" w:themeColor="background1"/>
        <w:sz w:val="84"/>
        <w:szCs w:val="84"/>
      </w:rPr>
      <w:t>20</w:t>
    </w:r>
  </w:p>
  <w:p w:rsidR="009A1913" w:rsidRPr="003D6FEB" w:rsidRDefault="009A1913" w:rsidP="00D97B9E">
    <w:pPr>
      <w:pStyle w:val="Header"/>
      <w:jc w:val="right"/>
      <w:rPr>
        <w:color w:val="FFFFFF" w:themeColor="background1"/>
        <w:sz w:val="84"/>
        <w:szCs w:val="84"/>
      </w:rPr>
    </w:pPr>
    <w:r>
      <w:rPr>
        <w:b/>
        <w:color w:val="FFFFFF" w:themeColor="background1"/>
        <w:sz w:val="48"/>
        <w:szCs w:val="48"/>
      </w:rPr>
      <w:t>ОТЧЕТ КЪМ</w:t>
    </w:r>
    <w:r>
      <w:rPr>
        <w:b/>
        <w:color w:val="FFFFFF" w:themeColor="background1"/>
        <w:sz w:val="48"/>
        <w:szCs w:val="48"/>
        <w:lang w:val="en-US"/>
      </w:rPr>
      <w:t xml:space="preserve"> 31 </w:t>
    </w:r>
    <w:r>
      <w:rPr>
        <w:b/>
        <w:color w:val="FFFFFF" w:themeColor="background1"/>
        <w:sz w:val="48"/>
        <w:szCs w:val="48"/>
      </w:rPr>
      <w:t>МАРТ</w:t>
    </w:r>
  </w:p>
  <w:p w:rsidR="009A1913" w:rsidRPr="002C7E60" w:rsidRDefault="009A1913" w:rsidP="00D97B9E">
    <w:pPr>
      <w:pStyle w:val="Header"/>
    </w:pPr>
  </w:p>
  <w:p w:rsidR="009A1913" w:rsidRPr="00D97B9E" w:rsidRDefault="009A1913" w:rsidP="00D97B9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4C85"/>
    <w:multiLevelType w:val="hybridMultilevel"/>
    <w:tmpl w:val="80687712"/>
    <w:lvl w:ilvl="0" w:tplc="CD2EE410">
      <w:numFmt w:val="bullet"/>
      <w:lvlText w:val="-"/>
      <w:lvlJc w:val="left"/>
      <w:pPr>
        <w:ind w:left="720" w:hanging="360"/>
      </w:pPr>
      <w:rPr>
        <w:rFonts w:ascii="News Gothic Cyr" w:eastAsia="Times New Roman" w:hAnsi="News Gothic Cy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2C0C31"/>
    <w:multiLevelType w:val="hybridMultilevel"/>
    <w:tmpl w:val="C9AA1696"/>
    <w:lvl w:ilvl="0" w:tplc="C728BC42">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756090"/>
    <w:multiLevelType w:val="hybridMultilevel"/>
    <w:tmpl w:val="64103E4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3">
    <w:nsid w:val="0CD03138"/>
    <w:multiLevelType w:val="hybridMultilevel"/>
    <w:tmpl w:val="D682E1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FB4558"/>
    <w:multiLevelType w:val="hybridMultilevel"/>
    <w:tmpl w:val="92EE1AA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16D31C0"/>
    <w:multiLevelType w:val="hybridMultilevel"/>
    <w:tmpl w:val="A37081A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127F4456"/>
    <w:multiLevelType w:val="hybridMultilevel"/>
    <w:tmpl w:val="D60C4B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13BB2614"/>
    <w:multiLevelType w:val="hybridMultilevel"/>
    <w:tmpl w:val="8D8CE0BC"/>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nsid w:val="158424C8"/>
    <w:multiLevelType w:val="hybridMultilevel"/>
    <w:tmpl w:val="780E46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18221313"/>
    <w:multiLevelType w:val="hybridMultilevel"/>
    <w:tmpl w:val="E4B0BE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2B5931"/>
    <w:multiLevelType w:val="hybridMultilevel"/>
    <w:tmpl w:val="0662504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9686770"/>
    <w:multiLevelType w:val="hybridMultilevel"/>
    <w:tmpl w:val="58AE9C68"/>
    <w:lvl w:ilvl="0" w:tplc="3A9E4846">
      <w:numFmt w:val="bullet"/>
      <w:lvlText w:val="•"/>
      <w:lvlJc w:val="left"/>
      <w:pPr>
        <w:ind w:left="720" w:hanging="360"/>
      </w:pPr>
      <w:rPr>
        <w:rFonts w:ascii="News Gothic Cyr" w:eastAsia="Times New Roman" w:hAnsi="News Gothic Cyr" w:cs="Times New Roman" w:hint="default"/>
      </w:rPr>
    </w:lvl>
    <w:lvl w:ilvl="1" w:tplc="0402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594F8F"/>
    <w:multiLevelType w:val="hybridMultilevel"/>
    <w:tmpl w:val="BD0E40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DA57A59"/>
    <w:multiLevelType w:val="hybridMultilevel"/>
    <w:tmpl w:val="FB3CC2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6FC4BCD"/>
    <w:multiLevelType w:val="hybridMultilevel"/>
    <w:tmpl w:val="56BE130C"/>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5">
    <w:nsid w:val="28230A88"/>
    <w:multiLevelType w:val="hybridMultilevel"/>
    <w:tmpl w:val="D780C964"/>
    <w:lvl w:ilvl="0" w:tplc="3A9E4846">
      <w:numFmt w:val="bullet"/>
      <w:lvlText w:val="•"/>
      <w:lvlJc w:val="left"/>
      <w:pPr>
        <w:ind w:left="720" w:hanging="360"/>
      </w:pPr>
      <w:rPr>
        <w:rFonts w:ascii="News Gothic Cyr" w:eastAsia="Times New Roman" w:hAnsi="News Gothic Cyr"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83F333B"/>
    <w:multiLevelType w:val="hybridMultilevel"/>
    <w:tmpl w:val="52C24BF4"/>
    <w:lvl w:ilvl="0" w:tplc="04020001">
      <w:start w:val="1"/>
      <w:numFmt w:val="bullet"/>
      <w:lvlText w:val=""/>
      <w:lvlJc w:val="left"/>
      <w:pPr>
        <w:ind w:left="720" w:hanging="360"/>
      </w:pPr>
      <w:rPr>
        <w:rFonts w:ascii="Symbol" w:hAnsi="Symbol" w:hint="default"/>
      </w:rPr>
    </w:lvl>
    <w:lvl w:ilvl="1" w:tplc="5E4C18CA">
      <w:numFmt w:val="bullet"/>
      <w:lvlText w:val="-"/>
      <w:lvlJc w:val="left"/>
      <w:pPr>
        <w:ind w:left="1785" w:hanging="705"/>
      </w:pPr>
      <w:rPr>
        <w:rFonts w:ascii="News Gothic Cyr" w:eastAsia="Times New Roman" w:hAnsi="News Gothic Cyr" w:cs="Times New Roman"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304F731A"/>
    <w:multiLevelType w:val="hybridMultilevel"/>
    <w:tmpl w:val="FF724B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383A484C"/>
    <w:multiLevelType w:val="hybridMultilevel"/>
    <w:tmpl w:val="C3FE7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D5B02FD"/>
    <w:multiLevelType w:val="hybridMultilevel"/>
    <w:tmpl w:val="A4CA4406"/>
    <w:lvl w:ilvl="0" w:tplc="0402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464A43B8"/>
    <w:multiLevelType w:val="hybridMultilevel"/>
    <w:tmpl w:val="327E969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1">
    <w:nsid w:val="47BD61E3"/>
    <w:multiLevelType w:val="hybridMultilevel"/>
    <w:tmpl w:val="92EE1AA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55F732A7"/>
    <w:multiLevelType w:val="hybridMultilevel"/>
    <w:tmpl w:val="DDBAB6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5C323B0A"/>
    <w:multiLevelType w:val="hybridMultilevel"/>
    <w:tmpl w:val="83246A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5E6648F4"/>
    <w:multiLevelType w:val="hybridMultilevel"/>
    <w:tmpl w:val="0E621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4612435"/>
    <w:multiLevelType w:val="hybridMultilevel"/>
    <w:tmpl w:val="95D82532"/>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26">
    <w:nsid w:val="6BA156C6"/>
    <w:multiLevelType w:val="hybridMultilevel"/>
    <w:tmpl w:val="724C40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nsid w:val="6FEA2A43"/>
    <w:multiLevelType w:val="multilevel"/>
    <w:tmpl w:val="A7747E74"/>
    <w:lvl w:ilvl="0">
      <w:start w:val="1"/>
      <w:numFmt w:val="decimal"/>
      <w:pStyle w:val="Heading1"/>
      <w:lvlText w:val="%1."/>
      <w:lvlJc w:val="left"/>
      <w:pPr>
        <w:tabs>
          <w:tab w:val="num" w:pos="-283"/>
        </w:tabs>
        <w:ind w:left="0" w:firstLine="0"/>
      </w:pPr>
      <w:rPr>
        <w:rFonts w:ascii="News Gothic Cyr" w:hAnsi="News Gothic Cyr" w:hint="default"/>
        <w:b/>
        <w:i w:val="0"/>
        <w:color w:val="auto"/>
        <w:sz w:val="24"/>
        <w:szCs w:val="24"/>
      </w:rPr>
    </w:lvl>
    <w:lvl w:ilvl="1">
      <w:start w:val="1"/>
      <w:numFmt w:val="decimal"/>
      <w:pStyle w:val="Heading2"/>
      <w:lvlText w:val="%1.%2."/>
      <w:lvlJc w:val="left"/>
      <w:pPr>
        <w:tabs>
          <w:tab w:val="num" w:pos="-283"/>
        </w:tabs>
        <w:ind w:left="0" w:firstLine="0"/>
      </w:pPr>
      <w:rPr>
        <w:rFonts w:ascii="News Gothic Cyr" w:hAnsi="News Gothic Cyr" w:hint="default"/>
        <w:b/>
        <w:i/>
        <w:sz w:val="24"/>
        <w:szCs w:val="24"/>
      </w:rPr>
    </w:lvl>
    <w:lvl w:ilvl="2">
      <w:start w:val="1"/>
      <w:numFmt w:val="decimal"/>
      <w:lvlText w:val="%1.%2.%3."/>
      <w:lvlJc w:val="left"/>
      <w:pPr>
        <w:tabs>
          <w:tab w:val="num" w:pos="873"/>
        </w:tabs>
        <w:ind w:left="0" w:firstLine="0"/>
      </w:pPr>
      <w:rPr>
        <w:rFonts w:ascii="News Gothic Cyr" w:hAnsi="News Gothic Cyr" w:hint="default"/>
        <w:b/>
        <w:i/>
        <w:sz w:val="24"/>
      </w:rPr>
    </w:lvl>
    <w:lvl w:ilvl="3">
      <w:start w:val="1"/>
      <w:numFmt w:val="decimal"/>
      <w:lvlText w:val="%1.%2.%3.%4."/>
      <w:lvlJc w:val="left"/>
      <w:pPr>
        <w:tabs>
          <w:tab w:val="num" w:pos="1233"/>
        </w:tabs>
        <w:ind w:left="1161" w:hanging="648"/>
      </w:pPr>
      <w:rPr>
        <w:rFonts w:hint="default"/>
      </w:rPr>
    </w:lvl>
    <w:lvl w:ilvl="4">
      <w:start w:val="1"/>
      <w:numFmt w:val="decimal"/>
      <w:lvlText w:val="%1.%2.%3.%4.%5."/>
      <w:lvlJc w:val="left"/>
      <w:pPr>
        <w:tabs>
          <w:tab w:val="num" w:pos="1953"/>
        </w:tabs>
        <w:ind w:left="1665" w:hanging="792"/>
      </w:pPr>
      <w:rPr>
        <w:rFonts w:hint="default"/>
      </w:rPr>
    </w:lvl>
    <w:lvl w:ilvl="5">
      <w:start w:val="1"/>
      <w:numFmt w:val="decimal"/>
      <w:lvlText w:val="%1.%2.%3.%4.%5.%6."/>
      <w:lvlJc w:val="left"/>
      <w:pPr>
        <w:tabs>
          <w:tab w:val="num" w:pos="2313"/>
        </w:tabs>
        <w:ind w:left="2169" w:hanging="936"/>
      </w:pPr>
      <w:rPr>
        <w:rFonts w:hint="default"/>
      </w:rPr>
    </w:lvl>
    <w:lvl w:ilvl="6">
      <w:start w:val="1"/>
      <w:numFmt w:val="decimal"/>
      <w:lvlText w:val="%1.%2.%3.%4.%5.%6.%7."/>
      <w:lvlJc w:val="left"/>
      <w:pPr>
        <w:tabs>
          <w:tab w:val="num" w:pos="3033"/>
        </w:tabs>
        <w:ind w:left="2673" w:hanging="1080"/>
      </w:pPr>
      <w:rPr>
        <w:rFonts w:hint="default"/>
      </w:rPr>
    </w:lvl>
    <w:lvl w:ilvl="7">
      <w:start w:val="1"/>
      <w:numFmt w:val="decimal"/>
      <w:lvlText w:val="%1.%2.%3.%4.%5.%6.%7.%8."/>
      <w:lvlJc w:val="left"/>
      <w:pPr>
        <w:tabs>
          <w:tab w:val="num" w:pos="3393"/>
        </w:tabs>
        <w:ind w:left="3177" w:hanging="1224"/>
      </w:pPr>
      <w:rPr>
        <w:rFonts w:hint="default"/>
      </w:rPr>
    </w:lvl>
    <w:lvl w:ilvl="8">
      <w:start w:val="1"/>
      <w:numFmt w:val="decimal"/>
      <w:lvlText w:val="%1.%2.%3.%4.%5.%6.%7.%8.%9."/>
      <w:lvlJc w:val="left"/>
      <w:pPr>
        <w:tabs>
          <w:tab w:val="num" w:pos="4113"/>
        </w:tabs>
        <w:ind w:left="3753" w:hanging="1440"/>
      </w:pPr>
      <w:rPr>
        <w:rFonts w:hint="default"/>
      </w:rPr>
    </w:lvl>
  </w:abstractNum>
  <w:abstractNum w:abstractNumId="28">
    <w:nsid w:val="7A834CEA"/>
    <w:multiLevelType w:val="hybridMultilevel"/>
    <w:tmpl w:val="EA9CE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C644BA6"/>
    <w:multiLevelType w:val="hybridMultilevel"/>
    <w:tmpl w:val="D1624A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7EF54D60"/>
    <w:multiLevelType w:val="hybridMultilevel"/>
    <w:tmpl w:val="513C03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7F1408C5"/>
    <w:multiLevelType w:val="multilevel"/>
    <w:tmpl w:val="F91681BC"/>
    <w:lvl w:ilvl="0">
      <w:start w:val="1"/>
      <w:numFmt w:val="decimal"/>
      <w:pStyle w:val="Mainnumbers"/>
      <w:lvlText w:val="%1."/>
      <w:lvlJc w:val="left"/>
      <w:pPr>
        <w:ind w:left="360" w:hanging="360"/>
      </w:pPr>
    </w:lvl>
    <w:lvl w:ilvl="1">
      <w:start w:val="1"/>
      <w:numFmt w:val="decimal"/>
      <w:pStyle w:val="SubNumbers"/>
      <w:lvlText w:val="%1.%2."/>
      <w:lvlJc w:val="left"/>
      <w:pPr>
        <w:ind w:left="1284" w:hanging="432"/>
      </w:pPr>
      <w:rPr>
        <w:b/>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7"/>
  </w:num>
  <w:num w:numId="2">
    <w:abstractNumId w:val="31"/>
  </w:num>
  <w:num w:numId="3">
    <w:abstractNumId w:val="20"/>
  </w:num>
  <w:num w:numId="4">
    <w:abstractNumId w:val="16"/>
  </w:num>
  <w:num w:numId="5">
    <w:abstractNumId w:val="3"/>
  </w:num>
  <w:num w:numId="6">
    <w:abstractNumId w:val="28"/>
  </w:num>
  <w:num w:numId="7">
    <w:abstractNumId w:val="11"/>
  </w:num>
  <w:num w:numId="8">
    <w:abstractNumId w:val="15"/>
  </w:num>
  <w:num w:numId="9">
    <w:abstractNumId w:val="24"/>
  </w:num>
  <w:num w:numId="10">
    <w:abstractNumId w:val="0"/>
  </w:num>
  <w:num w:numId="11">
    <w:abstractNumId w:val="18"/>
  </w:num>
  <w:num w:numId="12">
    <w:abstractNumId w:val="9"/>
  </w:num>
  <w:num w:numId="13">
    <w:abstractNumId w:val="31"/>
  </w:num>
  <w:num w:numId="14">
    <w:abstractNumId w:val="13"/>
  </w:num>
  <w:num w:numId="15">
    <w:abstractNumId w:val="1"/>
  </w:num>
  <w:num w:numId="1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31"/>
  </w:num>
  <w:num w:numId="19">
    <w:abstractNumId w:val="31"/>
  </w:num>
  <w:num w:numId="20">
    <w:abstractNumId w:val="31"/>
  </w:num>
  <w:num w:numId="21">
    <w:abstractNumId w:val="31"/>
  </w:num>
  <w:num w:numId="22">
    <w:abstractNumId w:val="31"/>
  </w:num>
  <w:num w:numId="23">
    <w:abstractNumId w:val="31"/>
  </w:num>
  <w:num w:numId="24">
    <w:abstractNumId w:val="3"/>
  </w:num>
  <w:num w:numId="25">
    <w:abstractNumId w:val="25"/>
  </w:num>
  <w:num w:numId="26">
    <w:abstractNumId w:val="31"/>
  </w:num>
  <w:num w:numId="27">
    <w:abstractNumId w:val="8"/>
  </w:num>
  <w:num w:numId="28">
    <w:abstractNumId w:val="7"/>
  </w:num>
  <w:num w:numId="29">
    <w:abstractNumId w:val="5"/>
  </w:num>
  <w:num w:numId="3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1"/>
  </w:num>
  <w:num w:numId="32">
    <w:abstractNumId w:val="31"/>
  </w:num>
  <w:num w:numId="33">
    <w:abstractNumId w:val="26"/>
  </w:num>
  <w:num w:numId="34">
    <w:abstractNumId w:val="2"/>
  </w:num>
  <w:num w:numId="35">
    <w:abstractNumId w:val="12"/>
  </w:num>
  <w:num w:numId="36">
    <w:abstractNumId w:val="17"/>
  </w:num>
  <w:num w:numId="37">
    <w:abstractNumId w:val="19"/>
  </w:num>
  <w:num w:numId="38">
    <w:abstractNumId w:val="6"/>
  </w:num>
  <w:num w:numId="39">
    <w:abstractNumId w:val="23"/>
  </w:num>
  <w:num w:numId="40">
    <w:abstractNumId w:val="29"/>
  </w:num>
  <w:num w:numId="41">
    <w:abstractNumId w:val="10"/>
  </w:num>
  <w:num w:numId="42">
    <w:abstractNumId w:val="22"/>
  </w:num>
  <w:num w:numId="43">
    <w:abstractNumId w:val="4"/>
  </w:num>
  <w:num w:numId="44">
    <w:abstractNumId w:val="14"/>
  </w:num>
  <w:num w:numId="45">
    <w:abstractNumId w:val="30"/>
  </w:num>
  <w:num w:numId="46">
    <w:abstractNumId w:val="21"/>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TrueTypeFonts/>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en-US" w:vendorID="64" w:dllVersion="131078" w:nlCheck="1" w:checkStyle="1"/>
  <w:activeWritingStyle w:appName="MSWord" w:lang="en-GB" w:vendorID="64" w:dllVersion="131078" w:nlCheck="1" w:checkStyle="1"/>
  <w:activeWritingStyle w:appName="MSWord" w:lang="bg-BG" w:vendorID="11" w:dllVersion="512" w:checkStyle="1"/>
  <w:proofState w:spelling="clean"/>
  <w:stylePaneFormatFilter w:val="3001"/>
  <w:defaultTabStop w:val="706"/>
  <w:hyphenationZone w:val="425"/>
  <w:noPunctuationKerning/>
  <w:characterSpacingControl w:val="doNotCompress"/>
  <w:hdrShapeDefaults>
    <o:shapedefaults v:ext="edit" spidmax="69634"/>
  </w:hdrShapeDefaults>
  <w:footnotePr>
    <w:footnote w:id="-1"/>
    <w:footnote w:id="0"/>
  </w:footnotePr>
  <w:endnotePr>
    <w:endnote w:id="-1"/>
    <w:endnote w:id="0"/>
  </w:endnotePr>
  <w:compat/>
  <w:docVars>
    <w:docVar w:name="__Grammarly_42____i" w:val="H4sIAAAAAAAEAKtWckksSQxILCpxzi/NK1GyMqwFAAEhoTITAAAA"/>
    <w:docVar w:name="__Grammarly_42___1" w:val="H4sIAAAAAAAEAKtWcslP9kxRslIyNDY0NTM0MzEzMTY1MbU0tLRQ0lEKTi0uzszPAykwNq0FAOWlrjAtAAAA"/>
  </w:docVars>
  <w:rsids>
    <w:rsidRoot w:val="00376AC3"/>
    <w:rsid w:val="00000041"/>
    <w:rsid w:val="000003C5"/>
    <w:rsid w:val="00000571"/>
    <w:rsid w:val="000009B8"/>
    <w:rsid w:val="00001211"/>
    <w:rsid w:val="000016E2"/>
    <w:rsid w:val="00002187"/>
    <w:rsid w:val="00002529"/>
    <w:rsid w:val="000026C3"/>
    <w:rsid w:val="0000284A"/>
    <w:rsid w:val="000028E7"/>
    <w:rsid w:val="00002E19"/>
    <w:rsid w:val="00002ECF"/>
    <w:rsid w:val="000032B0"/>
    <w:rsid w:val="00003431"/>
    <w:rsid w:val="000045A6"/>
    <w:rsid w:val="00004686"/>
    <w:rsid w:val="0000473D"/>
    <w:rsid w:val="0000684B"/>
    <w:rsid w:val="00006BAE"/>
    <w:rsid w:val="00006E0D"/>
    <w:rsid w:val="000077F6"/>
    <w:rsid w:val="00007AFC"/>
    <w:rsid w:val="00007DEA"/>
    <w:rsid w:val="000112AB"/>
    <w:rsid w:val="00011A3D"/>
    <w:rsid w:val="00011DAE"/>
    <w:rsid w:val="00011E88"/>
    <w:rsid w:val="000122E6"/>
    <w:rsid w:val="00013257"/>
    <w:rsid w:val="00013428"/>
    <w:rsid w:val="000138D7"/>
    <w:rsid w:val="00013A0F"/>
    <w:rsid w:val="00013CE6"/>
    <w:rsid w:val="00013EE6"/>
    <w:rsid w:val="00014528"/>
    <w:rsid w:val="0001512F"/>
    <w:rsid w:val="0001531D"/>
    <w:rsid w:val="000159B7"/>
    <w:rsid w:val="00015D37"/>
    <w:rsid w:val="00016143"/>
    <w:rsid w:val="00016463"/>
    <w:rsid w:val="0001647F"/>
    <w:rsid w:val="00016A61"/>
    <w:rsid w:val="00016C7D"/>
    <w:rsid w:val="0001760B"/>
    <w:rsid w:val="00017D76"/>
    <w:rsid w:val="00017EBE"/>
    <w:rsid w:val="00020154"/>
    <w:rsid w:val="00021140"/>
    <w:rsid w:val="000229D2"/>
    <w:rsid w:val="00022A34"/>
    <w:rsid w:val="000233E0"/>
    <w:rsid w:val="00024461"/>
    <w:rsid w:val="000244B4"/>
    <w:rsid w:val="00024649"/>
    <w:rsid w:val="00024B65"/>
    <w:rsid w:val="00024EE4"/>
    <w:rsid w:val="0002534C"/>
    <w:rsid w:val="00025905"/>
    <w:rsid w:val="00026072"/>
    <w:rsid w:val="00027FA6"/>
    <w:rsid w:val="000300D9"/>
    <w:rsid w:val="000309D7"/>
    <w:rsid w:val="0003180C"/>
    <w:rsid w:val="0003194C"/>
    <w:rsid w:val="00032851"/>
    <w:rsid w:val="00032CB2"/>
    <w:rsid w:val="00032D3F"/>
    <w:rsid w:val="00034288"/>
    <w:rsid w:val="00034626"/>
    <w:rsid w:val="00034A3E"/>
    <w:rsid w:val="0003544F"/>
    <w:rsid w:val="00035A7E"/>
    <w:rsid w:val="00035AEF"/>
    <w:rsid w:val="00035AF0"/>
    <w:rsid w:val="000364A5"/>
    <w:rsid w:val="00036D66"/>
    <w:rsid w:val="0003723F"/>
    <w:rsid w:val="000372A6"/>
    <w:rsid w:val="00037916"/>
    <w:rsid w:val="00040101"/>
    <w:rsid w:val="00040C2F"/>
    <w:rsid w:val="00041099"/>
    <w:rsid w:val="00041234"/>
    <w:rsid w:val="00041511"/>
    <w:rsid w:val="00041F08"/>
    <w:rsid w:val="00042EB2"/>
    <w:rsid w:val="00043168"/>
    <w:rsid w:val="000432F0"/>
    <w:rsid w:val="00043FFF"/>
    <w:rsid w:val="00046719"/>
    <w:rsid w:val="00046975"/>
    <w:rsid w:val="000469F2"/>
    <w:rsid w:val="00046CD6"/>
    <w:rsid w:val="00047537"/>
    <w:rsid w:val="00047632"/>
    <w:rsid w:val="00047C32"/>
    <w:rsid w:val="00050984"/>
    <w:rsid w:val="00050B58"/>
    <w:rsid w:val="00050C21"/>
    <w:rsid w:val="00051678"/>
    <w:rsid w:val="00052250"/>
    <w:rsid w:val="000523C7"/>
    <w:rsid w:val="00052977"/>
    <w:rsid w:val="00052C64"/>
    <w:rsid w:val="00052D72"/>
    <w:rsid w:val="000534A3"/>
    <w:rsid w:val="00053F57"/>
    <w:rsid w:val="00054606"/>
    <w:rsid w:val="00054CA0"/>
    <w:rsid w:val="000556F7"/>
    <w:rsid w:val="000557A5"/>
    <w:rsid w:val="000564E8"/>
    <w:rsid w:val="0005666C"/>
    <w:rsid w:val="00056A5B"/>
    <w:rsid w:val="00056FA5"/>
    <w:rsid w:val="000575D3"/>
    <w:rsid w:val="00060636"/>
    <w:rsid w:val="000608B9"/>
    <w:rsid w:val="000610AC"/>
    <w:rsid w:val="000617B9"/>
    <w:rsid w:val="00061BD0"/>
    <w:rsid w:val="00061F58"/>
    <w:rsid w:val="00062A7D"/>
    <w:rsid w:val="00062B76"/>
    <w:rsid w:val="00062DD2"/>
    <w:rsid w:val="00062F33"/>
    <w:rsid w:val="000632C7"/>
    <w:rsid w:val="0006352F"/>
    <w:rsid w:val="000657C1"/>
    <w:rsid w:val="000664A4"/>
    <w:rsid w:val="00066961"/>
    <w:rsid w:val="00066DCB"/>
    <w:rsid w:val="00066FD3"/>
    <w:rsid w:val="00067AF2"/>
    <w:rsid w:val="00067C56"/>
    <w:rsid w:val="00070105"/>
    <w:rsid w:val="000723C1"/>
    <w:rsid w:val="000729F5"/>
    <w:rsid w:val="00073492"/>
    <w:rsid w:val="00073BD3"/>
    <w:rsid w:val="00073FE0"/>
    <w:rsid w:val="000764EE"/>
    <w:rsid w:val="0007657E"/>
    <w:rsid w:val="00076C6C"/>
    <w:rsid w:val="00076E41"/>
    <w:rsid w:val="0008045C"/>
    <w:rsid w:val="00080FF1"/>
    <w:rsid w:val="00081486"/>
    <w:rsid w:val="000817A4"/>
    <w:rsid w:val="00082FF5"/>
    <w:rsid w:val="0008301C"/>
    <w:rsid w:val="000839FD"/>
    <w:rsid w:val="00083F1E"/>
    <w:rsid w:val="000847E0"/>
    <w:rsid w:val="000863DB"/>
    <w:rsid w:val="00086411"/>
    <w:rsid w:val="000873AD"/>
    <w:rsid w:val="00087A03"/>
    <w:rsid w:val="000901A2"/>
    <w:rsid w:val="0009038D"/>
    <w:rsid w:val="0009041A"/>
    <w:rsid w:val="000916D4"/>
    <w:rsid w:val="00092E42"/>
    <w:rsid w:val="00092EF7"/>
    <w:rsid w:val="0009310E"/>
    <w:rsid w:val="000935FE"/>
    <w:rsid w:val="0009372D"/>
    <w:rsid w:val="00095091"/>
    <w:rsid w:val="00095700"/>
    <w:rsid w:val="000963E3"/>
    <w:rsid w:val="00096CBF"/>
    <w:rsid w:val="00096E0A"/>
    <w:rsid w:val="0009711E"/>
    <w:rsid w:val="000A05CE"/>
    <w:rsid w:val="000A0F0F"/>
    <w:rsid w:val="000A1654"/>
    <w:rsid w:val="000A18F8"/>
    <w:rsid w:val="000A1E6D"/>
    <w:rsid w:val="000A2465"/>
    <w:rsid w:val="000A24C6"/>
    <w:rsid w:val="000A2BF1"/>
    <w:rsid w:val="000A3418"/>
    <w:rsid w:val="000A34F2"/>
    <w:rsid w:val="000A377F"/>
    <w:rsid w:val="000A3890"/>
    <w:rsid w:val="000A3EE6"/>
    <w:rsid w:val="000A3F0D"/>
    <w:rsid w:val="000A4771"/>
    <w:rsid w:val="000A5174"/>
    <w:rsid w:val="000A5364"/>
    <w:rsid w:val="000A579B"/>
    <w:rsid w:val="000A5924"/>
    <w:rsid w:val="000A5A80"/>
    <w:rsid w:val="000A6355"/>
    <w:rsid w:val="000A64F7"/>
    <w:rsid w:val="000A660E"/>
    <w:rsid w:val="000A66A7"/>
    <w:rsid w:val="000A78FC"/>
    <w:rsid w:val="000A7A97"/>
    <w:rsid w:val="000A7D69"/>
    <w:rsid w:val="000B0412"/>
    <w:rsid w:val="000B0F2B"/>
    <w:rsid w:val="000B1819"/>
    <w:rsid w:val="000B1C6A"/>
    <w:rsid w:val="000B27B7"/>
    <w:rsid w:val="000B28B4"/>
    <w:rsid w:val="000B2A15"/>
    <w:rsid w:val="000B2F4F"/>
    <w:rsid w:val="000B3083"/>
    <w:rsid w:val="000B30FE"/>
    <w:rsid w:val="000B343F"/>
    <w:rsid w:val="000B480F"/>
    <w:rsid w:val="000B4A34"/>
    <w:rsid w:val="000B69D4"/>
    <w:rsid w:val="000B770E"/>
    <w:rsid w:val="000B777B"/>
    <w:rsid w:val="000B79F0"/>
    <w:rsid w:val="000B7D3F"/>
    <w:rsid w:val="000B7D94"/>
    <w:rsid w:val="000C0033"/>
    <w:rsid w:val="000C03C2"/>
    <w:rsid w:val="000C0FB7"/>
    <w:rsid w:val="000C15D0"/>
    <w:rsid w:val="000C38F3"/>
    <w:rsid w:val="000C3CB4"/>
    <w:rsid w:val="000C5F29"/>
    <w:rsid w:val="000C60E3"/>
    <w:rsid w:val="000C6815"/>
    <w:rsid w:val="000C6B48"/>
    <w:rsid w:val="000C6E5F"/>
    <w:rsid w:val="000C6F29"/>
    <w:rsid w:val="000C7723"/>
    <w:rsid w:val="000C784E"/>
    <w:rsid w:val="000C7D9D"/>
    <w:rsid w:val="000D06E6"/>
    <w:rsid w:val="000D0F0A"/>
    <w:rsid w:val="000D1972"/>
    <w:rsid w:val="000D1AE1"/>
    <w:rsid w:val="000D2316"/>
    <w:rsid w:val="000D2738"/>
    <w:rsid w:val="000D289F"/>
    <w:rsid w:val="000D28BF"/>
    <w:rsid w:val="000D3442"/>
    <w:rsid w:val="000D3604"/>
    <w:rsid w:val="000D36FA"/>
    <w:rsid w:val="000D37A3"/>
    <w:rsid w:val="000D3D97"/>
    <w:rsid w:val="000D48C7"/>
    <w:rsid w:val="000D4C66"/>
    <w:rsid w:val="000D537F"/>
    <w:rsid w:val="000D61CA"/>
    <w:rsid w:val="000D62D2"/>
    <w:rsid w:val="000D638B"/>
    <w:rsid w:val="000D657B"/>
    <w:rsid w:val="000D7398"/>
    <w:rsid w:val="000D7B56"/>
    <w:rsid w:val="000E0112"/>
    <w:rsid w:val="000E0180"/>
    <w:rsid w:val="000E103D"/>
    <w:rsid w:val="000E1A95"/>
    <w:rsid w:val="000E1EF5"/>
    <w:rsid w:val="000E2DAB"/>
    <w:rsid w:val="000E337E"/>
    <w:rsid w:val="000E4544"/>
    <w:rsid w:val="000E456C"/>
    <w:rsid w:val="000E4B46"/>
    <w:rsid w:val="000E4B56"/>
    <w:rsid w:val="000E5568"/>
    <w:rsid w:val="000E5E19"/>
    <w:rsid w:val="000E7CDE"/>
    <w:rsid w:val="000E7DC3"/>
    <w:rsid w:val="000E7FFD"/>
    <w:rsid w:val="000F0066"/>
    <w:rsid w:val="000F032F"/>
    <w:rsid w:val="000F0877"/>
    <w:rsid w:val="000F1F2E"/>
    <w:rsid w:val="000F222A"/>
    <w:rsid w:val="000F24E2"/>
    <w:rsid w:val="000F2ED8"/>
    <w:rsid w:val="000F3256"/>
    <w:rsid w:val="000F3D5D"/>
    <w:rsid w:val="000F3EBA"/>
    <w:rsid w:val="000F4A83"/>
    <w:rsid w:val="000F4B6F"/>
    <w:rsid w:val="000F4FEC"/>
    <w:rsid w:val="000F5910"/>
    <w:rsid w:val="000F5A0B"/>
    <w:rsid w:val="000F6334"/>
    <w:rsid w:val="000F64B7"/>
    <w:rsid w:val="000F6D9E"/>
    <w:rsid w:val="000F7EDE"/>
    <w:rsid w:val="00100E06"/>
    <w:rsid w:val="00101260"/>
    <w:rsid w:val="00101518"/>
    <w:rsid w:val="001016B1"/>
    <w:rsid w:val="001016B8"/>
    <w:rsid w:val="00101707"/>
    <w:rsid w:val="00102405"/>
    <w:rsid w:val="00102D48"/>
    <w:rsid w:val="00103136"/>
    <w:rsid w:val="001035E7"/>
    <w:rsid w:val="00104785"/>
    <w:rsid w:val="0010495A"/>
    <w:rsid w:val="001068F1"/>
    <w:rsid w:val="00106A90"/>
    <w:rsid w:val="00106C72"/>
    <w:rsid w:val="00106F7F"/>
    <w:rsid w:val="001072CF"/>
    <w:rsid w:val="0011063E"/>
    <w:rsid w:val="00111709"/>
    <w:rsid w:val="00111BF5"/>
    <w:rsid w:val="00112512"/>
    <w:rsid w:val="00113A76"/>
    <w:rsid w:val="00113BB9"/>
    <w:rsid w:val="00113FAF"/>
    <w:rsid w:val="001147B6"/>
    <w:rsid w:val="00115992"/>
    <w:rsid w:val="00116AB0"/>
    <w:rsid w:val="00116F96"/>
    <w:rsid w:val="00117133"/>
    <w:rsid w:val="00117490"/>
    <w:rsid w:val="00117924"/>
    <w:rsid w:val="00120522"/>
    <w:rsid w:val="001207DC"/>
    <w:rsid w:val="00120FCC"/>
    <w:rsid w:val="001210F5"/>
    <w:rsid w:val="00121438"/>
    <w:rsid w:val="00121AA5"/>
    <w:rsid w:val="00122383"/>
    <w:rsid w:val="001228FB"/>
    <w:rsid w:val="00122F00"/>
    <w:rsid w:val="0012430F"/>
    <w:rsid w:val="0012538C"/>
    <w:rsid w:val="0012550C"/>
    <w:rsid w:val="00125597"/>
    <w:rsid w:val="001255F1"/>
    <w:rsid w:val="00125854"/>
    <w:rsid w:val="0012666A"/>
    <w:rsid w:val="00126764"/>
    <w:rsid w:val="00126AF5"/>
    <w:rsid w:val="00127044"/>
    <w:rsid w:val="00127255"/>
    <w:rsid w:val="00127CB4"/>
    <w:rsid w:val="00130EFA"/>
    <w:rsid w:val="00131340"/>
    <w:rsid w:val="0013144E"/>
    <w:rsid w:val="00132B0B"/>
    <w:rsid w:val="001338A6"/>
    <w:rsid w:val="001341A4"/>
    <w:rsid w:val="001341D9"/>
    <w:rsid w:val="001346A6"/>
    <w:rsid w:val="00134A7C"/>
    <w:rsid w:val="00134F13"/>
    <w:rsid w:val="0013500A"/>
    <w:rsid w:val="00137768"/>
    <w:rsid w:val="00137D58"/>
    <w:rsid w:val="001403BC"/>
    <w:rsid w:val="00140553"/>
    <w:rsid w:val="00140B88"/>
    <w:rsid w:val="00143351"/>
    <w:rsid w:val="00143563"/>
    <w:rsid w:val="0014393C"/>
    <w:rsid w:val="001441C9"/>
    <w:rsid w:val="0014482E"/>
    <w:rsid w:val="00144B4C"/>
    <w:rsid w:val="00145783"/>
    <w:rsid w:val="00145F07"/>
    <w:rsid w:val="0014628B"/>
    <w:rsid w:val="00146699"/>
    <w:rsid w:val="0014716C"/>
    <w:rsid w:val="0015070E"/>
    <w:rsid w:val="001510FD"/>
    <w:rsid w:val="00151F5C"/>
    <w:rsid w:val="001524A4"/>
    <w:rsid w:val="00152911"/>
    <w:rsid w:val="00153864"/>
    <w:rsid w:val="00154650"/>
    <w:rsid w:val="00154E57"/>
    <w:rsid w:val="00155A28"/>
    <w:rsid w:val="00155CB5"/>
    <w:rsid w:val="00155EE6"/>
    <w:rsid w:val="00156B21"/>
    <w:rsid w:val="00156F26"/>
    <w:rsid w:val="00157013"/>
    <w:rsid w:val="00157448"/>
    <w:rsid w:val="00157A0A"/>
    <w:rsid w:val="00157CC9"/>
    <w:rsid w:val="001602FB"/>
    <w:rsid w:val="00160443"/>
    <w:rsid w:val="0016071A"/>
    <w:rsid w:val="00160F66"/>
    <w:rsid w:val="00161882"/>
    <w:rsid w:val="00161CA5"/>
    <w:rsid w:val="0016268B"/>
    <w:rsid w:val="00162828"/>
    <w:rsid w:val="00163898"/>
    <w:rsid w:val="00163E78"/>
    <w:rsid w:val="001644C8"/>
    <w:rsid w:val="00164B08"/>
    <w:rsid w:val="001650BD"/>
    <w:rsid w:val="00165C3F"/>
    <w:rsid w:val="00166755"/>
    <w:rsid w:val="00166924"/>
    <w:rsid w:val="00166E6C"/>
    <w:rsid w:val="00167059"/>
    <w:rsid w:val="00167528"/>
    <w:rsid w:val="00167897"/>
    <w:rsid w:val="00167CC2"/>
    <w:rsid w:val="00170A45"/>
    <w:rsid w:val="00171172"/>
    <w:rsid w:val="0017134E"/>
    <w:rsid w:val="00171A25"/>
    <w:rsid w:val="00172002"/>
    <w:rsid w:val="00172202"/>
    <w:rsid w:val="001728FC"/>
    <w:rsid w:val="00172FC0"/>
    <w:rsid w:val="001731B2"/>
    <w:rsid w:val="00174F05"/>
    <w:rsid w:val="00175600"/>
    <w:rsid w:val="00175B00"/>
    <w:rsid w:val="0017656B"/>
    <w:rsid w:val="001767A3"/>
    <w:rsid w:val="001767D2"/>
    <w:rsid w:val="00177131"/>
    <w:rsid w:val="00177C23"/>
    <w:rsid w:val="00177D3D"/>
    <w:rsid w:val="001803A2"/>
    <w:rsid w:val="00181DAA"/>
    <w:rsid w:val="00182917"/>
    <w:rsid w:val="00182B8D"/>
    <w:rsid w:val="00182F8D"/>
    <w:rsid w:val="00183725"/>
    <w:rsid w:val="00183E8E"/>
    <w:rsid w:val="00184DB4"/>
    <w:rsid w:val="00185990"/>
    <w:rsid w:val="00185FAF"/>
    <w:rsid w:val="00186C89"/>
    <w:rsid w:val="001876EF"/>
    <w:rsid w:val="00190D41"/>
    <w:rsid w:val="00192957"/>
    <w:rsid w:val="00192F96"/>
    <w:rsid w:val="00193641"/>
    <w:rsid w:val="00193E5C"/>
    <w:rsid w:val="00193E92"/>
    <w:rsid w:val="001945C8"/>
    <w:rsid w:val="0019559A"/>
    <w:rsid w:val="00195F93"/>
    <w:rsid w:val="001963DB"/>
    <w:rsid w:val="00197076"/>
    <w:rsid w:val="0019751E"/>
    <w:rsid w:val="00197828"/>
    <w:rsid w:val="001978F3"/>
    <w:rsid w:val="00197C40"/>
    <w:rsid w:val="00197E10"/>
    <w:rsid w:val="00197F4F"/>
    <w:rsid w:val="001A0C2A"/>
    <w:rsid w:val="001A0C3E"/>
    <w:rsid w:val="001A19C2"/>
    <w:rsid w:val="001A1A99"/>
    <w:rsid w:val="001A1E43"/>
    <w:rsid w:val="001A2238"/>
    <w:rsid w:val="001A2613"/>
    <w:rsid w:val="001A357C"/>
    <w:rsid w:val="001A42AC"/>
    <w:rsid w:val="001A458B"/>
    <w:rsid w:val="001A4C1F"/>
    <w:rsid w:val="001A50E0"/>
    <w:rsid w:val="001A6168"/>
    <w:rsid w:val="001A672B"/>
    <w:rsid w:val="001A6A61"/>
    <w:rsid w:val="001A70B0"/>
    <w:rsid w:val="001A7DC4"/>
    <w:rsid w:val="001B0316"/>
    <w:rsid w:val="001B13B6"/>
    <w:rsid w:val="001B154F"/>
    <w:rsid w:val="001B1F22"/>
    <w:rsid w:val="001B212B"/>
    <w:rsid w:val="001B2344"/>
    <w:rsid w:val="001B27C4"/>
    <w:rsid w:val="001B2A9B"/>
    <w:rsid w:val="001B328D"/>
    <w:rsid w:val="001B352D"/>
    <w:rsid w:val="001B359F"/>
    <w:rsid w:val="001B41DF"/>
    <w:rsid w:val="001B6366"/>
    <w:rsid w:val="001B67EC"/>
    <w:rsid w:val="001B6B2B"/>
    <w:rsid w:val="001B6F76"/>
    <w:rsid w:val="001B720A"/>
    <w:rsid w:val="001B72E2"/>
    <w:rsid w:val="001B7422"/>
    <w:rsid w:val="001B7D6D"/>
    <w:rsid w:val="001C0795"/>
    <w:rsid w:val="001C0EFA"/>
    <w:rsid w:val="001C1B9B"/>
    <w:rsid w:val="001C1D69"/>
    <w:rsid w:val="001C1EE9"/>
    <w:rsid w:val="001C23F0"/>
    <w:rsid w:val="001C3244"/>
    <w:rsid w:val="001C3390"/>
    <w:rsid w:val="001C3431"/>
    <w:rsid w:val="001C3990"/>
    <w:rsid w:val="001C3C2E"/>
    <w:rsid w:val="001C40A1"/>
    <w:rsid w:val="001C419F"/>
    <w:rsid w:val="001C4221"/>
    <w:rsid w:val="001C4271"/>
    <w:rsid w:val="001C4581"/>
    <w:rsid w:val="001C5C97"/>
    <w:rsid w:val="001C5E58"/>
    <w:rsid w:val="001C655A"/>
    <w:rsid w:val="001C6B36"/>
    <w:rsid w:val="001C6D2A"/>
    <w:rsid w:val="001C7761"/>
    <w:rsid w:val="001C7A07"/>
    <w:rsid w:val="001C7A22"/>
    <w:rsid w:val="001D0173"/>
    <w:rsid w:val="001D0832"/>
    <w:rsid w:val="001D0C95"/>
    <w:rsid w:val="001D2477"/>
    <w:rsid w:val="001D2BC9"/>
    <w:rsid w:val="001D3448"/>
    <w:rsid w:val="001D3AE7"/>
    <w:rsid w:val="001D510C"/>
    <w:rsid w:val="001D569D"/>
    <w:rsid w:val="001D653D"/>
    <w:rsid w:val="001E1229"/>
    <w:rsid w:val="001E16F0"/>
    <w:rsid w:val="001E1E9D"/>
    <w:rsid w:val="001E294C"/>
    <w:rsid w:val="001E2C30"/>
    <w:rsid w:val="001E3279"/>
    <w:rsid w:val="001E33C7"/>
    <w:rsid w:val="001E362C"/>
    <w:rsid w:val="001E4426"/>
    <w:rsid w:val="001E4CE0"/>
    <w:rsid w:val="001E51BC"/>
    <w:rsid w:val="001E54DE"/>
    <w:rsid w:val="001E5A59"/>
    <w:rsid w:val="001E5D04"/>
    <w:rsid w:val="001E5FB6"/>
    <w:rsid w:val="001E6262"/>
    <w:rsid w:val="001E69E4"/>
    <w:rsid w:val="001E6C9F"/>
    <w:rsid w:val="001E7331"/>
    <w:rsid w:val="001E750F"/>
    <w:rsid w:val="001E773D"/>
    <w:rsid w:val="001E7C96"/>
    <w:rsid w:val="001F06A0"/>
    <w:rsid w:val="001F0C6B"/>
    <w:rsid w:val="001F2A4C"/>
    <w:rsid w:val="001F2C29"/>
    <w:rsid w:val="001F2E05"/>
    <w:rsid w:val="001F3DB8"/>
    <w:rsid w:val="001F406D"/>
    <w:rsid w:val="001F4B76"/>
    <w:rsid w:val="001F4E75"/>
    <w:rsid w:val="001F5081"/>
    <w:rsid w:val="001F528B"/>
    <w:rsid w:val="001F5A78"/>
    <w:rsid w:val="001F5BCF"/>
    <w:rsid w:val="001F5D33"/>
    <w:rsid w:val="001F5F67"/>
    <w:rsid w:val="001F63DA"/>
    <w:rsid w:val="001F68FE"/>
    <w:rsid w:val="001F7702"/>
    <w:rsid w:val="00200153"/>
    <w:rsid w:val="00200924"/>
    <w:rsid w:val="00201E66"/>
    <w:rsid w:val="00202C25"/>
    <w:rsid w:val="00202CED"/>
    <w:rsid w:val="00202DC3"/>
    <w:rsid w:val="00203435"/>
    <w:rsid w:val="00203D44"/>
    <w:rsid w:val="00204316"/>
    <w:rsid w:val="0020460E"/>
    <w:rsid w:val="00204996"/>
    <w:rsid w:val="00205464"/>
    <w:rsid w:val="002062F9"/>
    <w:rsid w:val="00206996"/>
    <w:rsid w:val="00206DD2"/>
    <w:rsid w:val="00207015"/>
    <w:rsid w:val="002070AB"/>
    <w:rsid w:val="002071BD"/>
    <w:rsid w:val="00207C00"/>
    <w:rsid w:val="002103C6"/>
    <w:rsid w:val="00210763"/>
    <w:rsid w:val="0021248C"/>
    <w:rsid w:val="00213A3B"/>
    <w:rsid w:val="00213EB1"/>
    <w:rsid w:val="00213F29"/>
    <w:rsid w:val="002143A9"/>
    <w:rsid w:val="00214EF0"/>
    <w:rsid w:val="00215555"/>
    <w:rsid w:val="00215C1C"/>
    <w:rsid w:val="00215C4D"/>
    <w:rsid w:val="002166EC"/>
    <w:rsid w:val="00216775"/>
    <w:rsid w:val="00217441"/>
    <w:rsid w:val="00217C85"/>
    <w:rsid w:val="00217E18"/>
    <w:rsid w:val="002217A5"/>
    <w:rsid w:val="00222118"/>
    <w:rsid w:val="00223370"/>
    <w:rsid w:val="002240DA"/>
    <w:rsid w:val="00224527"/>
    <w:rsid w:val="002248D6"/>
    <w:rsid w:val="00224F22"/>
    <w:rsid w:val="002253C7"/>
    <w:rsid w:val="00225A9C"/>
    <w:rsid w:val="00225E45"/>
    <w:rsid w:val="00226B28"/>
    <w:rsid w:val="00226E54"/>
    <w:rsid w:val="00227B55"/>
    <w:rsid w:val="00227B68"/>
    <w:rsid w:val="0023013D"/>
    <w:rsid w:val="0023027D"/>
    <w:rsid w:val="0023052A"/>
    <w:rsid w:val="00230C48"/>
    <w:rsid w:val="0023102F"/>
    <w:rsid w:val="00231DC7"/>
    <w:rsid w:val="00232338"/>
    <w:rsid w:val="00232E5E"/>
    <w:rsid w:val="002337D7"/>
    <w:rsid w:val="00233FB2"/>
    <w:rsid w:val="002344C6"/>
    <w:rsid w:val="00234E5E"/>
    <w:rsid w:val="00235EF0"/>
    <w:rsid w:val="00236A8D"/>
    <w:rsid w:val="00237462"/>
    <w:rsid w:val="002377DC"/>
    <w:rsid w:val="00240387"/>
    <w:rsid w:val="00241A8A"/>
    <w:rsid w:val="00241ABE"/>
    <w:rsid w:val="00241B33"/>
    <w:rsid w:val="00242005"/>
    <w:rsid w:val="00242479"/>
    <w:rsid w:val="0024252B"/>
    <w:rsid w:val="00244470"/>
    <w:rsid w:val="00245CBA"/>
    <w:rsid w:val="002468DB"/>
    <w:rsid w:val="00246B4A"/>
    <w:rsid w:val="00246BFA"/>
    <w:rsid w:val="0024721D"/>
    <w:rsid w:val="00247BAC"/>
    <w:rsid w:val="00247C1F"/>
    <w:rsid w:val="00250278"/>
    <w:rsid w:val="00250690"/>
    <w:rsid w:val="002508DE"/>
    <w:rsid w:val="00250985"/>
    <w:rsid w:val="00251119"/>
    <w:rsid w:val="00251329"/>
    <w:rsid w:val="00251B6F"/>
    <w:rsid w:val="00252CE9"/>
    <w:rsid w:val="00252E6D"/>
    <w:rsid w:val="002530AF"/>
    <w:rsid w:val="002531D1"/>
    <w:rsid w:val="002545E8"/>
    <w:rsid w:val="00254AC3"/>
    <w:rsid w:val="00254C55"/>
    <w:rsid w:val="00254DE0"/>
    <w:rsid w:val="00256317"/>
    <w:rsid w:val="0025647A"/>
    <w:rsid w:val="00256730"/>
    <w:rsid w:val="00256954"/>
    <w:rsid w:val="00257221"/>
    <w:rsid w:val="002573C9"/>
    <w:rsid w:val="002600EE"/>
    <w:rsid w:val="00260465"/>
    <w:rsid w:val="00260598"/>
    <w:rsid w:val="002614C0"/>
    <w:rsid w:val="00261E32"/>
    <w:rsid w:val="002635F9"/>
    <w:rsid w:val="00264414"/>
    <w:rsid w:val="00266E75"/>
    <w:rsid w:val="00267891"/>
    <w:rsid w:val="00270D30"/>
    <w:rsid w:val="002711EB"/>
    <w:rsid w:val="00271248"/>
    <w:rsid w:val="002717C5"/>
    <w:rsid w:val="00271FD6"/>
    <w:rsid w:val="002727BD"/>
    <w:rsid w:val="002735FE"/>
    <w:rsid w:val="00273917"/>
    <w:rsid w:val="002739C2"/>
    <w:rsid w:val="00274E87"/>
    <w:rsid w:val="0027517C"/>
    <w:rsid w:val="002753A0"/>
    <w:rsid w:val="00275B91"/>
    <w:rsid w:val="0027681C"/>
    <w:rsid w:val="0027714B"/>
    <w:rsid w:val="00277995"/>
    <w:rsid w:val="00277B80"/>
    <w:rsid w:val="0028089B"/>
    <w:rsid w:val="002808EC"/>
    <w:rsid w:val="0028103D"/>
    <w:rsid w:val="002818BB"/>
    <w:rsid w:val="00281BAA"/>
    <w:rsid w:val="002823D4"/>
    <w:rsid w:val="00283925"/>
    <w:rsid w:val="00283BF9"/>
    <w:rsid w:val="002841D3"/>
    <w:rsid w:val="0028420D"/>
    <w:rsid w:val="0028469B"/>
    <w:rsid w:val="0028492D"/>
    <w:rsid w:val="002849A1"/>
    <w:rsid w:val="0028523A"/>
    <w:rsid w:val="00285551"/>
    <w:rsid w:val="00286CCB"/>
    <w:rsid w:val="00286F36"/>
    <w:rsid w:val="002907D7"/>
    <w:rsid w:val="00290D4F"/>
    <w:rsid w:val="00290F1C"/>
    <w:rsid w:val="00291639"/>
    <w:rsid w:val="0029187D"/>
    <w:rsid w:val="002919DC"/>
    <w:rsid w:val="00291D06"/>
    <w:rsid w:val="002936B6"/>
    <w:rsid w:val="002943FE"/>
    <w:rsid w:val="00294981"/>
    <w:rsid w:val="00295027"/>
    <w:rsid w:val="00295096"/>
    <w:rsid w:val="002950A7"/>
    <w:rsid w:val="00295549"/>
    <w:rsid w:val="00295760"/>
    <w:rsid w:val="00295F7B"/>
    <w:rsid w:val="0029626B"/>
    <w:rsid w:val="002962A2"/>
    <w:rsid w:val="002968D5"/>
    <w:rsid w:val="002970BF"/>
    <w:rsid w:val="002A13F7"/>
    <w:rsid w:val="002A16D3"/>
    <w:rsid w:val="002A1AE8"/>
    <w:rsid w:val="002A1CF3"/>
    <w:rsid w:val="002A2194"/>
    <w:rsid w:val="002A21F2"/>
    <w:rsid w:val="002A226D"/>
    <w:rsid w:val="002A2859"/>
    <w:rsid w:val="002A2996"/>
    <w:rsid w:val="002A30E4"/>
    <w:rsid w:val="002A3169"/>
    <w:rsid w:val="002A43AF"/>
    <w:rsid w:val="002A52FA"/>
    <w:rsid w:val="002A54B1"/>
    <w:rsid w:val="002A6E95"/>
    <w:rsid w:val="002A73C4"/>
    <w:rsid w:val="002A7D51"/>
    <w:rsid w:val="002B0914"/>
    <w:rsid w:val="002B0BB5"/>
    <w:rsid w:val="002B0CF0"/>
    <w:rsid w:val="002B0F7A"/>
    <w:rsid w:val="002B11AC"/>
    <w:rsid w:val="002B2569"/>
    <w:rsid w:val="002B2F3A"/>
    <w:rsid w:val="002B3443"/>
    <w:rsid w:val="002B494E"/>
    <w:rsid w:val="002B5465"/>
    <w:rsid w:val="002B5C81"/>
    <w:rsid w:val="002B5E67"/>
    <w:rsid w:val="002B7604"/>
    <w:rsid w:val="002B7673"/>
    <w:rsid w:val="002B77E0"/>
    <w:rsid w:val="002B7836"/>
    <w:rsid w:val="002B788C"/>
    <w:rsid w:val="002C062A"/>
    <w:rsid w:val="002C128C"/>
    <w:rsid w:val="002C13FD"/>
    <w:rsid w:val="002C1C01"/>
    <w:rsid w:val="002C1EF5"/>
    <w:rsid w:val="002C2941"/>
    <w:rsid w:val="002C2D82"/>
    <w:rsid w:val="002C36A4"/>
    <w:rsid w:val="002C3897"/>
    <w:rsid w:val="002C3CC3"/>
    <w:rsid w:val="002C4C7C"/>
    <w:rsid w:val="002C4D60"/>
    <w:rsid w:val="002C4DBD"/>
    <w:rsid w:val="002C4FE1"/>
    <w:rsid w:val="002C534A"/>
    <w:rsid w:val="002C53AC"/>
    <w:rsid w:val="002C54A7"/>
    <w:rsid w:val="002C5B79"/>
    <w:rsid w:val="002C7171"/>
    <w:rsid w:val="002C7EDA"/>
    <w:rsid w:val="002D1002"/>
    <w:rsid w:val="002D176D"/>
    <w:rsid w:val="002D23EF"/>
    <w:rsid w:val="002D2996"/>
    <w:rsid w:val="002D3A4D"/>
    <w:rsid w:val="002D47A7"/>
    <w:rsid w:val="002D4BC9"/>
    <w:rsid w:val="002D4F87"/>
    <w:rsid w:val="002D62F8"/>
    <w:rsid w:val="002D6848"/>
    <w:rsid w:val="002D70F4"/>
    <w:rsid w:val="002D77B0"/>
    <w:rsid w:val="002E045D"/>
    <w:rsid w:val="002E0C80"/>
    <w:rsid w:val="002E1503"/>
    <w:rsid w:val="002E18E3"/>
    <w:rsid w:val="002E2014"/>
    <w:rsid w:val="002E21A0"/>
    <w:rsid w:val="002E22D8"/>
    <w:rsid w:val="002E23E8"/>
    <w:rsid w:val="002E323B"/>
    <w:rsid w:val="002E3443"/>
    <w:rsid w:val="002E3FC1"/>
    <w:rsid w:val="002E4626"/>
    <w:rsid w:val="002E48F8"/>
    <w:rsid w:val="002E5EDB"/>
    <w:rsid w:val="002E6419"/>
    <w:rsid w:val="002E661F"/>
    <w:rsid w:val="002E6884"/>
    <w:rsid w:val="002E6D1A"/>
    <w:rsid w:val="002E7ADC"/>
    <w:rsid w:val="002F0304"/>
    <w:rsid w:val="002F0A25"/>
    <w:rsid w:val="002F0E89"/>
    <w:rsid w:val="002F11A2"/>
    <w:rsid w:val="002F182D"/>
    <w:rsid w:val="002F1CA0"/>
    <w:rsid w:val="002F2171"/>
    <w:rsid w:val="002F264A"/>
    <w:rsid w:val="002F323F"/>
    <w:rsid w:val="002F36EA"/>
    <w:rsid w:val="002F3DA7"/>
    <w:rsid w:val="002F412C"/>
    <w:rsid w:val="002F41A6"/>
    <w:rsid w:val="002F427B"/>
    <w:rsid w:val="002F4758"/>
    <w:rsid w:val="002F47E4"/>
    <w:rsid w:val="002F4FAD"/>
    <w:rsid w:val="002F5D9B"/>
    <w:rsid w:val="002F61E9"/>
    <w:rsid w:val="002F67F7"/>
    <w:rsid w:val="002F6832"/>
    <w:rsid w:val="002F69C2"/>
    <w:rsid w:val="002F6D5A"/>
    <w:rsid w:val="002F723A"/>
    <w:rsid w:val="002F7FBB"/>
    <w:rsid w:val="00300443"/>
    <w:rsid w:val="00300896"/>
    <w:rsid w:val="00301445"/>
    <w:rsid w:val="00301500"/>
    <w:rsid w:val="003019F2"/>
    <w:rsid w:val="0030267F"/>
    <w:rsid w:val="00302CCA"/>
    <w:rsid w:val="00304526"/>
    <w:rsid w:val="00304BC1"/>
    <w:rsid w:val="00304D47"/>
    <w:rsid w:val="003052B6"/>
    <w:rsid w:val="00305AEC"/>
    <w:rsid w:val="00305BD1"/>
    <w:rsid w:val="00306155"/>
    <w:rsid w:val="003070AE"/>
    <w:rsid w:val="00307387"/>
    <w:rsid w:val="00307D63"/>
    <w:rsid w:val="00307E33"/>
    <w:rsid w:val="003116F2"/>
    <w:rsid w:val="00311B46"/>
    <w:rsid w:val="00311FB6"/>
    <w:rsid w:val="003127E9"/>
    <w:rsid w:val="00312CA7"/>
    <w:rsid w:val="00312DA6"/>
    <w:rsid w:val="00313903"/>
    <w:rsid w:val="00313ABA"/>
    <w:rsid w:val="00315833"/>
    <w:rsid w:val="00315B67"/>
    <w:rsid w:val="00315E8A"/>
    <w:rsid w:val="00315FB3"/>
    <w:rsid w:val="00315FD9"/>
    <w:rsid w:val="00316218"/>
    <w:rsid w:val="00316C04"/>
    <w:rsid w:val="00316DE1"/>
    <w:rsid w:val="00317686"/>
    <w:rsid w:val="00320C54"/>
    <w:rsid w:val="0032119E"/>
    <w:rsid w:val="0032145D"/>
    <w:rsid w:val="0032185C"/>
    <w:rsid w:val="00323A1F"/>
    <w:rsid w:val="00325B8A"/>
    <w:rsid w:val="0032615D"/>
    <w:rsid w:val="00326727"/>
    <w:rsid w:val="003268A9"/>
    <w:rsid w:val="00326BCA"/>
    <w:rsid w:val="00326DC6"/>
    <w:rsid w:val="00326E61"/>
    <w:rsid w:val="00326F09"/>
    <w:rsid w:val="00327B2D"/>
    <w:rsid w:val="00327F09"/>
    <w:rsid w:val="0033000C"/>
    <w:rsid w:val="00330CD8"/>
    <w:rsid w:val="00331039"/>
    <w:rsid w:val="00331084"/>
    <w:rsid w:val="0033108C"/>
    <w:rsid w:val="00331169"/>
    <w:rsid w:val="003316EC"/>
    <w:rsid w:val="00332937"/>
    <w:rsid w:val="00332D43"/>
    <w:rsid w:val="00332E61"/>
    <w:rsid w:val="003335AC"/>
    <w:rsid w:val="00334771"/>
    <w:rsid w:val="0033588E"/>
    <w:rsid w:val="00336120"/>
    <w:rsid w:val="0033625E"/>
    <w:rsid w:val="00336B5D"/>
    <w:rsid w:val="00336B60"/>
    <w:rsid w:val="00336D65"/>
    <w:rsid w:val="00336F32"/>
    <w:rsid w:val="0033725B"/>
    <w:rsid w:val="00340313"/>
    <w:rsid w:val="00340334"/>
    <w:rsid w:val="003413ED"/>
    <w:rsid w:val="00342FD3"/>
    <w:rsid w:val="003432A3"/>
    <w:rsid w:val="00343365"/>
    <w:rsid w:val="0034369C"/>
    <w:rsid w:val="00343E0B"/>
    <w:rsid w:val="00344236"/>
    <w:rsid w:val="003450E3"/>
    <w:rsid w:val="003457EB"/>
    <w:rsid w:val="0034641B"/>
    <w:rsid w:val="00346A80"/>
    <w:rsid w:val="003473FA"/>
    <w:rsid w:val="00347992"/>
    <w:rsid w:val="003479F3"/>
    <w:rsid w:val="003500EF"/>
    <w:rsid w:val="003507F8"/>
    <w:rsid w:val="0035099F"/>
    <w:rsid w:val="0035174A"/>
    <w:rsid w:val="00351D0D"/>
    <w:rsid w:val="0035213E"/>
    <w:rsid w:val="00352F9D"/>
    <w:rsid w:val="00353841"/>
    <w:rsid w:val="0035395F"/>
    <w:rsid w:val="00353E85"/>
    <w:rsid w:val="003546D0"/>
    <w:rsid w:val="00354964"/>
    <w:rsid w:val="00354E76"/>
    <w:rsid w:val="00354F74"/>
    <w:rsid w:val="0035513A"/>
    <w:rsid w:val="0035517E"/>
    <w:rsid w:val="00355586"/>
    <w:rsid w:val="00355B33"/>
    <w:rsid w:val="00356307"/>
    <w:rsid w:val="00356AF7"/>
    <w:rsid w:val="0035700F"/>
    <w:rsid w:val="00357C3E"/>
    <w:rsid w:val="003605E8"/>
    <w:rsid w:val="00360DE9"/>
    <w:rsid w:val="00360E68"/>
    <w:rsid w:val="00361C31"/>
    <w:rsid w:val="00361C8A"/>
    <w:rsid w:val="00361F9A"/>
    <w:rsid w:val="00362374"/>
    <w:rsid w:val="00362A95"/>
    <w:rsid w:val="00362CD4"/>
    <w:rsid w:val="00363783"/>
    <w:rsid w:val="0036389A"/>
    <w:rsid w:val="00363930"/>
    <w:rsid w:val="0036399A"/>
    <w:rsid w:val="00363ECC"/>
    <w:rsid w:val="00364941"/>
    <w:rsid w:val="00364E43"/>
    <w:rsid w:val="00365205"/>
    <w:rsid w:val="0036542D"/>
    <w:rsid w:val="00365470"/>
    <w:rsid w:val="003658E9"/>
    <w:rsid w:val="00366128"/>
    <w:rsid w:val="00367290"/>
    <w:rsid w:val="00367A48"/>
    <w:rsid w:val="00367A4D"/>
    <w:rsid w:val="00367DC5"/>
    <w:rsid w:val="00367FAB"/>
    <w:rsid w:val="00370192"/>
    <w:rsid w:val="00370557"/>
    <w:rsid w:val="003706AF"/>
    <w:rsid w:val="003724E1"/>
    <w:rsid w:val="00372529"/>
    <w:rsid w:val="00373961"/>
    <w:rsid w:val="00373B2C"/>
    <w:rsid w:val="003758C7"/>
    <w:rsid w:val="00376AC3"/>
    <w:rsid w:val="00376ADA"/>
    <w:rsid w:val="00376DC4"/>
    <w:rsid w:val="003772C7"/>
    <w:rsid w:val="00377431"/>
    <w:rsid w:val="00377B21"/>
    <w:rsid w:val="00377DB5"/>
    <w:rsid w:val="00380588"/>
    <w:rsid w:val="003808CA"/>
    <w:rsid w:val="003809B7"/>
    <w:rsid w:val="00380EED"/>
    <w:rsid w:val="00380FD1"/>
    <w:rsid w:val="00381053"/>
    <w:rsid w:val="0038125B"/>
    <w:rsid w:val="00381470"/>
    <w:rsid w:val="003815A7"/>
    <w:rsid w:val="003816E3"/>
    <w:rsid w:val="00382793"/>
    <w:rsid w:val="0038279E"/>
    <w:rsid w:val="00382A7B"/>
    <w:rsid w:val="00383656"/>
    <w:rsid w:val="00383F32"/>
    <w:rsid w:val="003847E3"/>
    <w:rsid w:val="003849BB"/>
    <w:rsid w:val="003853FA"/>
    <w:rsid w:val="00385846"/>
    <w:rsid w:val="00385A8B"/>
    <w:rsid w:val="003866BC"/>
    <w:rsid w:val="0038686A"/>
    <w:rsid w:val="00386C5F"/>
    <w:rsid w:val="00386E36"/>
    <w:rsid w:val="0038744B"/>
    <w:rsid w:val="003900D7"/>
    <w:rsid w:val="0039020B"/>
    <w:rsid w:val="0039073F"/>
    <w:rsid w:val="00391091"/>
    <w:rsid w:val="0039118C"/>
    <w:rsid w:val="0039483E"/>
    <w:rsid w:val="00394A2F"/>
    <w:rsid w:val="00394C06"/>
    <w:rsid w:val="00395E50"/>
    <w:rsid w:val="00396537"/>
    <w:rsid w:val="00397812"/>
    <w:rsid w:val="00397C49"/>
    <w:rsid w:val="003A0530"/>
    <w:rsid w:val="003A08D2"/>
    <w:rsid w:val="003A0A60"/>
    <w:rsid w:val="003A0CCD"/>
    <w:rsid w:val="003A12C9"/>
    <w:rsid w:val="003A1851"/>
    <w:rsid w:val="003A1A1E"/>
    <w:rsid w:val="003A1CC7"/>
    <w:rsid w:val="003A1E84"/>
    <w:rsid w:val="003A3770"/>
    <w:rsid w:val="003A3EF5"/>
    <w:rsid w:val="003A431F"/>
    <w:rsid w:val="003A45F7"/>
    <w:rsid w:val="003A55CE"/>
    <w:rsid w:val="003A5F46"/>
    <w:rsid w:val="003A6912"/>
    <w:rsid w:val="003A6BEA"/>
    <w:rsid w:val="003A6CBB"/>
    <w:rsid w:val="003A6CCC"/>
    <w:rsid w:val="003B025F"/>
    <w:rsid w:val="003B0282"/>
    <w:rsid w:val="003B0DDD"/>
    <w:rsid w:val="003B2CA5"/>
    <w:rsid w:val="003B3796"/>
    <w:rsid w:val="003B3C39"/>
    <w:rsid w:val="003B3E62"/>
    <w:rsid w:val="003B40C0"/>
    <w:rsid w:val="003B4513"/>
    <w:rsid w:val="003B5144"/>
    <w:rsid w:val="003B54F6"/>
    <w:rsid w:val="003B62FC"/>
    <w:rsid w:val="003B64B8"/>
    <w:rsid w:val="003B73E5"/>
    <w:rsid w:val="003B7DF1"/>
    <w:rsid w:val="003C0CDE"/>
    <w:rsid w:val="003C1D4F"/>
    <w:rsid w:val="003C38A9"/>
    <w:rsid w:val="003C3C52"/>
    <w:rsid w:val="003C3D35"/>
    <w:rsid w:val="003C67FA"/>
    <w:rsid w:val="003C6C2F"/>
    <w:rsid w:val="003C6CB6"/>
    <w:rsid w:val="003C7301"/>
    <w:rsid w:val="003D09BC"/>
    <w:rsid w:val="003D0B7C"/>
    <w:rsid w:val="003D1308"/>
    <w:rsid w:val="003D2905"/>
    <w:rsid w:val="003D2F59"/>
    <w:rsid w:val="003D35E7"/>
    <w:rsid w:val="003D36FB"/>
    <w:rsid w:val="003D4E57"/>
    <w:rsid w:val="003D4ED2"/>
    <w:rsid w:val="003D571C"/>
    <w:rsid w:val="003D57A5"/>
    <w:rsid w:val="003D5BEB"/>
    <w:rsid w:val="003D60A3"/>
    <w:rsid w:val="003D6459"/>
    <w:rsid w:val="003D69A1"/>
    <w:rsid w:val="003D7EEE"/>
    <w:rsid w:val="003E053F"/>
    <w:rsid w:val="003E0BFD"/>
    <w:rsid w:val="003E1129"/>
    <w:rsid w:val="003E223E"/>
    <w:rsid w:val="003E395E"/>
    <w:rsid w:val="003E4376"/>
    <w:rsid w:val="003E4CBC"/>
    <w:rsid w:val="003E4F14"/>
    <w:rsid w:val="003E5876"/>
    <w:rsid w:val="003E5CD6"/>
    <w:rsid w:val="003E69EA"/>
    <w:rsid w:val="003E6CCB"/>
    <w:rsid w:val="003F00B3"/>
    <w:rsid w:val="003F010B"/>
    <w:rsid w:val="003F0DCF"/>
    <w:rsid w:val="003F1179"/>
    <w:rsid w:val="003F1308"/>
    <w:rsid w:val="003F1659"/>
    <w:rsid w:val="003F1CA4"/>
    <w:rsid w:val="003F1D15"/>
    <w:rsid w:val="003F1E31"/>
    <w:rsid w:val="003F24A5"/>
    <w:rsid w:val="003F262E"/>
    <w:rsid w:val="003F32E3"/>
    <w:rsid w:val="003F3B82"/>
    <w:rsid w:val="003F3C3E"/>
    <w:rsid w:val="003F492F"/>
    <w:rsid w:val="003F68D0"/>
    <w:rsid w:val="003F6B73"/>
    <w:rsid w:val="00401398"/>
    <w:rsid w:val="00401893"/>
    <w:rsid w:val="00401922"/>
    <w:rsid w:val="004021CF"/>
    <w:rsid w:val="00402969"/>
    <w:rsid w:val="00403035"/>
    <w:rsid w:val="00403994"/>
    <w:rsid w:val="00404581"/>
    <w:rsid w:val="004047F5"/>
    <w:rsid w:val="00405090"/>
    <w:rsid w:val="004056E3"/>
    <w:rsid w:val="00405BA4"/>
    <w:rsid w:val="00406025"/>
    <w:rsid w:val="00406266"/>
    <w:rsid w:val="00407144"/>
    <w:rsid w:val="0040747F"/>
    <w:rsid w:val="00407744"/>
    <w:rsid w:val="00410DEA"/>
    <w:rsid w:val="00410E67"/>
    <w:rsid w:val="004114C8"/>
    <w:rsid w:val="00411B99"/>
    <w:rsid w:val="00411F42"/>
    <w:rsid w:val="00412676"/>
    <w:rsid w:val="00413000"/>
    <w:rsid w:val="00413061"/>
    <w:rsid w:val="00413352"/>
    <w:rsid w:val="0041344A"/>
    <w:rsid w:val="00413808"/>
    <w:rsid w:val="0041400B"/>
    <w:rsid w:val="004149BE"/>
    <w:rsid w:val="00415B34"/>
    <w:rsid w:val="004162DD"/>
    <w:rsid w:val="004167E1"/>
    <w:rsid w:val="0041744E"/>
    <w:rsid w:val="00417512"/>
    <w:rsid w:val="004175A8"/>
    <w:rsid w:val="0042005A"/>
    <w:rsid w:val="00421404"/>
    <w:rsid w:val="00421649"/>
    <w:rsid w:val="004222C9"/>
    <w:rsid w:val="004224ED"/>
    <w:rsid w:val="00423752"/>
    <w:rsid w:val="00423E0E"/>
    <w:rsid w:val="00424B29"/>
    <w:rsid w:val="004250C1"/>
    <w:rsid w:val="0042539F"/>
    <w:rsid w:val="00425CFE"/>
    <w:rsid w:val="0042662C"/>
    <w:rsid w:val="0042693A"/>
    <w:rsid w:val="00427F2A"/>
    <w:rsid w:val="0043026B"/>
    <w:rsid w:val="0043078C"/>
    <w:rsid w:val="00430BAD"/>
    <w:rsid w:val="00430F55"/>
    <w:rsid w:val="0043109E"/>
    <w:rsid w:val="0043153D"/>
    <w:rsid w:val="0043218F"/>
    <w:rsid w:val="00433303"/>
    <w:rsid w:val="00433523"/>
    <w:rsid w:val="00434D90"/>
    <w:rsid w:val="00435028"/>
    <w:rsid w:val="00435088"/>
    <w:rsid w:val="004353E4"/>
    <w:rsid w:val="00435C04"/>
    <w:rsid w:val="00436F6A"/>
    <w:rsid w:val="00440ACA"/>
    <w:rsid w:val="00440C1D"/>
    <w:rsid w:val="00441331"/>
    <w:rsid w:val="004415ED"/>
    <w:rsid w:val="00441941"/>
    <w:rsid w:val="0044223F"/>
    <w:rsid w:val="004423B3"/>
    <w:rsid w:val="004423EF"/>
    <w:rsid w:val="0044281A"/>
    <w:rsid w:val="00443A53"/>
    <w:rsid w:val="00443D66"/>
    <w:rsid w:val="00444484"/>
    <w:rsid w:val="00444D57"/>
    <w:rsid w:val="00444E3C"/>
    <w:rsid w:val="00445404"/>
    <w:rsid w:val="00445A2B"/>
    <w:rsid w:val="00445FCD"/>
    <w:rsid w:val="0044619C"/>
    <w:rsid w:val="004465E1"/>
    <w:rsid w:val="00446DE6"/>
    <w:rsid w:val="00447FCC"/>
    <w:rsid w:val="004502D5"/>
    <w:rsid w:val="00451061"/>
    <w:rsid w:val="00451466"/>
    <w:rsid w:val="00451D8E"/>
    <w:rsid w:val="00452F31"/>
    <w:rsid w:val="0045382F"/>
    <w:rsid w:val="00453C3F"/>
    <w:rsid w:val="00453F6F"/>
    <w:rsid w:val="00454A48"/>
    <w:rsid w:val="00454D2C"/>
    <w:rsid w:val="0045586C"/>
    <w:rsid w:val="00455C02"/>
    <w:rsid w:val="00455C89"/>
    <w:rsid w:val="00457E1B"/>
    <w:rsid w:val="0046035C"/>
    <w:rsid w:val="00461B1D"/>
    <w:rsid w:val="00461DF2"/>
    <w:rsid w:val="00462739"/>
    <w:rsid w:val="00462B74"/>
    <w:rsid w:val="00462C4D"/>
    <w:rsid w:val="004632DF"/>
    <w:rsid w:val="004652A8"/>
    <w:rsid w:val="0047007E"/>
    <w:rsid w:val="00470FB1"/>
    <w:rsid w:val="0047128F"/>
    <w:rsid w:val="00471570"/>
    <w:rsid w:val="00471ADF"/>
    <w:rsid w:val="00473089"/>
    <w:rsid w:val="00474FF7"/>
    <w:rsid w:val="0047614D"/>
    <w:rsid w:val="0047676C"/>
    <w:rsid w:val="00477171"/>
    <w:rsid w:val="004779BE"/>
    <w:rsid w:val="004808DE"/>
    <w:rsid w:val="00480EB3"/>
    <w:rsid w:val="00480FF6"/>
    <w:rsid w:val="00481566"/>
    <w:rsid w:val="004818E4"/>
    <w:rsid w:val="00481EF3"/>
    <w:rsid w:val="00482242"/>
    <w:rsid w:val="00482443"/>
    <w:rsid w:val="00482CFE"/>
    <w:rsid w:val="00482D97"/>
    <w:rsid w:val="00483203"/>
    <w:rsid w:val="00483BD6"/>
    <w:rsid w:val="00483C38"/>
    <w:rsid w:val="004852B7"/>
    <w:rsid w:val="0048664F"/>
    <w:rsid w:val="0048676E"/>
    <w:rsid w:val="00486D0C"/>
    <w:rsid w:val="004872F4"/>
    <w:rsid w:val="0049026B"/>
    <w:rsid w:val="00490380"/>
    <w:rsid w:val="00490466"/>
    <w:rsid w:val="00490561"/>
    <w:rsid w:val="0049070B"/>
    <w:rsid w:val="00491096"/>
    <w:rsid w:val="0049144C"/>
    <w:rsid w:val="0049174F"/>
    <w:rsid w:val="004919A1"/>
    <w:rsid w:val="00491DEE"/>
    <w:rsid w:val="00492D95"/>
    <w:rsid w:val="0049366D"/>
    <w:rsid w:val="00493BBB"/>
    <w:rsid w:val="00493D27"/>
    <w:rsid w:val="0049443E"/>
    <w:rsid w:val="004947C9"/>
    <w:rsid w:val="0049483E"/>
    <w:rsid w:val="00495C7A"/>
    <w:rsid w:val="004964D5"/>
    <w:rsid w:val="004968A5"/>
    <w:rsid w:val="0049694D"/>
    <w:rsid w:val="00497176"/>
    <w:rsid w:val="00497E75"/>
    <w:rsid w:val="004A019F"/>
    <w:rsid w:val="004A23E6"/>
    <w:rsid w:val="004A27F7"/>
    <w:rsid w:val="004A2BD0"/>
    <w:rsid w:val="004A3514"/>
    <w:rsid w:val="004A49C3"/>
    <w:rsid w:val="004A4D7A"/>
    <w:rsid w:val="004A4E80"/>
    <w:rsid w:val="004A5F77"/>
    <w:rsid w:val="004A6042"/>
    <w:rsid w:val="004A7662"/>
    <w:rsid w:val="004A7EB5"/>
    <w:rsid w:val="004B006C"/>
    <w:rsid w:val="004B025D"/>
    <w:rsid w:val="004B045C"/>
    <w:rsid w:val="004B04CF"/>
    <w:rsid w:val="004B0B79"/>
    <w:rsid w:val="004B1369"/>
    <w:rsid w:val="004B24EE"/>
    <w:rsid w:val="004B299E"/>
    <w:rsid w:val="004B2AB6"/>
    <w:rsid w:val="004B3042"/>
    <w:rsid w:val="004B3936"/>
    <w:rsid w:val="004B3C95"/>
    <w:rsid w:val="004B44AD"/>
    <w:rsid w:val="004B4D4E"/>
    <w:rsid w:val="004B54F2"/>
    <w:rsid w:val="004B66C0"/>
    <w:rsid w:val="004B6706"/>
    <w:rsid w:val="004B6821"/>
    <w:rsid w:val="004B712E"/>
    <w:rsid w:val="004B7166"/>
    <w:rsid w:val="004C0801"/>
    <w:rsid w:val="004C158B"/>
    <w:rsid w:val="004C1718"/>
    <w:rsid w:val="004C1CC3"/>
    <w:rsid w:val="004C1DB1"/>
    <w:rsid w:val="004C2294"/>
    <w:rsid w:val="004C23AD"/>
    <w:rsid w:val="004C2598"/>
    <w:rsid w:val="004C26F7"/>
    <w:rsid w:val="004C2C6E"/>
    <w:rsid w:val="004C2F86"/>
    <w:rsid w:val="004C332E"/>
    <w:rsid w:val="004C33AE"/>
    <w:rsid w:val="004C377C"/>
    <w:rsid w:val="004C3BC8"/>
    <w:rsid w:val="004C3C4C"/>
    <w:rsid w:val="004C3D11"/>
    <w:rsid w:val="004C4664"/>
    <w:rsid w:val="004C46C5"/>
    <w:rsid w:val="004C4CBB"/>
    <w:rsid w:val="004C574E"/>
    <w:rsid w:val="004C5AB6"/>
    <w:rsid w:val="004C61D4"/>
    <w:rsid w:val="004C69CC"/>
    <w:rsid w:val="004C6F9D"/>
    <w:rsid w:val="004C7402"/>
    <w:rsid w:val="004C7706"/>
    <w:rsid w:val="004C7951"/>
    <w:rsid w:val="004D0F54"/>
    <w:rsid w:val="004D1299"/>
    <w:rsid w:val="004D1C79"/>
    <w:rsid w:val="004D21E9"/>
    <w:rsid w:val="004D2469"/>
    <w:rsid w:val="004D2587"/>
    <w:rsid w:val="004D2635"/>
    <w:rsid w:val="004D2853"/>
    <w:rsid w:val="004D293E"/>
    <w:rsid w:val="004D2B66"/>
    <w:rsid w:val="004D2C29"/>
    <w:rsid w:val="004D2D5A"/>
    <w:rsid w:val="004D33F3"/>
    <w:rsid w:val="004D42BE"/>
    <w:rsid w:val="004D48E7"/>
    <w:rsid w:val="004D4F95"/>
    <w:rsid w:val="004D5B70"/>
    <w:rsid w:val="004D73B9"/>
    <w:rsid w:val="004D78ED"/>
    <w:rsid w:val="004E002D"/>
    <w:rsid w:val="004E0189"/>
    <w:rsid w:val="004E2117"/>
    <w:rsid w:val="004E21EE"/>
    <w:rsid w:val="004E2AB2"/>
    <w:rsid w:val="004E2DA2"/>
    <w:rsid w:val="004E340D"/>
    <w:rsid w:val="004E3D1F"/>
    <w:rsid w:val="004E3D2B"/>
    <w:rsid w:val="004E42BD"/>
    <w:rsid w:val="004E42F0"/>
    <w:rsid w:val="004E4D14"/>
    <w:rsid w:val="004E5C33"/>
    <w:rsid w:val="004E6124"/>
    <w:rsid w:val="004E7019"/>
    <w:rsid w:val="004E71A2"/>
    <w:rsid w:val="004E7ED5"/>
    <w:rsid w:val="004E7FB1"/>
    <w:rsid w:val="004F061F"/>
    <w:rsid w:val="004F0B59"/>
    <w:rsid w:val="004F0EB7"/>
    <w:rsid w:val="004F1465"/>
    <w:rsid w:val="004F1B44"/>
    <w:rsid w:val="004F1B9A"/>
    <w:rsid w:val="004F1C69"/>
    <w:rsid w:val="004F1EF3"/>
    <w:rsid w:val="004F2C33"/>
    <w:rsid w:val="004F36AB"/>
    <w:rsid w:val="004F4543"/>
    <w:rsid w:val="004F4645"/>
    <w:rsid w:val="004F4FB5"/>
    <w:rsid w:val="004F5560"/>
    <w:rsid w:val="004F5DC7"/>
    <w:rsid w:val="004F5E9F"/>
    <w:rsid w:val="004F60F1"/>
    <w:rsid w:val="004F6978"/>
    <w:rsid w:val="004F75D7"/>
    <w:rsid w:val="004F7E46"/>
    <w:rsid w:val="00500262"/>
    <w:rsid w:val="005003A9"/>
    <w:rsid w:val="005006A9"/>
    <w:rsid w:val="00500800"/>
    <w:rsid w:val="00500A89"/>
    <w:rsid w:val="00500DD0"/>
    <w:rsid w:val="00500F35"/>
    <w:rsid w:val="00501001"/>
    <w:rsid w:val="0050108C"/>
    <w:rsid w:val="00501586"/>
    <w:rsid w:val="00501B03"/>
    <w:rsid w:val="005028CA"/>
    <w:rsid w:val="00502A08"/>
    <w:rsid w:val="00504287"/>
    <w:rsid w:val="00504D7C"/>
    <w:rsid w:val="00504ECE"/>
    <w:rsid w:val="00505274"/>
    <w:rsid w:val="0050540E"/>
    <w:rsid w:val="005058A4"/>
    <w:rsid w:val="00506171"/>
    <w:rsid w:val="005061CA"/>
    <w:rsid w:val="005068DC"/>
    <w:rsid w:val="00506F8A"/>
    <w:rsid w:val="005104C3"/>
    <w:rsid w:val="00510A56"/>
    <w:rsid w:val="00510B90"/>
    <w:rsid w:val="00510FB0"/>
    <w:rsid w:val="00512752"/>
    <w:rsid w:val="00512DD4"/>
    <w:rsid w:val="005132DE"/>
    <w:rsid w:val="00513658"/>
    <w:rsid w:val="0051441F"/>
    <w:rsid w:val="00514693"/>
    <w:rsid w:val="005146A7"/>
    <w:rsid w:val="005148E6"/>
    <w:rsid w:val="00514904"/>
    <w:rsid w:val="00514E61"/>
    <w:rsid w:val="0051557F"/>
    <w:rsid w:val="00515D49"/>
    <w:rsid w:val="005160AC"/>
    <w:rsid w:val="00516187"/>
    <w:rsid w:val="00516EA6"/>
    <w:rsid w:val="0052053D"/>
    <w:rsid w:val="00520AEA"/>
    <w:rsid w:val="0052158E"/>
    <w:rsid w:val="005226AC"/>
    <w:rsid w:val="00522D9E"/>
    <w:rsid w:val="0052310D"/>
    <w:rsid w:val="00523ACE"/>
    <w:rsid w:val="00523AF4"/>
    <w:rsid w:val="005244DB"/>
    <w:rsid w:val="0052497A"/>
    <w:rsid w:val="00524C13"/>
    <w:rsid w:val="00524D1D"/>
    <w:rsid w:val="005250F0"/>
    <w:rsid w:val="00525A0D"/>
    <w:rsid w:val="00525CA1"/>
    <w:rsid w:val="005264BD"/>
    <w:rsid w:val="0052667B"/>
    <w:rsid w:val="0052681E"/>
    <w:rsid w:val="0052788A"/>
    <w:rsid w:val="005300CF"/>
    <w:rsid w:val="00530495"/>
    <w:rsid w:val="00530636"/>
    <w:rsid w:val="0053071A"/>
    <w:rsid w:val="00532396"/>
    <w:rsid w:val="0053386A"/>
    <w:rsid w:val="00533EEE"/>
    <w:rsid w:val="00534A1D"/>
    <w:rsid w:val="005351D2"/>
    <w:rsid w:val="00535BB3"/>
    <w:rsid w:val="00535CCF"/>
    <w:rsid w:val="005363E1"/>
    <w:rsid w:val="00536843"/>
    <w:rsid w:val="00536EBA"/>
    <w:rsid w:val="0053703F"/>
    <w:rsid w:val="00537863"/>
    <w:rsid w:val="005400E8"/>
    <w:rsid w:val="005402C1"/>
    <w:rsid w:val="0054031C"/>
    <w:rsid w:val="00541089"/>
    <w:rsid w:val="00541343"/>
    <w:rsid w:val="00541E23"/>
    <w:rsid w:val="0054233F"/>
    <w:rsid w:val="00542508"/>
    <w:rsid w:val="00542694"/>
    <w:rsid w:val="00542DBE"/>
    <w:rsid w:val="0054389A"/>
    <w:rsid w:val="005439E0"/>
    <w:rsid w:val="00544567"/>
    <w:rsid w:val="00544C6C"/>
    <w:rsid w:val="005460BC"/>
    <w:rsid w:val="00546761"/>
    <w:rsid w:val="00546987"/>
    <w:rsid w:val="00546BAC"/>
    <w:rsid w:val="005505AB"/>
    <w:rsid w:val="00551003"/>
    <w:rsid w:val="00551218"/>
    <w:rsid w:val="0055132D"/>
    <w:rsid w:val="00551887"/>
    <w:rsid w:val="00552358"/>
    <w:rsid w:val="00552A15"/>
    <w:rsid w:val="005538FA"/>
    <w:rsid w:val="00553A0E"/>
    <w:rsid w:val="005545E6"/>
    <w:rsid w:val="0055468B"/>
    <w:rsid w:val="005546AD"/>
    <w:rsid w:val="00555097"/>
    <w:rsid w:val="005559B4"/>
    <w:rsid w:val="00555CD2"/>
    <w:rsid w:val="00555CFE"/>
    <w:rsid w:val="00555E1D"/>
    <w:rsid w:val="005560D3"/>
    <w:rsid w:val="0055687B"/>
    <w:rsid w:val="00556D65"/>
    <w:rsid w:val="0055727A"/>
    <w:rsid w:val="00557287"/>
    <w:rsid w:val="005573C5"/>
    <w:rsid w:val="00557986"/>
    <w:rsid w:val="00557C36"/>
    <w:rsid w:val="0056027A"/>
    <w:rsid w:val="005603B4"/>
    <w:rsid w:val="00560AF7"/>
    <w:rsid w:val="00560CAD"/>
    <w:rsid w:val="00560D4F"/>
    <w:rsid w:val="00561FAD"/>
    <w:rsid w:val="00565142"/>
    <w:rsid w:val="00565221"/>
    <w:rsid w:val="00565DE0"/>
    <w:rsid w:val="00566C63"/>
    <w:rsid w:val="00566D94"/>
    <w:rsid w:val="00567947"/>
    <w:rsid w:val="005700F3"/>
    <w:rsid w:val="005708E4"/>
    <w:rsid w:val="0057175C"/>
    <w:rsid w:val="00571C66"/>
    <w:rsid w:val="0057202E"/>
    <w:rsid w:val="005720BE"/>
    <w:rsid w:val="00572814"/>
    <w:rsid w:val="00572CD0"/>
    <w:rsid w:val="00572EE1"/>
    <w:rsid w:val="00573AB9"/>
    <w:rsid w:val="00573CEF"/>
    <w:rsid w:val="00574233"/>
    <w:rsid w:val="00574838"/>
    <w:rsid w:val="00574A6F"/>
    <w:rsid w:val="00575729"/>
    <w:rsid w:val="00575A77"/>
    <w:rsid w:val="00576555"/>
    <w:rsid w:val="005769B4"/>
    <w:rsid w:val="00576BA4"/>
    <w:rsid w:val="0057752D"/>
    <w:rsid w:val="0058057B"/>
    <w:rsid w:val="00580977"/>
    <w:rsid w:val="00580C7B"/>
    <w:rsid w:val="005812C6"/>
    <w:rsid w:val="0058172B"/>
    <w:rsid w:val="00583274"/>
    <w:rsid w:val="00583394"/>
    <w:rsid w:val="00584286"/>
    <w:rsid w:val="00584BBF"/>
    <w:rsid w:val="00584E9E"/>
    <w:rsid w:val="00585575"/>
    <w:rsid w:val="0058603F"/>
    <w:rsid w:val="0058613A"/>
    <w:rsid w:val="005868C8"/>
    <w:rsid w:val="00586948"/>
    <w:rsid w:val="00586A20"/>
    <w:rsid w:val="00586DD4"/>
    <w:rsid w:val="00586F66"/>
    <w:rsid w:val="00587A34"/>
    <w:rsid w:val="00587E4B"/>
    <w:rsid w:val="00590372"/>
    <w:rsid w:val="0059089C"/>
    <w:rsid w:val="00590AF3"/>
    <w:rsid w:val="00590DF1"/>
    <w:rsid w:val="005914BA"/>
    <w:rsid w:val="00591A50"/>
    <w:rsid w:val="00591A57"/>
    <w:rsid w:val="00591CA2"/>
    <w:rsid w:val="005920E0"/>
    <w:rsid w:val="00593264"/>
    <w:rsid w:val="00593A60"/>
    <w:rsid w:val="00593D72"/>
    <w:rsid w:val="00593EB3"/>
    <w:rsid w:val="00594142"/>
    <w:rsid w:val="00594D1B"/>
    <w:rsid w:val="00594D9A"/>
    <w:rsid w:val="00595F0B"/>
    <w:rsid w:val="00596BE4"/>
    <w:rsid w:val="005A0470"/>
    <w:rsid w:val="005A0CB9"/>
    <w:rsid w:val="005A16FA"/>
    <w:rsid w:val="005A1939"/>
    <w:rsid w:val="005A1D57"/>
    <w:rsid w:val="005A242C"/>
    <w:rsid w:val="005A2843"/>
    <w:rsid w:val="005A2D6C"/>
    <w:rsid w:val="005A363C"/>
    <w:rsid w:val="005A3A67"/>
    <w:rsid w:val="005A51DC"/>
    <w:rsid w:val="005A56DA"/>
    <w:rsid w:val="005A5978"/>
    <w:rsid w:val="005A5BA7"/>
    <w:rsid w:val="005A64E0"/>
    <w:rsid w:val="005A76D5"/>
    <w:rsid w:val="005B00B9"/>
    <w:rsid w:val="005B044C"/>
    <w:rsid w:val="005B0AB5"/>
    <w:rsid w:val="005B11B7"/>
    <w:rsid w:val="005B26E0"/>
    <w:rsid w:val="005B2733"/>
    <w:rsid w:val="005B2DCB"/>
    <w:rsid w:val="005B2EC8"/>
    <w:rsid w:val="005B30E1"/>
    <w:rsid w:val="005B314A"/>
    <w:rsid w:val="005B4D12"/>
    <w:rsid w:val="005B51A9"/>
    <w:rsid w:val="005B543A"/>
    <w:rsid w:val="005B5451"/>
    <w:rsid w:val="005B5D17"/>
    <w:rsid w:val="005B5E2C"/>
    <w:rsid w:val="005B5F8C"/>
    <w:rsid w:val="005B6FD0"/>
    <w:rsid w:val="005B7186"/>
    <w:rsid w:val="005B7190"/>
    <w:rsid w:val="005B77D8"/>
    <w:rsid w:val="005B78DA"/>
    <w:rsid w:val="005B7BA3"/>
    <w:rsid w:val="005C0776"/>
    <w:rsid w:val="005C0DA5"/>
    <w:rsid w:val="005C1243"/>
    <w:rsid w:val="005C14E3"/>
    <w:rsid w:val="005C171B"/>
    <w:rsid w:val="005C184E"/>
    <w:rsid w:val="005C1863"/>
    <w:rsid w:val="005C1DD2"/>
    <w:rsid w:val="005C22AB"/>
    <w:rsid w:val="005C25D7"/>
    <w:rsid w:val="005C2F47"/>
    <w:rsid w:val="005C3018"/>
    <w:rsid w:val="005C3508"/>
    <w:rsid w:val="005C391D"/>
    <w:rsid w:val="005C419D"/>
    <w:rsid w:val="005C44C0"/>
    <w:rsid w:val="005C44D6"/>
    <w:rsid w:val="005C462F"/>
    <w:rsid w:val="005C5BFB"/>
    <w:rsid w:val="005C6569"/>
    <w:rsid w:val="005C6977"/>
    <w:rsid w:val="005C69D8"/>
    <w:rsid w:val="005C6D69"/>
    <w:rsid w:val="005C7298"/>
    <w:rsid w:val="005C7A2E"/>
    <w:rsid w:val="005D08FE"/>
    <w:rsid w:val="005D227F"/>
    <w:rsid w:val="005D24D5"/>
    <w:rsid w:val="005D3E08"/>
    <w:rsid w:val="005D4447"/>
    <w:rsid w:val="005D46FA"/>
    <w:rsid w:val="005D4768"/>
    <w:rsid w:val="005D4A4D"/>
    <w:rsid w:val="005D4F74"/>
    <w:rsid w:val="005D614E"/>
    <w:rsid w:val="005D6A59"/>
    <w:rsid w:val="005D6FC6"/>
    <w:rsid w:val="005D7587"/>
    <w:rsid w:val="005D76A7"/>
    <w:rsid w:val="005D7840"/>
    <w:rsid w:val="005E03E9"/>
    <w:rsid w:val="005E0DB6"/>
    <w:rsid w:val="005E190E"/>
    <w:rsid w:val="005E1DFD"/>
    <w:rsid w:val="005E2016"/>
    <w:rsid w:val="005E201E"/>
    <w:rsid w:val="005E22C9"/>
    <w:rsid w:val="005E2324"/>
    <w:rsid w:val="005E259D"/>
    <w:rsid w:val="005E3BEE"/>
    <w:rsid w:val="005E3D48"/>
    <w:rsid w:val="005E4198"/>
    <w:rsid w:val="005E4226"/>
    <w:rsid w:val="005E4916"/>
    <w:rsid w:val="005E51B0"/>
    <w:rsid w:val="005E5719"/>
    <w:rsid w:val="005E5CDD"/>
    <w:rsid w:val="005E5D6C"/>
    <w:rsid w:val="005E693C"/>
    <w:rsid w:val="005E6EDD"/>
    <w:rsid w:val="005E7B17"/>
    <w:rsid w:val="005F02A2"/>
    <w:rsid w:val="005F13ED"/>
    <w:rsid w:val="005F1705"/>
    <w:rsid w:val="005F261E"/>
    <w:rsid w:val="005F2ACA"/>
    <w:rsid w:val="005F2FC8"/>
    <w:rsid w:val="005F32CC"/>
    <w:rsid w:val="005F33E8"/>
    <w:rsid w:val="005F3D86"/>
    <w:rsid w:val="005F3DB9"/>
    <w:rsid w:val="005F4716"/>
    <w:rsid w:val="005F4B86"/>
    <w:rsid w:val="005F4F05"/>
    <w:rsid w:val="005F535F"/>
    <w:rsid w:val="005F5E75"/>
    <w:rsid w:val="005F681B"/>
    <w:rsid w:val="005F69AB"/>
    <w:rsid w:val="005F69CF"/>
    <w:rsid w:val="005F6F49"/>
    <w:rsid w:val="005F7230"/>
    <w:rsid w:val="005F7ABE"/>
    <w:rsid w:val="005F7D03"/>
    <w:rsid w:val="006003B9"/>
    <w:rsid w:val="006004B5"/>
    <w:rsid w:val="00600FB4"/>
    <w:rsid w:val="006011E9"/>
    <w:rsid w:val="00601C19"/>
    <w:rsid w:val="006020BE"/>
    <w:rsid w:val="006021B0"/>
    <w:rsid w:val="0060298B"/>
    <w:rsid w:val="006034FF"/>
    <w:rsid w:val="00603702"/>
    <w:rsid w:val="00603B87"/>
    <w:rsid w:val="006045D2"/>
    <w:rsid w:val="006046E9"/>
    <w:rsid w:val="00604B60"/>
    <w:rsid w:val="00605EE4"/>
    <w:rsid w:val="006061ED"/>
    <w:rsid w:val="00606326"/>
    <w:rsid w:val="00606ECE"/>
    <w:rsid w:val="006071F2"/>
    <w:rsid w:val="00607568"/>
    <w:rsid w:val="006076B0"/>
    <w:rsid w:val="00607CF8"/>
    <w:rsid w:val="006111AF"/>
    <w:rsid w:val="00611A41"/>
    <w:rsid w:val="00611B43"/>
    <w:rsid w:val="00613B9F"/>
    <w:rsid w:val="00614928"/>
    <w:rsid w:val="00614E85"/>
    <w:rsid w:val="00615439"/>
    <w:rsid w:val="0061575E"/>
    <w:rsid w:val="006159CF"/>
    <w:rsid w:val="00615DDB"/>
    <w:rsid w:val="0061729A"/>
    <w:rsid w:val="0062076E"/>
    <w:rsid w:val="00620AD3"/>
    <w:rsid w:val="00621223"/>
    <w:rsid w:val="00621362"/>
    <w:rsid w:val="0062146C"/>
    <w:rsid w:val="00621B5D"/>
    <w:rsid w:val="00621FBF"/>
    <w:rsid w:val="00622188"/>
    <w:rsid w:val="00623062"/>
    <w:rsid w:val="006236C5"/>
    <w:rsid w:val="00624795"/>
    <w:rsid w:val="00624A94"/>
    <w:rsid w:val="006253E4"/>
    <w:rsid w:val="00626A42"/>
    <w:rsid w:val="00627527"/>
    <w:rsid w:val="0062764E"/>
    <w:rsid w:val="0062776A"/>
    <w:rsid w:val="00630368"/>
    <w:rsid w:val="006303C9"/>
    <w:rsid w:val="006309D3"/>
    <w:rsid w:val="00631290"/>
    <w:rsid w:val="006328D2"/>
    <w:rsid w:val="00632AB0"/>
    <w:rsid w:val="0063371B"/>
    <w:rsid w:val="00633812"/>
    <w:rsid w:val="00633951"/>
    <w:rsid w:val="00633A49"/>
    <w:rsid w:val="00635A63"/>
    <w:rsid w:val="006373B2"/>
    <w:rsid w:val="006374B0"/>
    <w:rsid w:val="0064030C"/>
    <w:rsid w:val="00640FE1"/>
    <w:rsid w:val="00641279"/>
    <w:rsid w:val="006418C9"/>
    <w:rsid w:val="00641A1D"/>
    <w:rsid w:val="00642045"/>
    <w:rsid w:val="006420AB"/>
    <w:rsid w:val="0064218C"/>
    <w:rsid w:val="00642313"/>
    <w:rsid w:val="006429FD"/>
    <w:rsid w:val="00642BE0"/>
    <w:rsid w:val="00642BED"/>
    <w:rsid w:val="00642C25"/>
    <w:rsid w:val="00642EAA"/>
    <w:rsid w:val="00643322"/>
    <w:rsid w:val="006441F7"/>
    <w:rsid w:val="006442F3"/>
    <w:rsid w:val="0064449D"/>
    <w:rsid w:val="006447A3"/>
    <w:rsid w:val="00644B6E"/>
    <w:rsid w:val="00645790"/>
    <w:rsid w:val="0064649E"/>
    <w:rsid w:val="006464B1"/>
    <w:rsid w:val="00646F15"/>
    <w:rsid w:val="006473C2"/>
    <w:rsid w:val="00650585"/>
    <w:rsid w:val="00650819"/>
    <w:rsid w:val="00650CC3"/>
    <w:rsid w:val="00651D06"/>
    <w:rsid w:val="00652AAC"/>
    <w:rsid w:val="00652CB7"/>
    <w:rsid w:val="00652EE8"/>
    <w:rsid w:val="00653AB5"/>
    <w:rsid w:val="00653B5D"/>
    <w:rsid w:val="00653E89"/>
    <w:rsid w:val="00653FC0"/>
    <w:rsid w:val="006562C4"/>
    <w:rsid w:val="00656AAC"/>
    <w:rsid w:val="00656D17"/>
    <w:rsid w:val="00657016"/>
    <w:rsid w:val="006572AB"/>
    <w:rsid w:val="0065789D"/>
    <w:rsid w:val="00660607"/>
    <w:rsid w:val="00660C79"/>
    <w:rsid w:val="00660D58"/>
    <w:rsid w:val="0066165E"/>
    <w:rsid w:val="00662D45"/>
    <w:rsid w:val="00664852"/>
    <w:rsid w:val="006648C7"/>
    <w:rsid w:val="00664920"/>
    <w:rsid w:val="00665D0A"/>
    <w:rsid w:val="00665D11"/>
    <w:rsid w:val="00665E27"/>
    <w:rsid w:val="00666791"/>
    <w:rsid w:val="0066703E"/>
    <w:rsid w:val="0066715F"/>
    <w:rsid w:val="006671F6"/>
    <w:rsid w:val="006674EB"/>
    <w:rsid w:val="006678D4"/>
    <w:rsid w:val="00670163"/>
    <w:rsid w:val="006705A9"/>
    <w:rsid w:val="00671A51"/>
    <w:rsid w:val="006723DC"/>
    <w:rsid w:val="006724B5"/>
    <w:rsid w:val="00672A07"/>
    <w:rsid w:val="00672B1A"/>
    <w:rsid w:val="00673556"/>
    <w:rsid w:val="00673C07"/>
    <w:rsid w:val="00673DCA"/>
    <w:rsid w:val="0067451D"/>
    <w:rsid w:val="00674E05"/>
    <w:rsid w:val="006751A8"/>
    <w:rsid w:val="00675544"/>
    <w:rsid w:val="00675E2B"/>
    <w:rsid w:val="00676213"/>
    <w:rsid w:val="006768E3"/>
    <w:rsid w:val="00676939"/>
    <w:rsid w:val="00676B3E"/>
    <w:rsid w:val="00676CD4"/>
    <w:rsid w:val="00677301"/>
    <w:rsid w:val="0067742B"/>
    <w:rsid w:val="006777FB"/>
    <w:rsid w:val="006804BD"/>
    <w:rsid w:val="00680B16"/>
    <w:rsid w:val="00680FA6"/>
    <w:rsid w:val="006820D2"/>
    <w:rsid w:val="006825A7"/>
    <w:rsid w:val="00682C46"/>
    <w:rsid w:val="0068345E"/>
    <w:rsid w:val="0068395E"/>
    <w:rsid w:val="00684BDE"/>
    <w:rsid w:val="006854A3"/>
    <w:rsid w:val="00686473"/>
    <w:rsid w:val="00686BAA"/>
    <w:rsid w:val="00687262"/>
    <w:rsid w:val="00690053"/>
    <w:rsid w:val="00690782"/>
    <w:rsid w:val="00690D22"/>
    <w:rsid w:val="00690EA1"/>
    <w:rsid w:val="00691732"/>
    <w:rsid w:val="006918E3"/>
    <w:rsid w:val="00691B3E"/>
    <w:rsid w:val="00691C64"/>
    <w:rsid w:val="00692CD0"/>
    <w:rsid w:val="006936FE"/>
    <w:rsid w:val="0069404C"/>
    <w:rsid w:val="006943DF"/>
    <w:rsid w:val="00694658"/>
    <w:rsid w:val="00694740"/>
    <w:rsid w:val="0069529F"/>
    <w:rsid w:val="006955FE"/>
    <w:rsid w:val="006964A6"/>
    <w:rsid w:val="006975C0"/>
    <w:rsid w:val="006976BC"/>
    <w:rsid w:val="00697D63"/>
    <w:rsid w:val="00697F5E"/>
    <w:rsid w:val="006A0388"/>
    <w:rsid w:val="006A0988"/>
    <w:rsid w:val="006A0D1D"/>
    <w:rsid w:val="006A0F5F"/>
    <w:rsid w:val="006A2069"/>
    <w:rsid w:val="006A23A5"/>
    <w:rsid w:val="006A27A6"/>
    <w:rsid w:val="006A3BF8"/>
    <w:rsid w:val="006A499E"/>
    <w:rsid w:val="006A4BC4"/>
    <w:rsid w:val="006A5227"/>
    <w:rsid w:val="006A5D55"/>
    <w:rsid w:val="006A6F33"/>
    <w:rsid w:val="006A7B22"/>
    <w:rsid w:val="006A7FF4"/>
    <w:rsid w:val="006B0E02"/>
    <w:rsid w:val="006B10A3"/>
    <w:rsid w:val="006B1A1A"/>
    <w:rsid w:val="006B2641"/>
    <w:rsid w:val="006B3A71"/>
    <w:rsid w:val="006B3B6B"/>
    <w:rsid w:val="006B542F"/>
    <w:rsid w:val="006B5513"/>
    <w:rsid w:val="006B56C2"/>
    <w:rsid w:val="006B5ED2"/>
    <w:rsid w:val="006B67A1"/>
    <w:rsid w:val="006B7337"/>
    <w:rsid w:val="006B75B0"/>
    <w:rsid w:val="006B7DC5"/>
    <w:rsid w:val="006C0EC7"/>
    <w:rsid w:val="006C14A5"/>
    <w:rsid w:val="006C1A9E"/>
    <w:rsid w:val="006C1C75"/>
    <w:rsid w:val="006C23D9"/>
    <w:rsid w:val="006C2FA7"/>
    <w:rsid w:val="006C304A"/>
    <w:rsid w:val="006C3459"/>
    <w:rsid w:val="006C3D95"/>
    <w:rsid w:val="006C44D3"/>
    <w:rsid w:val="006C459E"/>
    <w:rsid w:val="006C4815"/>
    <w:rsid w:val="006C4C53"/>
    <w:rsid w:val="006C5F38"/>
    <w:rsid w:val="006C61AA"/>
    <w:rsid w:val="006C6221"/>
    <w:rsid w:val="006C62D3"/>
    <w:rsid w:val="006C6557"/>
    <w:rsid w:val="006C6813"/>
    <w:rsid w:val="006C6ABF"/>
    <w:rsid w:val="006C6C9C"/>
    <w:rsid w:val="006C7336"/>
    <w:rsid w:val="006C79E6"/>
    <w:rsid w:val="006D003E"/>
    <w:rsid w:val="006D0F7F"/>
    <w:rsid w:val="006D1088"/>
    <w:rsid w:val="006D1277"/>
    <w:rsid w:val="006D132A"/>
    <w:rsid w:val="006D1DD6"/>
    <w:rsid w:val="006D2837"/>
    <w:rsid w:val="006D2A89"/>
    <w:rsid w:val="006D3500"/>
    <w:rsid w:val="006D42B8"/>
    <w:rsid w:val="006D42DA"/>
    <w:rsid w:val="006D5565"/>
    <w:rsid w:val="006D571E"/>
    <w:rsid w:val="006D68C0"/>
    <w:rsid w:val="006D6E18"/>
    <w:rsid w:val="006D6F0B"/>
    <w:rsid w:val="006D7421"/>
    <w:rsid w:val="006D770D"/>
    <w:rsid w:val="006E0D3B"/>
    <w:rsid w:val="006E1397"/>
    <w:rsid w:val="006E14FF"/>
    <w:rsid w:val="006E1855"/>
    <w:rsid w:val="006E285F"/>
    <w:rsid w:val="006E2972"/>
    <w:rsid w:val="006E2EF9"/>
    <w:rsid w:val="006E2F0D"/>
    <w:rsid w:val="006E2F1D"/>
    <w:rsid w:val="006E30D3"/>
    <w:rsid w:val="006E3868"/>
    <w:rsid w:val="006E3B13"/>
    <w:rsid w:val="006E3C44"/>
    <w:rsid w:val="006E4130"/>
    <w:rsid w:val="006E421A"/>
    <w:rsid w:val="006E4EC4"/>
    <w:rsid w:val="006E4F37"/>
    <w:rsid w:val="006E5C6B"/>
    <w:rsid w:val="006E5FD6"/>
    <w:rsid w:val="006E6686"/>
    <w:rsid w:val="006E704E"/>
    <w:rsid w:val="006E723E"/>
    <w:rsid w:val="006E76F9"/>
    <w:rsid w:val="006E7A5E"/>
    <w:rsid w:val="006E7D46"/>
    <w:rsid w:val="006E7DA3"/>
    <w:rsid w:val="006F01CF"/>
    <w:rsid w:val="006F01F5"/>
    <w:rsid w:val="006F0C38"/>
    <w:rsid w:val="006F0E03"/>
    <w:rsid w:val="006F2133"/>
    <w:rsid w:val="006F2969"/>
    <w:rsid w:val="006F3201"/>
    <w:rsid w:val="006F3D05"/>
    <w:rsid w:val="006F405C"/>
    <w:rsid w:val="006F41E3"/>
    <w:rsid w:val="006F5171"/>
    <w:rsid w:val="006F5B02"/>
    <w:rsid w:val="006F6626"/>
    <w:rsid w:val="006F6AED"/>
    <w:rsid w:val="006F6EE0"/>
    <w:rsid w:val="006F6EFB"/>
    <w:rsid w:val="006F76C0"/>
    <w:rsid w:val="006F78EF"/>
    <w:rsid w:val="007010E6"/>
    <w:rsid w:val="00702727"/>
    <w:rsid w:val="00702AB0"/>
    <w:rsid w:val="007035D2"/>
    <w:rsid w:val="00703ACD"/>
    <w:rsid w:val="00703BE5"/>
    <w:rsid w:val="00703EE8"/>
    <w:rsid w:val="007044D4"/>
    <w:rsid w:val="00704620"/>
    <w:rsid w:val="007048B9"/>
    <w:rsid w:val="007060B5"/>
    <w:rsid w:val="00706DF3"/>
    <w:rsid w:val="0070789A"/>
    <w:rsid w:val="00707AAA"/>
    <w:rsid w:val="00707B59"/>
    <w:rsid w:val="00707CF0"/>
    <w:rsid w:val="00710F7A"/>
    <w:rsid w:val="00711328"/>
    <w:rsid w:val="0071140A"/>
    <w:rsid w:val="00712D4D"/>
    <w:rsid w:val="00713285"/>
    <w:rsid w:val="007135A6"/>
    <w:rsid w:val="0071455E"/>
    <w:rsid w:val="00714573"/>
    <w:rsid w:val="00714856"/>
    <w:rsid w:val="0071632D"/>
    <w:rsid w:val="007165CC"/>
    <w:rsid w:val="0071662F"/>
    <w:rsid w:val="007169BB"/>
    <w:rsid w:val="00716F1F"/>
    <w:rsid w:val="007174E7"/>
    <w:rsid w:val="00717DCF"/>
    <w:rsid w:val="00717FD7"/>
    <w:rsid w:val="00720194"/>
    <w:rsid w:val="007206BD"/>
    <w:rsid w:val="00721F40"/>
    <w:rsid w:val="00722ADB"/>
    <w:rsid w:val="00722FE9"/>
    <w:rsid w:val="0072340B"/>
    <w:rsid w:val="00723473"/>
    <w:rsid w:val="00723D46"/>
    <w:rsid w:val="00723E7C"/>
    <w:rsid w:val="007241D3"/>
    <w:rsid w:val="00725E78"/>
    <w:rsid w:val="00726752"/>
    <w:rsid w:val="00726B2B"/>
    <w:rsid w:val="00726D0E"/>
    <w:rsid w:val="007273BA"/>
    <w:rsid w:val="00727506"/>
    <w:rsid w:val="0072792F"/>
    <w:rsid w:val="00730219"/>
    <w:rsid w:val="00730641"/>
    <w:rsid w:val="007308B2"/>
    <w:rsid w:val="00730DF6"/>
    <w:rsid w:val="00731976"/>
    <w:rsid w:val="00731E14"/>
    <w:rsid w:val="00732CE8"/>
    <w:rsid w:val="00732D4C"/>
    <w:rsid w:val="007333BB"/>
    <w:rsid w:val="007339F6"/>
    <w:rsid w:val="00734AED"/>
    <w:rsid w:val="00735E27"/>
    <w:rsid w:val="007364B3"/>
    <w:rsid w:val="007366CD"/>
    <w:rsid w:val="00737C15"/>
    <w:rsid w:val="00740256"/>
    <w:rsid w:val="00740AF9"/>
    <w:rsid w:val="00741018"/>
    <w:rsid w:val="007410C6"/>
    <w:rsid w:val="007413F1"/>
    <w:rsid w:val="007416DB"/>
    <w:rsid w:val="007418AE"/>
    <w:rsid w:val="007418F0"/>
    <w:rsid w:val="00741D6F"/>
    <w:rsid w:val="0074229B"/>
    <w:rsid w:val="00742A03"/>
    <w:rsid w:val="007435FE"/>
    <w:rsid w:val="007437A9"/>
    <w:rsid w:val="007437B4"/>
    <w:rsid w:val="00743BEF"/>
    <w:rsid w:val="0074464A"/>
    <w:rsid w:val="00744EEE"/>
    <w:rsid w:val="00744F12"/>
    <w:rsid w:val="007453FE"/>
    <w:rsid w:val="00745C7D"/>
    <w:rsid w:val="00745FA6"/>
    <w:rsid w:val="00745FEF"/>
    <w:rsid w:val="00746DFF"/>
    <w:rsid w:val="00747811"/>
    <w:rsid w:val="00747E32"/>
    <w:rsid w:val="00750A03"/>
    <w:rsid w:val="00751A51"/>
    <w:rsid w:val="00751DDB"/>
    <w:rsid w:val="0075213E"/>
    <w:rsid w:val="00752A2A"/>
    <w:rsid w:val="00752FBC"/>
    <w:rsid w:val="00753217"/>
    <w:rsid w:val="00753474"/>
    <w:rsid w:val="00754560"/>
    <w:rsid w:val="00754744"/>
    <w:rsid w:val="00754C4F"/>
    <w:rsid w:val="007551A5"/>
    <w:rsid w:val="007551E9"/>
    <w:rsid w:val="00755353"/>
    <w:rsid w:val="00755815"/>
    <w:rsid w:val="007569D4"/>
    <w:rsid w:val="00756E7F"/>
    <w:rsid w:val="00756F85"/>
    <w:rsid w:val="007579E4"/>
    <w:rsid w:val="00757B40"/>
    <w:rsid w:val="00757DC3"/>
    <w:rsid w:val="00760649"/>
    <w:rsid w:val="00760B8C"/>
    <w:rsid w:val="00761F65"/>
    <w:rsid w:val="00761F87"/>
    <w:rsid w:val="00762139"/>
    <w:rsid w:val="00762235"/>
    <w:rsid w:val="00762C94"/>
    <w:rsid w:val="00762FC7"/>
    <w:rsid w:val="007631D0"/>
    <w:rsid w:val="00763468"/>
    <w:rsid w:val="00763CD3"/>
    <w:rsid w:val="00764388"/>
    <w:rsid w:val="00764F58"/>
    <w:rsid w:val="00765361"/>
    <w:rsid w:val="007657B3"/>
    <w:rsid w:val="00766843"/>
    <w:rsid w:val="00770754"/>
    <w:rsid w:val="0077222F"/>
    <w:rsid w:val="00772431"/>
    <w:rsid w:val="00772A63"/>
    <w:rsid w:val="007733ED"/>
    <w:rsid w:val="00773990"/>
    <w:rsid w:val="00773A24"/>
    <w:rsid w:val="007740E1"/>
    <w:rsid w:val="00774622"/>
    <w:rsid w:val="00774652"/>
    <w:rsid w:val="007747F8"/>
    <w:rsid w:val="00774D56"/>
    <w:rsid w:val="007750EC"/>
    <w:rsid w:val="00775AD9"/>
    <w:rsid w:val="00775C75"/>
    <w:rsid w:val="00776555"/>
    <w:rsid w:val="0077707C"/>
    <w:rsid w:val="007779AE"/>
    <w:rsid w:val="00777BC6"/>
    <w:rsid w:val="00780065"/>
    <w:rsid w:val="0078019C"/>
    <w:rsid w:val="007804ED"/>
    <w:rsid w:val="00780613"/>
    <w:rsid w:val="007809BF"/>
    <w:rsid w:val="00780D24"/>
    <w:rsid w:val="00780D2C"/>
    <w:rsid w:val="00782232"/>
    <w:rsid w:val="00782881"/>
    <w:rsid w:val="00782B65"/>
    <w:rsid w:val="00782D5F"/>
    <w:rsid w:val="007832B8"/>
    <w:rsid w:val="00783443"/>
    <w:rsid w:val="00783DAE"/>
    <w:rsid w:val="00783F37"/>
    <w:rsid w:val="00784B0D"/>
    <w:rsid w:val="00785113"/>
    <w:rsid w:val="00785A02"/>
    <w:rsid w:val="00785B0E"/>
    <w:rsid w:val="00785BCF"/>
    <w:rsid w:val="00785E78"/>
    <w:rsid w:val="00786178"/>
    <w:rsid w:val="007910D3"/>
    <w:rsid w:val="00791551"/>
    <w:rsid w:val="00792E45"/>
    <w:rsid w:val="007939A8"/>
    <w:rsid w:val="007942D8"/>
    <w:rsid w:val="00795098"/>
    <w:rsid w:val="00795169"/>
    <w:rsid w:val="0079526C"/>
    <w:rsid w:val="00795278"/>
    <w:rsid w:val="007958EE"/>
    <w:rsid w:val="00795A63"/>
    <w:rsid w:val="00795C09"/>
    <w:rsid w:val="007964F7"/>
    <w:rsid w:val="00796630"/>
    <w:rsid w:val="00796B35"/>
    <w:rsid w:val="00796E52"/>
    <w:rsid w:val="00797096"/>
    <w:rsid w:val="00797E3A"/>
    <w:rsid w:val="00797FF2"/>
    <w:rsid w:val="007A0E55"/>
    <w:rsid w:val="007A1D61"/>
    <w:rsid w:val="007A2CC8"/>
    <w:rsid w:val="007A42E4"/>
    <w:rsid w:val="007A4581"/>
    <w:rsid w:val="007A45D5"/>
    <w:rsid w:val="007A513E"/>
    <w:rsid w:val="007A57FF"/>
    <w:rsid w:val="007A64F4"/>
    <w:rsid w:val="007A6A3A"/>
    <w:rsid w:val="007A75AA"/>
    <w:rsid w:val="007A771B"/>
    <w:rsid w:val="007A7A88"/>
    <w:rsid w:val="007A7DEE"/>
    <w:rsid w:val="007B2783"/>
    <w:rsid w:val="007B3DA3"/>
    <w:rsid w:val="007B58A5"/>
    <w:rsid w:val="007B599E"/>
    <w:rsid w:val="007B5ABF"/>
    <w:rsid w:val="007B6097"/>
    <w:rsid w:val="007B617A"/>
    <w:rsid w:val="007B6E34"/>
    <w:rsid w:val="007B7717"/>
    <w:rsid w:val="007B7CBD"/>
    <w:rsid w:val="007B7E13"/>
    <w:rsid w:val="007C01F2"/>
    <w:rsid w:val="007C0B9C"/>
    <w:rsid w:val="007C112F"/>
    <w:rsid w:val="007C1898"/>
    <w:rsid w:val="007C1E73"/>
    <w:rsid w:val="007C248F"/>
    <w:rsid w:val="007C2C5A"/>
    <w:rsid w:val="007C2C9E"/>
    <w:rsid w:val="007C36A8"/>
    <w:rsid w:val="007C3F29"/>
    <w:rsid w:val="007C40FD"/>
    <w:rsid w:val="007C49F1"/>
    <w:rsid w:val="007C5064"/>
    <w:rsid w:val="007C577D"/>
    <w:rsid w:val="007C59CB"/>
    <w:rsid w:val="007C600B"/>
    <w:rsid w:val="007C7111"/>
    <w:rsid w:val="007C7553"/>
    <w:rsid w:val="007C7729"/>
    <w:rsid w:val="007D005B"/>
    <w:rsid w:val="007D0492"/>
    <w:rsid w:val="007D04A6"/>
    <w:rsid w:val="007D04BE"/>
    <w:rsid w:val="007D0C1A"/>
    <w:rsid w:val="007D1074"/>
    <w:rsid w:val="007D1785"/>
    <w:rsid w:val="007D4A19"/>
    <w:rsid w:val="007D4BC2"/>
    <w:rsid w:val="007D524F"/>
    <w:rsid w:val="007D5537"/>
    <w:rsid w:val="007D5958"/>
    <w:rsid w:val="007D7087"/>
    <w:rsid w:val="007D79FC"/>
    <w:rsid w:val="007E05D5"/>
    <w:rsid w:val="007E0A07"/>
    <w:rsid w:val="007E0C59"/>
    <w:rsid w:val="007E0ED1"/>
    <w:rsid w:val="007E15E0"/>
    <w:rsid w:val="007E1617"/>
    <w:rsid w:val="007E2111"/>
    <w:rsid w:val="007E23A9"/>
    <w:rsid w:val="007E2C3E"/>
    <w:rsid w:val="007E3648"/>
    <w:rsid w:val="007E40CA"/>
    <w:rsid w:val="007E50B1"/>
    <w:rsid w:val="007E51F3"/>
    <w:rsid w:val="007E53E8"/>
    <w:rsid w:val="007E6CC9"/>
    <w:rsid w:val="007E6F53"/>
    <w:rsid w:val="007E77DC"/>
    <w:rsid w:val="007E7AA1"/>
    <w:rsid w:val="007E7EDC"/>
    <w:rsid w:val="007F05B6"/>
    <w:rsid w:val="007F0D0C"/>
    <w:rsid w:val="007F116E"/>
    <w:rsid w:val="007F1182"/>
    <w:rsid w:val="007F202C"/>
    <w:rsid w:val="007F2C40"/>
    <w:rsid w:val="007F3469"/>
    <w:rsid w:val="007F361A"/>
    <w:rsid w:val="007F3720"/>
    <w:rsid w:val="007F3F29"/>
    <w:rsid w:val="007F4421"/>
    <w:rsid w:val="007F46DB"/>
    <w:rsid w:val="007F4786"/>
    <w:rsid w:val="007F4BB0"/>
    <w:rsid w:val="007F5ACE"/>
    <w:rsid w:val="007F64F2"/>
    <w:rsid w:val="007F7496"/>
    <w:rsid w:val="008003DC"/>
    <w:rsid w:val="00800626"/>
    <w:rsid w:val="0080084B"/>
    <w:rsid w:val="00800A2D"/>
    <w:rsid w:val="00800AB0"/>
    <w:rsid w:val="00800D61"/>
    <w:rsid w:val="00801781"/>
    <w:rsid w:val="00801A77"/>
    <w:rsid w:val="008024EE"/>
    <w:rsid w:val="00803068"/>
    <w:rsid w:val="00803DC9"/>
    <w:rsid w:val="00804089"/>
    <w:rsid w:val="00805681"/>
    <w:rsid w:val="00806849"/>
    <w:rsid w:val="00806CF8"/>
    <w:rsid w:val="00806EE1"/>
    <w:rsid w:val="008072DE"/>
    <w:rsid w:val="00807304"/>
    <w:rsid w:val="00807312"/>
    <w:rsid w:val="00807466"/>
    <w:rsid w:val="0080757F"/>
    <w:rsid w:val="00811E6E"/>
    <w:rsid w:val="008125F8"/>
    <w:rsid w:val="0081291D"/>
    <w:rsid w:val="00812A66"/>
    <w:rsid w:val="00813A33"/>
    <w:rsid w:val="00813F55"/>
    <w:rsid w:val="00814458"/>
    <w:rsid w:val="008147E7"/>
    <w:rsid w:val="00814CF1"/>
    <w:rsid w:val="00816022"/>
    <w:rsid w:val="008160AA"/>
    <w:rsid w:val="008160B4"/>
    <w:rsid w:val="00816406"/>
    <w:rsid w:val="00816D0A"/>
    <w:rsid w:val="0081703B"/>
    <w:rsid w:val="0081778B"/>
    <w:rsid w:val="00820176"/>
    <w:rsid w:val="00820207"/>
    <w:rsid w:val="00820214"/>
    <w:rsid w:val="00820339"/>
    <w:rsid w:val="00820C53"/>
    <w:rsid w:val="00820E88"/>
    <w:rsid w:val="00821A7C"/>
    <w:rsid w:val="00821BBB"/>
    <w:rsid w:val="0082201D"/>
    <w:rsid w:val="008222A9"/>
    <w:rsid w:val="008225F9"/>
    <w:rsid w:val="008230D9"/>
    <w:rsid w:val="0082339C"/>
    <w:rsid w:val="008237D7"/>
    <w:rsid w:val="008239E5"/>
    <w:rsid w:val="00823D74"/>
    <w:rsid w:val="00823FBD"/>
    <w:rsid w:val="00823FC2"/>
    <w:rsid w:val="00823FD6"/>
    <w:rsid w:val="008243EF"/>
    <w:rsid w:val="00824796"/>
    <w:rsid w:val="00824CA7"/>
    <w:rsid w:val="00824EA5"/>
    <w:rsid w:val="00825276"/>
    <w:rsid w:val="00825348"/>
    <w:rsid w:val="0082599F"/>
    <w:rsid w:val="00825B34"/>
    <w:rsid w:val="00826206"/>
    <w:rsid w:val="0082622D"/>
    <w:rsid w:val="00826405"/>
    <w:rsid w:val="00826E64"/>
    <w:rsid w:val="00827AA1"/>
    <w:rsid w:val="00827BE7"/>
    <w:rsid w:val="00830450"/>
    <w:rsid w:val="00830ABD"/>
    <w:rsid w:val="00830BC9"/>
    <w:rsid w:val="00831746"/>
    <w:rsid w:val="00831C04"/>
    <w:rsid w:val="00832E19"/>
    <w:rsid w:val="00833680"/>
    <w:rsid w:val="00833EFB"/>
    <w:rsid w:val="00834067"/>
    <w:rsid w:val="00835BB3"/>
    <w:rsid w:val="0083662F"/>
    <w:rsid w:val="00836A0A"/>
    <w:rsid w:val="00836CE4"/>
    <w:rsid w:val="00836DD7"/>
    <w:rsid w:val="00837B24"/>
    <w:rsid w:val="00837CE6"/>
    <w:rsid w:val="00837D66"/>
    <w:rsid w:val="008407F8"/>
    <w:rsid w:val="00840A8F"/>
    <w:rsid w:val="00840B0D"/>
    <w:rsid w:val="008414C8"/>
    <w:rsid w:val="00841BC1"/>
    <w:rsid w:val="008423E3"/>
    <w:rsid w:val="008432F0"/>
    <w:rsid w:val="00843499"/>
    <w:rsid w:val="008439A2"/>
    <w:rsid w:val="00843B03"/>
    <w:rsid w:val="00843D70"/>
    <w:rsid w:val="00844758"/>
    <w:rsid w:val="00844800"/>
    <w:rsid w:val="00844A5D"/>
    <w:rsid w:val="008452B2"/>
    <w:rsid w:val="00845BF8"/>
    <w:rsid w:val="00845EAB"/>
    <w:rsid w:val="008462E2"/>
    <w:rsid w:val="00846966"/>
    <w:rsid w:val="00850AB5"/>
    <w:rsid w:val="00850BCE"/>
    <w:rsid w:val="008520ED"/>
    <w:rsid w:val="00852A7A"/>
    <w:rsid w:val="00854DEE"/>
    <w:rsid w:val="0085592A"/>
    <w:rsid w:val="00855CBF"/>
    <w:rsid w:val="00855D27"/>
    <w:rsid w:val="0085611A"/>
    <w:rsid w:val="008562AB"/>
    <w:rsid w:val="00856C13"/>
    <w:rsid w:val="008572A2"/>
    <w:rsid w:val="008575FB"/>
    <w:rsid w:val="008577A6"/>
    <w:rsid w:val="00857824"/>
    <w:rsid w:val="00860A76"/>
    <w:rsid w:val="00860DE3"/>
    <w:rsid w:val="008610F4"/>
    <w:rsid w:val="00861489"/>
    <w:rsid w:val="00861AA4"/>
    <w:rsid w:val="008633CA"/>
    <w:rsid w:val="0086345D"/>
    <w:rsid w:val="00863A48"/>
    <w:rsid w:val="00863AD9"/>
    <w:rsid w:val="00863DBA"/>
    <w:rsid w:val="00863E84"/>
    <w:rsid w:val="0086461F"/>
    <w:rsid w:val="00864A74"/>
    <w:rsid w:val="00864FB5"/>
    <w:rsid w:val="0086557A"/>
    <w:rsid w:val="008658E7"/>
    <w:rsid w:val="00865F6B"/>
    <w:rsid w:val="0086680F"/>
    <w:rsid w:val="00867E08"/>
    <w:rsid w:val="00867E91"/>
    <w:rsid w:val="008705DF"/>
    <w:rsid w:val="00870AA4"/>
    <w:rsid w:val="0087161D"/>
    <w:rsid w:val="008716E0"/>
    <w:rsid w:val="008718CC"/>
    <w:rsid w:val="00873208"/>
    <w:rsid w:val="0087378F"/>
    <w:rsid w:val="00873987"/>
    <w:rsid w:val="00874161"/>
    <w:rsid w:val="00874362"/>
    <w:rsid w:val="00874EFC"/>
    <w:rsid w:val="008751F3"/>
    <w:rsid w:val="00875E7B"/>
    <w:rsid w:val="008768DA"/>
    <w:rsid w:val="008777AD"/>
    <w:rsid w:val="00877F8B"/>
    <w:rsid w:val="0088083E"/>
    <w:rsid w:val="00880A2E"/>
    <w:rsid w:val="00880B04"/>
    <w:rsid w:val="00880F0A"/>
    <w:rsid w:val="00881608"/>
    <w:rsid w:val="0088176B"/>
    <w:rsid w:val="00881C61"/>
    <w:rsid w:val="00882762"/>
    <w:rsid w:val="00882878"/>
    <w:rsid w:val="00882A7A"/>
    <w:rsid w:val="00882A89"/>
    <w:rsid w:val="00884708"/>
    <w:rsid w:val="00885186"/>
    <w:rsid w:val="008856F6"/>
    <w:rsid w:val="00885964"/>
    <w:rsid w:val="00886C86"/>
    <w:rsid w:val="00886CFD"/>
    <w:rsid w:val="00887B31"/>
    <w:rsid w:val="00887F50"/>
    <w:rsid w:val="008909B8"/>
    <w:rsid w:val="00890D36"/>
    <w:rsid w:val="008914CC"/>
    <w:rsid w:val="008918D3"/>
    <w:rsid w:val="0089196E"/>
    <w:rsid w:val="00891A80"/>
    <w:rsid w:val="00891CFA"/>
    <w:rsid w:val="00892229"/>
    <w:rsid w:val="00894006"/>
    <w:rsid w:val="0089433A"/>
    <w:rsid w:val="00894DCD"/>
    <w:rsid w:val="00895129"/>
    <w:rsid w:val="008953F2"/>
    <w:rsid w:val="0089573D"/>
    <w:rsid w:val="00895B17"/>
    <w:rsid w:val="008965BB"/>
    <w:rsid w:val="00896BB5"/>
    <w:rsid w:val="00896C30"/>
    <w:rsid w:val="00896D31"/>
    <w:rsid w:val="008970CA"/>
    <w:rsid w:val="008973B6"/>
    <w:rsid w:val="00897639"/>
    <w:rsid w:val="008978C6"/>
    <w:rsid w:val="00897AD9"/>
    <w:rsid w:val="00897AF5"/>
    <w:rsid w:val="00897E8D"/>
    <w:rsid w:val="008A01DF"/>
    <w:rsid w:val="008A03F1"/>
    <w:rsid w:val="008A0E8D"/>
    <w:rsid w:val="008A1044"/>
    <w:rsid w:val="008A17F0"/>
    <w:rsid w:val="008A2270"/>
    <w:rsid w:val="008A33D1"/>
    <w:rsid w:val="008A3562"/>
    <w:rsid w:val="008A43C3"/>
    <w:rsid w:val="008A459D"/>
    <w:rsid w:val="008A5107"/>
    <w:rsid w:val="008A65F9"/>
    <w:rsid w:val="008A6A34"/>
    <w:rsid w:val="008A766A"/>
    <w:rsid w:val="008B083D"/>
    <w:rsid w:val="008B0A89"/>
    <w:rsid w:val="008B0E19"/>
    <w:rsid w:val="008B109D"/>
    <w:rsid w:val="008B1750"/>
    <w:rsid w:val="008B19C6"/>
    <w:rsid w:val="008B2C02"/>
    <w:rsid w:val="008B30C0"/>
    <w:rsid w:val="008B36D0"/>
    <w:rsid w:val="008B3B5A"/>
    <w:rsid w:val="008B44B8"/>
    <w:rsid w:val="008B4B9B"/>
    <w:rsid w:val="008B513B"/>
    <w:rsid w:val="008B5297"/>
    <w:rsid w:val="008B5F5C"/>
    <w:rsid w:val="008B6322"/>
    <w:rsid w:val="008B6564"/>
    <w:rsid w:val="008B689B"/>
    <w:rsid w:val="008B69D9"/>
    <w:rsid w:val="008B7264"/>
    <w:rsid w:val="008B762F"/>
    <w:rsid w:val="008B7800"/>
    <w:rsid w:val="008C023E"/>
    <w:rsid w:val="008C079D"/>
    <w:rsid w:val="008C0FF1"/>
    <w:rsid w:val="008C147E"/>
    <w:rsid w:val="008C14A7"/>
    <w:rsid w:val="008C22F9"/>
    <w:rsid w:val="008C3285"/>
    <w:rsid w:val="008C341E"/>
    <w:rsid w:val="008C3722"/>
    <w:rsid w:val="008C3EB9"/>
    <w:rsid w:val="008C47C4"/>
    <w:rsid w:val="008C54E1"/>
    <w:rsid w:val="008C553A"/>
    <w:rsid w:val="008C742B"/>
    <w:rsid w:val="008C7ACF"/>
    <w:rsid w:val="008D0115"/>
    <w:rsid w:val="008D0743"/>
    <w:rsid w:val="008D1C49"/>
    <w:rsid w:val="008D1CCC"/>
    <w:rsid w:val="008D1D49"/>
    <w:rsid w:val="008D1E64"/>
    <w:rsid w:val="008D41E7"/>
    <w:rsid w:val="008D44F0"/>
    <w:rsid w:val="008D44F9"/>
    <w:rsid w:val="008D49D3"/>
    <w:rsid w:val="008D6707"/>
    <w:rsid w:val="008D6A03"/>
    <w:rsid w:val="008D6BE8"/>
    <w:rsid w:val="008D6CAC"/>
    <w:rsid w:val="008D78BA"/>
    <w:rsid w:val="008D7F1D"/>
    <w:rsid w:val="008E036C"/>
    <w:rsid w:val="008E05D1"/>
    <w:rsid w:val="008E11FB"/>
    <w:rsid w:val="008E13B8"/>
    <w:rsid w:val="008E1617"/>
    <w:rsid w:val="008E16B8"/>
    <w:rsid w:val="008E1889"/>
    <w:rsid w:val="008E1EEE"/>
    <w:rsid w:val="008E2703"/>
    <w:rsid w:val="008E271A"/>
    <w:rsid w:val="008E2822"/>
    <w:rsid w:val="008E3A51"/>
    <w:rsid w:val="008E411F"/>
    <w:rsid w:val="008E4373"/>
    <w:rsid w:val="008E46FE"/>
    <w:rsid w:val="008E4768"/>
    <w:rsid w:val="008E4F27"/>
    <w:rsid w:val="008E5807"/>
    <w:rsid w:val="008E5D44"/>
    <w:rsid w:val="008E5EEA"/>
    <w:rsid w:val="008E6943"/>
    <w:rsid w:val="008E79B8"/>
    <w:rsid w:val="008E7E2D"/>
    <w:rsid w:val="008F159B"/>
    <w:rsid w:val="008F2747"/>
    <w:rsid w:val="008F2769"/>
    <w:rsid w:val="008F2CFD"/>
    <w:rsid w:val="008F30C8"/>
    <w:rsid w:val="008F335A"/>
    <w:rsid w:val="008F45D7"/>
    <w:rsid w:val="008F46F7"/>
    <w:rsid w:val="008F4E5B"/>
    <w:rsid w:val="008F532E"/>
    <w:rsid w:val="008F5FCF"/>
    <w:rsid w:val="008F61B7"/>
    <w:rsid w:val="008F6864"/>
    <w:rsid w:val="008F7CE6"/>
    <w:rsid w:val="00901124"/>
    <w:rsid w:val="00901ABF"/>
    <w:rsid w:val="00901ED8"/>
    <w:rsid w:val="0090297D"/>
    <w:rsid w:val="00902D33"/>
    <w:rsid w:val="00902DE2"/>
    <w:rsid w:val="00902F28"/>
    <w:rsid w:val="0090309A"/>
    <w:rsid w:val="00904396"/>
    <w:rsid w:val="0090469A"/>
    <w:rsid w:val="009047C6"/>
    <w:rsid w:val="00904861"/>
    <w:rsid w:val="00904A29"/>
    <w:rsid w:val="00904CD9"/>
    <w:rsid w:val="00904D33"/>
    <w:rsid w:val="00905AD2"/>
    <w:rsid w:val="00905D6A"/>
    <w:rsid w:val="00906866"/>
    <w:rsid w:val="00906933"/>
    <w:rsid w:val="00907EF3"/>
    <w:rsid w:val="009100E7"/>
    <w:rsid w:val="0091084F"/>
    <w:rsid w:val="00911171"/>
    <w:rsid w:val="00911486"/>
    <w:rsid w:val="009114C9"/>
    <w:rsid w:val="0091315D"/>
    <w:rsid w:val="00913271"/>
    <w:rsid w:val="00913E4B"/>
    <w:rsid w:val="00914D21"/>
    <w:rsid w:val="00915084"/>
    <w:rsid w:val="00915577"/>
    <w:rsid w:val="009156F7"/>
    <w:rsid w:val="009158CC"/>
    <w:rsid w:val="00915CCE"/>
    <w:rsid w:val="00917463"/>
    <w:rsid w:val="009174BA"/>
    <w:rsid w:val="00920742"/>
    <w:rsid w:val="0092156D"/>
    <w:rsid w:val="00921CCF"/>
    <w:rsid w:val="00921E26"/>
    <w:rsid w:val="00922BF4"/>
    <w:rsid w:val="00923127"/>
    <w:rsid w:val="009234C0"/>
    <w:rsid w:val="00923FE7"/>
    <w:rsid w:val="0092502F"/>
    <w:rsid w:val="0092537A"/>
    <w:rsid w:val="009257F6"/>
    <w:rsid w:val="00925AC3"/>
    <w:rsid w:val="00926A56"/>
    <w:rsid w:val="009272B2"/>
    <w:rsid w:val="009273F5"/>
    <w:rsid w:val="009275C3"/>
    <w:rsid w:val="00927A3B"/>
    <w:rsid w:val="00931032"/>
    <w:rsid w:val="009311A9"/>
    <w:rsid w:val="00931A38"/>
    <w:rsid w:val="009333A0"/>
    <w:rsid w:val="00933503"/>
    <w:rsid w:val="0093360A"/>
    <w:rsid w:val="00933AFB"/>
    <w:rsid w:val="0093442E"/>
    <w:rsid w:val="00934B6D"/>
    <w:rsid w:val="00935014"/>
    <w:rsid w:val="00936F21"/>
    <w:rsid w:val="009371E3"/>
    <w:rsid w:val="00937338"/>
    <w:rsid w:val="00940293"/>
    <w:rsid w:val="00940D3C"/>
    <w:rsid w:val="0094154D"/>
    <w:rsid w:val="00941C9C"/>
    <w:rsid w:val="00941CB7"/>
    <w:rsid w:val="00942AFB"/>
    <w:rsid w:val="00943E6A"/>
    <w:rsid w:val="00944941"/>
    <w:rsid w:val="00944A58"/>
    <w:rsid w:val="00944AEA"/>
    <w:rsid w:val="0094520F"/>
    <w:rsid w:val="00945333"/>
    <w:rsid w:val="00945E50"/>
    <w:rsid w:val="009471DD"/>
    <w:rsid w:val="009476FB"/>
    <w:rsid w:val="009477C8"/>
    <w:rsid w:val="009500B7"/>
    <w:rsid w:val="00950A64"/>
    <w:rsid w:val="00950A6E"/>
    <w:rsid w:val="00951130"/>
    <w:rsid w:val="00951192"/>
    <w:rsid w:val="00951476"/>
    <w:rsid w:val="0095154D"/>
    <w:rsid w:val="009517DF"/>
    <w:rsid w:val="009518CC"/>
    <w:rsid w:val="0095198A"/>
    <w:rsid w:val="00951B1A"/>
    <w:rsid w:val="00952357"/>
    <w:rsid w:val="00952B4D"/>
    <w:rsid w:val="00952B76"/>
    <w:rsid w:val="00953C4D"/>
    <w:rsid w:val="00953D6F"/>
    <w:rsid w:val="00954C2C"/>
    <w:rsid w:val="00955BAE"/>
    <w:rsid w:val="00961609"/>
    <w:rsid w:val="00962A5B"/>
    <w:rsid w:val="0096345A"/>
    <w:rsid w:val="0096362A"/>
    <w:rsid w:val="00963643"/>
    <w:rsid w:val="00963C1C"/>
    <w:rsid w:val="00963D12"/>
    <w:rsid w:val="00963FF2"/>
    <w:rsid w:val="00964113"/>
    <w:rsid w:val="009649B1"/>
    <w:rsid w:val="009651B9"/>
    <w:rsid w:val="00965E2F"/>
    <w:rsid w:val="00966420"/>
    <w:rsid w:val="00966818"/>
    <w:rsid w:val="00967574"/>
    <w:rsid w:val="0097218D"/>
    <w:rsid w:val="00972516"/>
    <w:rsid w:val="00972896"/>
    <w:rsid w:val="00972B88"/>
    <w:rsid w:val="00974105"/>
    <w:rsid w:val="00974CEA"/>
    <w:rsid w:val="00974E1B"/>
    <w:rsid w:val="00976AE6"/>
    <w:rsid w:val="00976B74"/>
    <w:rsid w:val="00977B6E"/>
    <w:rsid w:val="00980E33"/>
    <w:rsid w:val="00981F6E"/>
    <w:rsid w:val="0098260E"/>
    <w:rsid w:val="009826F9"/>
    <w:rsid w:val="00983A66"/>
    <w:rsid w:val="00983D1F"/>
    <w:rsid w:val="00983E04"/>
    <w:rsid w:val="00983EFA"/>
    <w:rsid w:val="009841F4"/>
    <w:rsid w:val="00984612"/>
    <w:rsid w:val="0098481A"/>
    <w:rsid w:val="0098489E"/>
    <w:rsid w:val="009851C3"/>
    <w:rsid w:val="0098559B"/>
    <w:rsid w:val="009859D8"/>
    <w:rsid w:val="009868FF"/>
    <w:rsid w:val="00986904"/>
    <w:rsid w:val="00986B98"/>
    <w:rsid w:val="00986DC8"/>
    <w:rsid w:val="00987B90"/>
    <w:rsid w:val="00987D4D"/>
    <w:rsid w:val="00987ED4"/>
    <w:rsid w:val="00987ED7"/>
    <w:rsid w:val="0099025F"/>
    <w:rsid w:val="0099129E"/>
    <w:rsid w:val="009917FD"/>
    <w:rsid w:val="00991A79"/>
    <w:rsid w:val="00991FE8"/>
    <w:rsid w:val="009922A5"/>
    <w:rsid w:val="00992424"/>
    <w:rsid w:val="00992736"/>
    <w:rsid w:val="00992857"/>
    <w:rsid w:val="00993282"/>
    <w:rsid w:val="00994289"/>
    <w:rsid w:val="009943FE"/>
    <w:rsid w:val="009948A8"/>
    <w:rsid w:val="0099555F"/>
    <w:rsid w:val="00995A9B"/>
    <w:rsid w:val="00995D33"/>
    <w:rsid w:val="00995D39"/>
    <w:rsid w:val="00995D94"/>
    <w:rsid w:val="00996260"/>
    <w:rsid w:val="00996639"/>
    <w:rsid w:val="009968E2"/>
    <w:rsid w:val="0099787F"/>
    <w:rsid w:val="009A098C"/>
    <w:rsid w:val="009A0A82"/>
    <w:rsid w:val="009A1164"/>
    <w:rsid w:val="009A1913"/>
    <w:rsid w:val="009A1949"/>
    <w:rsid w:val="009A21F5"/>
    <w:rsid w:val="009A37F2"/>
    <w:rsid w:val="009A3F7B"/>
    <w:rsid w:val="009A57F4"/>
    <w:rsid w:val="009A6554"/>
    <w:rsid w:val="009A793F"/>
    <w:rsid w:val="009B0515"/>
    <w:rsid w:val="009B0BD2"/>
    <w:rsid w:val="009B0FC9"/>
    <w:rsid w:val="009B18C6"/>
    <w:rsid w:val="009B1906"/>
    <w:rsid w:val="009B284D"/>
    <w:rsid w:val="009B4494"/>
    <w:rsid w:val="009B4C3E"/>
    <w:rsid w:val="009B5E15"/>
    <w:rsid w:val="009B6990"/>
    <w:rsid w:val="009B7198"/>
    <w:rsid w:val="009B78D3"/>
    <w:rsid w:val="009B79B9"/>
    <w:rsid w:val="009C05A8"/>
    <w:rsid w:val="009C07F6"/>
    <w:rsid w:val="009C13DB"/>
    <w:rsid w:val="009C23DB"/>
    <w:rsid w:val="009C2A38"/>
    <w:rsid w:val="009C2E2C"/>
    <w:rsid w:val="009C2E51"/>
    <w:rsid w:val="009C30AA"/>
    <w:rsid w:val="009C3790"/>
    <w:rsid w:val="009C4278"/>
    <w:rsid w:val="009C4671"/>
    <w:rsid w:val="009C47BF"/>
    <w:rsid w:val="009C49A3"/>
    <w:rsid w:val="009C4D89"/>
    <w:rsid w:val="009C571E"/>
    <w:rsid w:val="009C587C"/>
    <w:rsid w:val="009C5CE2"/>
    <w:rsid w:val="009C5E0C"/>
    <w:rsid w:val="009C622E"/>
    <w:rsid w:val="009C65F3"/>
    <w:rsid w:val="009C6686"/>
    <w:rsid w:val="009C66C7"/>
    <w:rsid w:val="009C6E5F"/>
    <w:rsid w:val="009C794A"/>
    <w:rsid w:val="009D00D6"/>
    <w:rsid w:val="009D030D"/>
    <w:rsid w:val="009D0400"/>
    <w:rsid w:val="009D1152"/>
    <w:rsid w:val="009D11F7"/>
    <w:rsid w:val="009D1C69"/>
    <w:rsid w:val="009D24E4"/>
    <w:rsid w:val="009D2F1D"/>
    <w:rsid w:val="009D2FFC"/>
    <w:rsid w:val="009D4271"/>
    <w:rsid w:val="009D43DD"/>
    <w:rsid w:val="009D506A"/>
    <w:rsid w:val="009D57D3"/>
    <w:rsid w:val="009D5D3B"/>
    <w:rsid w:val="009D67C4"/>
    <w:rsid w:val="009D6AA9"/>
    <w:rsid w:val="009E0020"/>
    <w:rsid w:val="009E0B7F"/>
    <w:rsid w:val="009E2021"/>
    <w:rsid w:val="009E2983"/>
    <w:rsid w:val="009E4316"/>
    <w:rsid w:val="009E5754"/>
    <w:rsid w:val="009E6349"/>
    <w:rsid w:val="009E6547"/>
    <w:rsid w:val="009E694F"/>
    <w:rsid w:val="009E6CEB"/>
    <w:rsid w:val="009E7885"/>
    <w:rsid w:val="009E7DD8"/>
    <w:rsid w:val="009E7F8A"/>
    <w:rsid w:val="009F03A6"/>
    <w:rsid w:val="009F0984"/>
    <w:rsid w:val="009F0C1C"/>
    <w:rsid w:val="009F0C1D"/>
    <w:rsid w:val="009F1D22"/>
    <w:rsid w:val="009F2B4E"/>
    <w:rsid w:val="009F39A4"/>
    <w:rsid w:val="009F4583"/>
    <w:rsid w:val="009F4910"/>
    <w:rsid w:val="009F4BAF"/>
    <w:rsid w:val="009F4DB5"/>
    <w:rsid w:val="009F5BF2"/>
    <w:rsid w:val="009F6B54"/>
    <w:rsid w:val="009F74D0"/>
    <w:rsid w:val="00A0006B"/>
    <w:rsid w:val="00A00A56"/>
    <w:rsid w:val="00A00A93"/>
    <w:rsid w:val="00A00B6F"/>
    <w:rsid w:val="00A02A4D"/>
    <w:rsid w:val="00A04D91"/>
    <w:rsid w:val="00A04ECE"/>
    <w:rsid w:val="00A04F60"/>
    <w:rsid w:val="00A0539E"/>
    <w:rsid w:val="00A05D3C"/>
    <w:rsid w:val="00A060DF"/>
    <w:rsid w:val="00A0653D"/>
    <w:rsid w:val="00A066F9"/>
    <w:rsid w:val="00A06F8C"/>
    <w:rsid w:val="00A111E6"/>
    <w:rsid w:val="00A11B1B"/>
    <w:rsid w:val="00A13143"/>
    <w:rsid w:val="00A135FD"/>
    <w:rsid w:val="00A13704"/>
    <w:rsid w:val="00A13C0D"/>
    <w:rsid w:val="00A13FAE"/>
    <w:rsid w:val="00A15601"/>
    <w:rsid w:val="00A164F7"/>
    <w:rsid w:val="00A16714"/>
    <w:rsid w:val="00A16BFC"/>
    <w:rsid w:val="00A16F30"/>
    <w:rsid w:val="00A2011F"/>
    <w:rsid w:val="00A2073D"/>
    <w:rsid w:val="00A21F0A"/>
    <w:rsid w:val="00A22320"/>
    <w:rsid w:val="00A2285B"/>
    <w:rsid w:val="00A23C89"/>
    <w:rsid w:val="00A246F1"/>
    <w:rsid w:val="00A247B5"/>
    <w:rsid w:val="00A25243"/>
    <w:rsid w:val="00A2579A"/>
    <w:rsid w:val="00A25AB8"/>
    <w:rsid w:val="00A25FC6"/>
    <w:rsid w:val="00A2698B"/>
    <w:rsid w:val="00A2721B"/>
    <w:rsid w:val="00A2777E"/>
    <w:rsid w:val="00A27938"/>
    <w:rsid w:val="00A30E78"/>
    <w:rsid w:val="00A3251C"/>
    <w:rsid w:val="00A325E3"/>
    <w:rsid w:val="00A32757"/>
    <w:rsid w:val="00A32D2F"/>
    <w:rsid w:val="00A32E7F"/>
    <w:rsid w:val="00A33B2C"/>
    <w:rsid w:val="00A33F37"/>
    <w:rsid w:val="00A33F82"/>
    <w:rsid w:val="00A343D1"/>
    <w:rsid w:val="00A34BEF"/>
    <w:rsid w:val="00A3512C"/>
    <w:rsid w:val="00A35988"/>
    <w:rsid w:val="00A4005D"/>
    <w:rsid w:val="00A407A6"/>
    <w:rsid w:val="00A40CD4"/>
    <w:rsid w:val="00A411E1"/>
    <w:rsid w:val="00A416CC"/>
    <w:rsid w:val="00A41CEF"/>
    <w:rsid w:val="00A42EE1"/>
    <w:rsid w:val="00A4310F"/>
    <w:rsid w:val="00A43561"/>
    <w:rsid w:val="00A44383"/>
    <w:rsid w:val="00A44CDA"/>
    <w:rsid w:val="00A4541F"/>
    <w:rsid w:val="00A45F20"/>
    <w:rsid w:val="00A46DD9"/>
    <w:rsid w:val="00A474BB"/>
    <w:rsid w:val="00A47770"/>
    <w:rsid w:val="00A4781E"/>
    <w:rsid w:val="00A500BA"/>
    <w:rsid w:val="00A50646"/>
    <w:rsid w:val="00A5077B"/>
    <w:rsid w:val="00A50C23"/>
    <w:rsid w:val="00A50F97"/>
    <w:rsid w:val="00A51026"/>
    <w:rsid w:val="00A51150"/>
    <w:rsid w:val="00A513B8"/>
    <w:rsid w:val="00A51639"/>
    <w:rsid w:val="00A5166A"/>
    <w:rsid w:val="00A51BF3"/>
    <w:rsid w:val="00A51FC9"/>
    <w:rsid w:val="00A5251F"/>
    <w:rsid w:val="00A52ED3"/>
    <w:rsid w:val="00A52F59"/>
    <w:rsid w:val="00A537A3"/>
    <w:rsid w:val="00A53F93"/>
    <w:rsid w:val="00A5409B"/>
    <w:rsid w:val="00A54A30"/>
    <w:rsid w:val="00A54B7D"/>
    <w:rsid w:val="00A54E12"/>
    <w:rsid w:val="00A54E67"/>
    <w:rsid w:val="00A55057"/>
    <w:rsid w:val="00A559A6"/>
    <w:rsid w:val="00A56377"/>
    <w:rsid w:val="00A569C7"/>
    <w:rsid w:val="00A57F93"/>
    <w:rsid w:val="00A6086C"/>
    <w:rsid w:val="00A608AC"/>
    <w:rsid w:val="00A6240E"/>
    <w:rsid w:val="00A6295E"/>
    <w:rsid w:val="00A62B4D"/>
    <w:rsid w:val="00A64879"/>
    <w:rsid w:val="00A64CBD"/>
    <w:rsid w:val="00A64E68"/>
    <w:rsid w:val="00A6568D"/>
    <w:rsid w:val="00A656C1"/>
    <w:rsid w:val="00A657ED"/>
    <w:rsid w:val="00A67A91"/>
    <w:rsid w:val="00A70822"/>
    <w:rsid w:val="00A70965"/>
    <w:rsid w:val="00A7104F"/>
    <w:rsid w:val="00A72E31"/>
    <w:rsid w:val="00A7331A"/>
    <w:rsid w:val="00A73956"/>
    <w:rsid w:val="00A740E9"/>
    <w:rsid w:val="00A7435D"/>
    <w:rsid w:val="00A75F8B"/>
    <w:rsid w:val="00A75F9D"/>
    <w:rsid w:val="00A77263"/>
    <w:rsid w:val="00A772D2"/>
    <w:rsid w:val="00A77823"/>
    <w:rsid w:val="00A8248B"/>
    <w:rsid w:val="00A83688"/>
    <w:rsid w:val="00A837CD"/>
    <w:rsid w:val="00A83D1E"/>
    <w:rsid w:val="00A83FAE"/>
    <w:rsid w:val="00A8474B"/>
    <w:rsid w:val="00A84E6E"/>
    <w:rsid w:val="00A85845"/>
    <w:rsid w:val="00A85B27"/>
    <w:rsid w:val="00A86E92"/>
    <w:rsid w:val="00A87193"/>
    <w:rsid w:val="00A871DB"/>
    <w:rsid w:val="00A90328"/>
    <w:rsid w:val="00A90CF7"/>
    <w:rsid w:val="00A90DC9"/>
    <w:rsid w:val="00A916CF"/>
    <w:rsid w:val="00A918DA"/>
    <w:rsid w:val="00A91955"/>
    <w:rsid w:val="00A91CD6"/>
    <w:rsid w:val="00A923FE"/>
    <w:rsid w:val="00A92527"/>
    <w:rsid w:val="00A92738"/>
    <w:rsid w:val="00A93873"/>
    <w:rsid w:val="00A94F48"/>
    <w:rsid w:val="00A959F0"/>
    <w:rsid w:val="00A95BA3"/>
    <w:rsid w:val="00A95F4F"/>
    <w:rsid w:val="00AA0584"/>
    <w:rsid w:val="00AA0661"/>
    <w:rsid w:val="00AA0C64"/>
    <w:rsid w:val="00AA0FD4"/>
    <w:rsid w:val="00AA113C"/>
    <w:rsid w:val="00AA16E4"/>
    <w:rsid w:val="00AA19AD"/>
    <w:rsid w:val="00AA1E3F"/>
    <w:rsid w:val="00AA209C"/>
    <w:rsid w:val="00AA2432"/>
    <w:rsid w:val="00AA2592"/>
    <w:rsid w:val="00AA2602"/>
    <w:rsid w:val="00AA461F"/>
    <w:rsid w:val="00AA47C7"/>
    <w:rsid w:val="00AA4A0A"/>
    <w:rsid w:val="00AA4D1F"/>
    <w:rsid w:val="00AA51F3"/>
    <w:rsid w:val="00AA583A"/>
    <w:rsid w:val="00AA617A"/>
    <w:rsid w:val="00AA6ADC"/>
    <w:rsid w:val="00AA713D"/>
    <w:rsid w:val="00AB072A"/>
    <w:rsid w:val="00AB10F6"/>
    <w:rsid w:val="00AB11AF"/>
    <w:rsid w:val="00AB27E9"/>
    <w:rsid w:val="00AB2B80"/>
    <w:rsid w:val="00AB2C5F"/>
    <w:rsid w:val="00AB2D2C"/>
    <w:rsid w:val="00AB3112"/>
    <w:rsid w:val="00AB3701"/>
    <w:rsid w:val="00AB53AF"/>
    <w:rsid w:val="00AB54A9"/>
    <w:rsid w:val="00AB6232"/>
    <w:rsid w:val="00AB664A"/>
    <w:rsid w:val="00AB7770"/>
    <w:rsid w:val="00AB7EDC"/>
    <w:rsid w:val="00AC0853"/>
    <w:rsid w:val="00AC21AC"/>
    <w:rsid w:val="00AC2EA9"/>
    <w:rsid w:val="00AC3501"/>
    <w:rsid w:val="00AC3C08"/>
    <w:rsid w:val="00AC4075"/>
    <w:rsid w:val="00AC4D1A"/>
    <w:rsid w:val="00AC4D6A"/>
    <w:rsid w:val="00AC5D0F"/>
    <w:rsid w:val="00AC62A3"/>
    <w:rsid w:val="00AC63D9"/>
    <w:rsid w:val="00AC64FE"/>
    <w:rsid w:val="00AC7CFA"/>
    <w:rsid w:val="00AD0051"/>
    <w:rsid w:val="00AD03AC"/>
    <w:rsid w:val="00AD0C94"/>
    <w:rsid w:val="00AD0FE1"/>
    <w:rsid w:val="00AD1244"/>
    <w:rsid w:val="00AD2A30"/>
    <w:rsid w:val="00AD3E3F"/>
    <w:rsid w:val="00AD3FDE"/>
    <w:rsid w:val="00AD44AF"/>
    <w:rsid w:val="00AD53EB"/>
    <w:rsid w:val="00AD5643"/>
    <w:rsid w:val="00AD5ED1"/>
    <w:rsid w:val="00AD71B2"/>
    <w:rsid w:val="00AD73E6"/>
    <w:rsid w:val="00AD7708"/>
    <w:rsid w:val="00AD7B36"/>
    <w:rsid w:val="00AE023A"/>
    <w:rsid w:val="00AE0B75"/>
    <w:rsid w:val="00AE0D4B"/>
    <w:rsid w:val="00AE0E0A"/>
    <w:rsid w:val="00AE0EB0"/>
    <w:rsid w:val="00AE1846"/>
    <w:rsid w:val="00AE19C8"/>
    <w:rsid w:val="00AE3183"/>
    <w:rsid w:val="00AE4056"/>
    <w:rsid w:val="00AE4D9A"/>
    <w:rsid w:val="00AE5199"/>
    <w:rsid w:val="00AE5721"/>
    <w:rsid w:val="00AE580B"/>
    <w:rsid w:val="00AE7C14"/>
    <w:rsid w:val="00AE7E5A"/>
    <w:rsid w:val="00AF0309"/>
    <w:rsid w:val="00AF0D82"/>
    <w:rsid w:val="00AF1838"/>
    <w:rsid w:val="00AF18A8"/>
    <w:rsid w:val="00AF242F"/>
    <w:rsid w:val="00AF27EF"/>
    <w:rsid w:val="00AF2B20"/>
    <w:rsid w:val="00AF2EE7"/>
    <w:rsid w:val="00AF325E"/>
    <w:rsid w:val="00AF32B3"/>
    <w:rsid w:val="00AF3372"/>
    <w:rsid w:val="00AF34EB"/>
    <w:rsid w:val="00AF47AF"/>
    <w:rsid w:val="00AF49EC"/>
    <w:rsid w:val="00AF4D6F"/>
    <w:rsid w:val="00AF5061"/>
    <w:rsid w:val="00AF5B65"/>
    <w:rsid w:val="00AF5CA3"/>
    <w:rsid w:val="00AF6015"/>
    <w:rsid w:val="00AF65D9"/>
    <w:rsid w:val="00AF74D9"/>
    <w:rsid w:val="00B000BA"/>
    <w:rsid w:val="00B00BD1"/>
    <w:rsid w:val="00B0147B"/>
    <w:rsid w:val="00B01B38"/>
    <w:rsid w:val="00B0301F"/>
    <w:rsid w:val="00B031E7"/>
    <w:rsid w:val="00B049FE"/>
    <w:rsid w:val="00B04A6F"/>
    <w:rsid w:val="00B05AD0"/>
    <w:rsid w:val="00B05C92"/>
    <w:rsid w:val="00B05ECD"/>
    <w:rsid w:val="00B0705D"/>
    <w:rsid w:val="00B0757A"/>
    <w:rsid w:val="00B076BB"/>
    <w:rsid w:val="00B076FD"/>
    <w:rsid w:val="00B07739"/>
    <w:rsid w:val="00B07781"/>
    <w:rsid w:val="00B07C88"/>
    <w:rsid w:val="00B1074F"/>
    <w:rsid w:val="00B112F7"/>
    <w:rsid w:val="00B121DB"/>
    <w:rsid w:val="00B122A8"/>
    <w:rsid w:val="00B14289"/>
    <w:rsid w:val="00B15188"/>
    <w:rsid w:val="00B15AFD"/>
    <w:rsid w:val="00B15E94"/>
    <w:rsid w:val="00B176ED"/>
    <w:rsid w:val="00B1799D"/>
    <w:rsid w:val="00B17C44"/>
    <w:rsid w:val="00B17DEE"/>
    <w:rsid w:val="00B20B10"/>
    <w:rsid w:val="00B2148C"/>
    <w:rsid w:val="00B215CD"/>
    <w:rsid w:val="00B229CB"/>
    <w:rsid w:val="00B2319A"/>
    <w:rsid w:val="00B2354A"/>
    <w:rsid w:val="00B237DD"/>
    <w:rsid w:val="00B23C6F"/>
    <w:rsid w:val="00B2463D"/>
    <w:rsid w:val="00B24815"/>
    <w:rsid w:val="00B24BCA"/>
    <w:rsid w:val="00B24C35"/>
    <w:rsid w:val="00B259E9"/>
    <w:rsid w:val="00B2730B"/>
    <w:rsid w:val="00B27B76"/>
    <w:rsid w:val="00B3081A"/>
    <w:rsid w:val="00B30AED"/>
    <w:rsid w:val="00B30EB6"/>
    <w:rsid w:val="00B30F2D"/>
    <w:rsid w:val="00B31BB4"/>
    <w:rsid w:val="00B31F5E"/>
    <w:rsid w:val="00B32C82"/>
    <w:rsid w:val="00B32E57"/>
    <w:rsid w:val="00B33BC6"/>
    <w:rsid w:val="00B3564B"/>
    <w:rsid w:val="00B36094"/>
    <w:rsid w:val="00B36661"/>
    <w:rsid w:val="00B37D37"/>
    <w:rsid w:val="00B37E4D"/>
    <w:rsid w:val="00B4141F"/>
    <w:rsid w:val="00B415C4"/>
    <w:rsid w:val="00B41739"/>
    <w:rsid w:val="00B42039"/>
    <w:rsid w:val="00B4482A"/>
    <w:rsid w:val="00B4517F"/>
    <w:rsid w:val="00B462A7"/>
    <w:rsid w:val="00B47F08"/>
    <w:rsid w:val="00B50EB5"/>
    <w:rsid w:val="00B50ED1"/>
    <w:rsid w:val="00B5288E"/>
    <w:rsid w:val="00B52B39"/>
    <w:rsid w:val="00B530C5"/>
    <w:rsid w:val="00B53128"/>
    <w:rsid w:val="00B533E7"/>
    <w:rsid w:val="00B549E1"/>
    <w:rsid w:val="00B5502D"/>
    <w:rsid w:val="00B552E2"/>
    <w:rsid w:val="00B55775"/>
    <w:rsid w:val="00B56324"/>
    <w:rsid w:val="00B56356"/>
    <w:rsid w:val="00B56712"/>
    <w:rsid w:val="00B57238"/>
    <w:rsid w:val="00B57370"/>
    <w:rsid w:val="00B5773B"/>
    <w:rsid w:val="00B604D7"/>
    <w:rsid w:val="00B62B56"/>
    <w:rsid w:val="00B62C17"/>
    <w:rsid w:val="00B62E0C"/>
    <w:rsid w:val="00B62E5A"/>
    <w:rsid w:val="00B62FE2"/>
    <w:rsid w:val="00B6345B"/>
    <w:rsid w:val="00B64374"/>
    <w:rsid w:val="00B65145"/>
    <w:rsid w:val="00B652A2"/>
    <w:rsid w:val="00B65AEF"/>
    <w:rsid w:val="00B66212"/>
    <w:rsid w:val="00B670D2"/>
    <w:rsid w:val="00B67654"/>
    <w:rsid w:val="00B67882"/>
    <w:rsid w:val="00B700DC"/>
    <w:rsid w:val="00B7019A"/>
    <w:rsid w:val="00B7080C"/>
    <w:rsid w:val="00B710B7"/>
    <w:rsid w:val="00B71455"/>
    <w:rsid w:val="00B71A52"/>
    <w:rsid w:val="00B71BB8"/>
    <w:rsid w:val="00B7219D"/>
    <w:rsid w:val="00B72528"/>
    <w:rsid w:val="00B73132"/>
    <w:rsid w:val="00B74238"/>
    <w:rsid w:val="00B74430"/>
    <w:rsid w:val="00B7629C"/>
    <w:rsid w:val="00B76968"/>
    <w:rsid w:val="00B82C06"/>
    <w:rsid w:val="00B8309C"/>
    <w:rsid w:val="00B83F33"/>
    <w:rsid w:val="00B85953"/>
    <w:rsid w:val="00B85FFF"/>
    <w:rsid w:val="00B86200"/>
    <w:rsid w:val="00B876BB"/>
    <w:rsid w:val="00B9053A"/>
    <w:rsid w:val="00B90924"/>
    <w:rsid w:val="00B90A1C"/>
    <w:rsid w:val="00B910E9"/>
    <w:rsid w:val="00B92BE1"/>
    <w:rsid w:val="00B934AB"/>
    <w:rsid w:val="00B93B72"/>
    <w:rsid w:val="00B93C05"/>
    <w:rsid w:val="00B9438A"/>
    <w:rsid w:val="00B948AA"/>
    <w:rsid w:val="00B94B75"/>
    <w:rsid w:val="00B950EA"/>
    <w:rsid w:val="00B95553"/>
    <w:rsid w:val="00B95CA6"/>
    <w:rsid w:val="00B9680D"/>
    <w:rsid w:val="00B97093"/>
    <w:rsid w:val="00BA02EA"/>
    <w:rsid w:val="00BA03DD"/>
    <w:rsid w:val="00BA0490"/>
    <w:rsid w:val="00BA1484"/>
    <w:rsid w:val="00BA19BF"/>
    <w:rsid w:val="00BA19CA"/>
    <w:rsid w:val="00BA2BB8"/>
    <w:rsid w:val="00BA2FEF"/>
    <w:rsid w:val="00BA3232"/>
    <w:rsid w:val="00BA3CC7"/>
    <w:rsid w:val="00BA3D26"/>
    <w:rsid w:val="00BA3FE9"/>
    <w:rsid w:val="00BA40BC"/>
    <w:rsid w:val="00BA4CF8"/>
    <w:rsid w:val="00BA5492"/>
    <w:rsid w:val="00BA5E0B"/>
    <w:rsid w:val="00BA6528"/>
    <w:rsid w:val="00BA6F97"/>
    <w:rsid w:val="00BA70B8"/>
    <w:rsid w:val="00BA72AA"/>
    <w:rsid w:val="00BA7582"/>
    <w:rsid w:val="00BA7DC9"/>
    <w:rsid w:val="00BA7FDB"/>
    <w:rsid w:val="00BB018C"/>
    <w:rsid w:val="00BB1BEB"/>
    <w:rsid w:val="00BB266B"/>
    <w:rsid w:val="00BB2AA1"/>
    <w:rsid w:val="00BB2EE5"/>
    <w:rsid w:val="00BB3051"/>
    <w:rsid w:val="00BB35F4"/>
    <w:rsid w:val="00BB3934"/>
    <w:rsid w:val="00BB404C"/>
    <w:rsid w:val="00BB4743"/>
    <w:rsid w:val="00BB5581"/>
    <w:rsid w:val="00BB62E0"/>
    <w:rsid w:val="00BB68BF"/>
    <w:rsid w:val="00BB6ADC"/>
    <w:rsid w:val="00BB7206"/>
    <w:rsid w:val="00BB753B"/>
    <w:rsid w:val="00BC1EF8"/>
    <w:rsid w:val="00BC25F1"/>
    <w:rsid w:val="00BC26DB"/>
    <w:rsid w:val="00BC4777"/>
    <w:rsid w:val="00BC4BF0"/>
    <w:rsid w:val="00BC5066"/>
    <w:rsid w:val="00BC5267"/>
    <w:rsid w:val="00BC52B7"/>
    <w:rsid w:val="00BC54B0"/>
    <w:rsid w:val="00BC596E"/>
    <w:rsid w:val="00BC6023"/>
    <w:rsid w:val="00BC6155"/>
    <w:rsid w:val="00BC62BB"/>
    <w:rsid w:val="00BC7612"/>
    <w:rsid w:val="00BC7A89"/>
    <w:rsid w:val="00BD0084"/>
    <w:rsid w:val="00BD07DB"/>
    <w:rsid w:val="00BD0C38"/>
    <w:rsid w:val="00BD109C"/>
    <w:rsid w:val="00BD15D6"/>
    <w:rsid w:val="00BD2272"/>
    <w:rsid w:val="00BD3D98"/>
    <w:rsid w:val="00BD4026"/>
    <w:rsid w:val="00BD46FA"/>
    <w:rsid w:val="00BD4728"/>
    <w:rsid w:val="00BD5108"/>
    <w:rsid w:val="00BD544A"/>
    <w:rsid w:val="00BD5A6E"/>
    <w:rsid w:val="00BD661A"/>
    <w:rsid w:val="00BD724A"/>
    <w:rsid w:val="00BD778B"/>
    <w:rsid w:val="00BD7B38"/>
    <w:rsid w:val="00BE0D85"/>
    <w:rsid w:val="00BE111F"/>
    <w:rsid w:val="00BE2407"/>
    <w:rsid w:val="00BE26DC"/>
    <w:rsid w:val="00BE3033"/>
    <w:rsid w:val="00BE37CC"/>
    <w:rsid w:val="00BE3F38"/>
    <w:rsid w:val="00BE586D"/>
    <w:rsid w:val="00BE5917"/>
    <w:rsid w:val="00BE68A5"/>
    <w:rsid w:val="00BE7A77"/>
    <w:rsid w:val="00BE7EE7"/>
    <w:rsid w:val="00BF19C3"/>
    <w:rsid w:val="00BF1E4C"/>
    <w:rsid w:val="00BF24CB"/>
    <w:rsid w:val="00BF36A4"/>
    <w:rsid w:val="00BF405F"/>
    <w:rsid w:val="00BF4A0C"/>
    <w:rsid w:val="00BF5438"/>
    <w:rsid w:val="00BF5AB9"/>
    <w:rsid w:val="00BF5D00"/>
    <w:rsid w:val="00BF6339"/>
    <w:rsid w:val="00BF6699"/>
    <w:rsid w:val="00BF6FFD"/>
    <w:rsid w:val="00BF7078"/>
    <w:rsid w:val="00BF78B4"/>
    <w:rsid w:val="00BF7A2A"/>
    <w:rsid w:val="00BF7BC7"/>
    <w:rsid w:val="00C00140"/>
    <w:rsid w:val="00C008EE"/>
    <w:rsid w:val="00C01962"/>
    <w:rsid w:val="00C01FAF"/>
    <w:rsid w:val="00C021D8"/>
    <w:rsid w:val="00C02C2C"/>
    <w:rsid w:val="00C02E1F"/>
    <w:rsid w:val="00C02F0B"/>
    <w:rsid w:val="00C0372F"/>
    <w:rsid w:val="00C039C6"/>
    <w:rsid w:val="00C03EDE"/>
    <w:rsid w:val="00C0441E"/>
    <w:rsid w:val="00C0498A"/>
    <w:rsid w:val="00C05E20"/>
    <w:rsid w:val="00C068AD"/>
    <w:rsid w:val="00C0707B"/>
    <w:rsid w:val="00C07923"/>
    <w:rsid w:val="00C079D4"/>
    <w:rsid w:val="00C07D51"/>
    <w:rsid w:val="00C10666"/>
    <w:rsid w:val="00C11DF4"/>
    <w:rsid w:val="00C11EC4"/>
    <w:rsid w:val="00C1220E"/>
    <w:rsid w:val="00C12A7A"/>
    <w:rsid w:val="00C13EB0"/>
    <w:rsid w:val="00C1444D"/>
    <w:rsid w:val="00C15009"/>
    <w:rsid w:val="00C15103"/>
    <w:rsid w:val="00C15AFB"/>
    <w:rsid w:val="00C15CA0"/>
    <w:rsid w:val="00C15D65"/>
    <w:rsid w:val="00C176A0"/>
    <w:rsid w:val="00C17EF6"/>
    <w:rsid w:val="00C20031"/>
    <w:rsid w:val="00C20189"/>
    <w:rsid w:val="00C207AE"/>
    <w:rsid w:val="00C20F8F"/>
    <w:rsid w:val="00C22210"/>
    <w:rsid w:val="00C222F3"/>
    <w:rsid w:val="00C22881"/>
    <w:rsid w:val="00C22CDC"/>
    <w:rsid w:val="00C23BF4"/>
    <w:rsid w:val="00C23F8C"/>
    <w:rsid w:val="00C24DB5"/>
    <w:rsid w:val="00C25AE2"/>
    <w:rsid w:val="00C2636C"/>
    <w:rsid w:val="00C265F7"/>
    <w:rsid w:val="00C2687D"/>
    <w:rsid w:val="00C271F3"/>
    <w:rsid w:val="00C27641"/>
    <w:rsid w:val="00C27B27"/>
    <w:rsid w:val="00C314C8"/>
    <w:rsid w:val="00C31DFD"/>
    <w:rsid w:val="00C32822"/>
    <w:rsid w:val="00C32ACE"/>
    <w:rsid w:val="00C32D38"/>
    <w:rsid w:val="00C32FEE"/>
    <w:rsid w:val="00C33583"/>
    <w:rsid w:val="00C33905"/>
    <w:rsid w:val="00C34500"/>
    <w:rsid w:val="00C35787"/>
    <w:rsid w:val="00C35C2A"/>
    <w:rsid w:val="00C36CEC"/>
    <w:rsid w:val="00C379C1"/>
    <w:rsid w:val="00C40049"/>
    <w:rsid w:val="00C40DE4"/>
    <w:rsid w:val="00C40E79"/>
    <w:rsid w:val="00C40E87"/>
    <w:rsid w:val="00C41409"/>
    <w:rsid w:val="00C41505"/>
    <w:rsid w:val="00C42178"/>
    <w:rsid w:val="00C42B10"/>
    <w:rsid w:val="00C42F50"/>
    <w:rsid w:val="00C43B1E"/>
    <w:rsid w:val="00C43E77"/>
    <w:rsid w:val="00C4520E"/>
    <w:rsid w:val="00C47216"/>
    <w:rsid w:val="00C472FC"/>
    <w:rsid w:val="00C478C4"/>
    <w:rsid w:val="00C47A38"/>
    <w:rsid w:val="00C50657"/>
    <w:rsid w:val="00C50B49"/>
    <w:rsid w:val="00C5194B"/>
    <w:rsid w:val="00C5207D"/>
    <w:rsid w:val="00C525C0"/>
    <w:rsid w:val="00C528DA"/>
    <w:rsid w:val="00C53E9A"/>
    <w:rsid w:val="00C543B0"/>
    <w:rsid w:val="00C55A9F"/>
    <w:rsid w:val="00C55CC6"/>
    <w:rsid w:val="00C565F8"/>
    <w:rsid w:val="00C56C13"/>
    <w:rsid w:val="00C56CCA"/>
    <w:rsid w:val="00C5723D"/>
    <w:rsid w:val="00C57A3B"/>
    <w:rsid w:val="00C57B7E"/>
    <w:rsid w:val="00C607AF"/>
    <w:rsid w:val="00C607E8"/>
    <w:rsid w:val="00C608CA"/>
    <w:rsid w:val="00C60B14"/>
    <w:rsid w:val="00C60D56"/>
    <w:rsid w:val="00C614F1"/>
    <w:rsid w:val="00C619B5"/>
    <w:rsid w:val="00C625A6"/>
    <w:rsid w:val="00C6457B"/>
    <w:rsid w:val="00C64AD7"/>
    <w:rsid w:val="00C64B7B"/>
    <w:rsid w:val="00C64C85"/>
    <w:rsid w:val="00C64CA5"/>
    <w:rsid w:val="00C66627"/>
    <w:rsid w:val="00C6680A"/>
    <w:rsid w:val="00C6798B"/>
    <w:rsid w:val="00C67D3E"/>
    <w:rsid w:val="00C7064E"/>
    <w:rsid w:val="00C70AB5"/>
    <w:rsid w:val="00C70EC9"/>
    <w:rsid w:val="00C70FF4"/>
    <w:rsid w:val="00C720B4"/>
    <w:rsid w:val="00C7255D"/>
    <w:rsid w:val="00C72659"/>
    <w:rsid w:val="00C72A8E"/>
    <w:rsid w:val="00C7330E"/>
    <w:rsid w:val="00C737FD"/>
    <w:rsid w:val="00C74BF8"/>
    <w:rsid w:val="00C75D08"/>
    <w:rsid w:val="00C76720"/>
    <w:rsid w:val="00C7672B"/>
    <w:rsid w:val="00C76B84"/>
    <w:rsid w:val="00C76C2D"/>
    <w:rsid w:val="00C77B79"/>
    <w:rsid w:val="00C809BF"/>
    <w:rsid w:val="00C809F6"/>
    <w:rsid w:val="00C80E3F"/>
    <w:rsid w:val="00C810E9"/>
    <w:rsid w:val="00C816E8"/>
    <w:rsid w:val="00C81FBA"/>
    <w:rsid w:val="00C82AFD"/>
    <w:rsid w:val="00C835B9"/>
    <w:rsid w:val="00C8387D"/>
    <w:rsid w:val="00C844BE"/>
    <w:rsid w:val="00C8473F"/>
    <w:rsid w:val="00C84A8C"/>
    <w:rsid w:val="00C84B30"/>
    <w:rsid w:val="00C85987"/>
    <w:rsid w:val="00C85AAD"/>
    <w:rsid w:val="00C85FE0"/>
    <w:rsid w:val="00C86580"/>
    <w:rsid w:val="00C8669F"/>
    <w:rsid w:val="00C8673C"/>
    <w:rsid w:val="00C87419"/>
    <w:rsid w:val="00C875BC"/>
    <w:rsid w:val="00C907ED"/>
    <w:rsid w:val="00C9092C"/>
    <w:rsid w:val="00C918C0"/>
    <w:rsid w:val="00C91ACA"/>
    <w:rsid w:val="00C91EDF"/>
    <w:rsid w:val="00C932FC"/>
    <w:rsid w:val="00C93500"/>
    <w:rsid w:val="00C93648"/>
    <w:rsid w:val="00C93788"/>
    <w:rsid w:val="00C93DD5"/>
    <w:rsid w:val="00C940FD"/>
    <w:rsid w:val="00C9448E"/>
    <w:rsid w:val="00C945C9"/>
    <w:rsid w:val="00C949B8"/>
    <w:rsid w:val="00C94B35"/>
    <w:rsid w:val="00C94D37"/>
    <w:rsid w:val="00C94F86"/>
    <w:rsid w:val="00C95D17"/>
    <w:rsid w:val="00C976FF"/>
    <w:rsid w:val="00C97D4F"/>
    <w:rsid w:val="00CA0FBA"/>
    <w:rsid w:val="00CA10DA"/>
    <w:rsid w:val="00CA1A93"/>
    <w:rsid w:val="00CA1D90"/>
    <w:rsid w:val="00CA1E59"/>
    <w:rsid w:val="00CA2293"/>
    <w:rsid w:val="00CA25A2"/>
    <w:rsid w:val="00CA30BB"/>
    <w:rsid w:val="00CA35F7"/>
    <w:rsid w:val="00CA3FB7"/>
    <w:rsid w:val="00CA595D"/>
    <w:rsid w:val="00CA63F7"/>
    <w:rsid w:val="00CA65F3"/>
    <w:rsid w:val="00CA6ED9"/>
    <w:rsid w:val="00CA6FD5"/>
    <w:rsid w:val="00CA7528"/>
    <w:rsid w:val="00CA7718"/>
    <w:rsid w:val="00CB12B6"/>
    <w:rsid w:val="00CB13ED"/>
    <w:rsid w:val="00CB172D"/>
    <w:rsid w:val="00CB1BD8"/>
    <w:rsid w:val="00CB1E16"/>
    <w:rsid w:val="00CB2BE3"/>
    <w:rsid w:val="00CB380E"/>
    <w:rsid w:val="00CB3A1F"/>
    <w:rsid w:val="00CB4A5D"/>
    <w:rsid w:val="00CB517F"/>
    <w:rsid w:val="00CB5BDE"/>
    <w:rsid w:val="00CB6265"/>
    <w:rsid w:val="00CB63FF"/>
    <w:rsid w:val="00CB6C39"/>
    <w:rsid w:val="00CB70A5"/>
    <w:rsid w:val="00CB72BB"/>
    <w:rsid w:val="00CB758C"/>
    <w:rsid w:val="00CB7BE8"/>
    <w:rsid w:val="00CC0F2C"/>
    <w:rsid w:val="00CC120E"/>
    <w:rsid w:val="00CC362B"/>
    <w:rsid w:val="00CC371D"/>
    <w:rsid w:val="00CC39F1"/>
    <w:rsid w:val="00CC3F5A"/>
    <w:rsid w:val="00CC43DB"/>
    <w:rsid w:val="00CC4D5C"/>
    <w:rsid w:val="00CC4F32"/>
    <w:rsid w:val="00CC4F7E"/>
    <w:rsid w:val="00CC53C9"/>
    <w:rsid w:val="00CC5E86"/>
    <w:rsid w:val="00CC69D7"/>
    <w:rsid w:val="00CC6A83"/>
    <w:rsid w:val="00CC7A2A"/>
    <w:rsid w:val="00CC7D69"/>
    <w:rsid w:val="00CD013A"/>
    <w:rsid w:val="00CD13DE"/>
    <w:rsid w:val="00CD1C61"/>
    <w:rsid w:val="00CD2679"/>
    <w:rsid w:val="00CD2681"/>
    <w:rsid w:val="00CD3FB4"/>
    <w:rsid w:val="00CD4C7A"/>
    <w:rsid w:val="00CD4F2D"/>
    <w:rsid w:val="00CD5603"/>
    <w:rsid w:val="00CD6250"/>
    <w:rsid w:val="00CD6AE9"/>
    <w:rsid w:val="00CD6C3D"/>
    <w:rsid w:val="00CD74FF"/>
    <w:rsid w:val="00CD7520"/>
    <w:rsid w:val="00CD7973"/>
    <w:rsid w:val="00CD7E47"/>
    <w:rsid w:val="00CE106A"/>
    <w:rsid w:val="00CE127A"/>
    <w:rsid w:val="00CE1971"/>
    <w:rsid w:val="00CE232E"/>
    <w:rsid w:val="00CE3414"/>
    <w:rsid w:val="00CE3C9B"/>
    <w:rsid w:val="00CE4EEA"/>
    <w:rsid w:val="00CE6C53"/>
    <w:rsid w:val="00CE72A5"/>
    <w:rsid w:val="00CE73AF"/>
    <w:rsid w:val="00CE7831"/>
    <w:rsid w:val="00CE79EE"/>
    <w:rsid w:val="00CF0300"/>
    <w:rsid w:val="00CF0387"/>
    <w:rsid w:val="00CF06B0"/>
    <w:rsid w:val="00CF0938"/>
    <w:rsid w:val="00CF1D30"/>
    <w:rsid w:val="00CF222B"/>
    <w:rsid w:val="00CF26AF"/>
    <w:rsid w:val="00CF36F7"/>
    <w:rsid w:val="00CF3711"/>
    <w:rsid w:val="00CF3ABF"/>
    <w:rsid w:val="00CF4069"/>
    <w:rsid w:val="00CF43E8"/>
    <w:rsid w:val="00CF4B6C"/>
    <w:rsid w:val="00CF5885"/>
    <w:rsid w:val="00CF5D93"/>
    <w:rsid w:val="00CF716A"/>
    <w:rsid w:val="00CF7795"/>
    <w:rsid w:val="00CF78C2"/>
    <w:rsid w:val="00CF7D6C"/>
    <w:rsid w:val="00D00A0F"/>
    <w:rsid w:val="00D00BFD"/>
    <w:rsid w:val="00D011FE"/>
    <w:rsid w:val="00D02206"/>
    <w:rsid w:val="00D02FAC"/>
    <w:rsid w:val="00D03868"/>
    <w:rsid w:val="00D046A5"/>
    <w:rsid w:val="00D04786"/>
    <w:rsid w:val="00D053A6"/>
    <w:rsid w:val="00D056BE"/>
    <w:rsid w:val="00D05E7A"/>
    <w:rsid w:val="00D069BF"/>
    <w:rsid w:val="00D06A17"/>
    <w:rsid w:val="00D06C89"/>
    <w:rsid w:val="00D0759C"/>
    <w:rsid w:val="00D07869"/>
    <w:rsid w:val="00D07CA1"/>
    <w:rsid w:val="00D10445"/>
    <w:rsid w:val="00D10F06"/>
    <w:rsid w:val="00D111D2"/>
    <w:rsid w:val="00D1145B"/>
    <w:rsid w:val="00D12E72"/>
    <w:rsid w:val="00D13807"/>
    <w:rsid w:val="00D13C3A"/>
    <w:rsid w:val="00D14694"/>
    <w:rsid w:val="00D14BDF"/>
    <w:rsid w:val="00D15055"/>
    <w:rsid w:val="00D15074"/>
    <w:rsid w:val="00D15BAE"/>
    <w:rsid w:val="00D15FF6"/>
    <w:rsid w:val="00D16BC3"/>
    <w:rsid w:val="00D1722C"/>
    <w:rsid w:val="00D1727B"/>
    <w:rsid w:val="00D174C7"/>
    <w:rsid w:val="00D20608"/>
    <w:rsid w:val="00D21435"/>
    <w:rsid w:val="00D21A56"/>
    <w:rsid w:val="00D22313"/>
    <w:rsid w:val="00D229E2"/>
    <w:rsid w:val="00D2371F"/>
    <w:rsid w:val="00D23ADC"/>
    <w:rsid w:val="00D23EF3"/>
    <w:rsid w:val="00D246B4"/>
    <w:rsid w:val="00D2543D"/>
    <w:rsid w:val="00D25479"/>
    <w:rsid w:val="00D25A9D"/>
    <w:rsid w:val="00D25E33"/>
    <w:rsid w:val="00D25E66"/>
    <w:rsid w:val="00D26159"/>
    <w:rsid w:val="00D26770"/>
    <w:rsid w:val="00D26899"/>
    <w:rsid w:val="00D27A55"/>
    <w:rsid w:val="00D30B04"/>
    <w:rsid w:val="00D30FB7"/>
    <w:rsid w:val="00D31631"/>
    <w:rsid w:val="00D31BAA"/>
    <w:rsid w:val="00D31C76"/>
    <w:rsid w:val="00D329A0"/>
    <w:rsid w:val="00D33164"/>
    <w:rsid w:val="00D33237"/>
    <w:rsid w:val="00D3364E"/>
    <w:rsid w:val="00D339E6"/>
    <w:rsid w:val="00D33F89"/>
    <w:rsid w:val="00D34967"/>
    <w:rsid w:val="00D34FFF"/>
    <w:rsid w:val="00D3548E"/>
    <w:rsid w:val="00D35B1F"/>
    <w:rsid w:val="00D362AC"/>
    <w:rsid w:val="00D369EE"/>
    <w:rsid w:val="00D37324"/>
    <w:rsid w:val="00D377B8"/>
    <w:rsid w:val="00D37D12"/>
    <w:rsid w:val="00D37E95"/>
    <w:rsid w:val="00D37F20"/>
    <w:rsid w:val="00D40C3C"/>
    <w:rsid w:val="00D4121A"/>
    <w:rsid w:val="00D412E0"/>
    <w:rsid w:val="00D418B5"/>
    <w:rsid w:val="00D42B37"/>
    <w:rsid w:val="00D42E56"/>
    <w:rsid w:val="00D43D44"/>
    <w:rsid w:val="00D44765"/>
    <w:rsid w:val="00D44845"/>
    <w:rsid w:val="00D449AE"/>
    <w:rsid w:val="00D44F20"/>
    <w:rsid w:val="00D45879"/>
    <w:rsid w:val="00D460F8"/>
    <w:rsid w:val="00D461F8"/>
    <w:rsid w:val="00D47146"/>
    <w:rsid w:val="00D47A8D"/>
    <w:rsid w:val="00D47BC2"/>
    <w:rsid w:val="00D5145E"/>
    <w:rsid w:val="00D5195F"/>
    <w:rsid w:val="00D51AB4"/>
    <w:rsid w:val="00D5244B"/>
    <w:rsid w:val="00D52E6E"/>
    <w:rsid w:val="00D5308A"/>
    <w:rsid w:val="00D53526"/>
    <w:rsid w:val="00D538A6"/>
    <w:rsid w:val="00D53FCA"/>
    <w:rsid w:val="00D5453D"/>
    <w:rsid w:val="00D5472E"/>
    <w:rsid w:val="00D548F1"/>
    <w:rsid w:val="00D55180"/>
    <w:rsid w:val="00D5544C"/>
    <w:rsid w:val="00D55A9E"/>
    <w:rsid w:val="00D55E08"/>
    <w:rsid w:val="00D56DE2"/>
    <w:rsid w:val="00D57EF3"/>
    <w:rsid w:val="00D6024F"/>
    <w:rsid w:val="00D6103D"/>
    <w:rsid w:val="00D629AB"/>
    <w:rsid w:val="00D633A4"/>
    <w:rsid w:val="00D63F77"/>
    <w:rsid w:val="00D6425F"/>
    <w:rsid w:val="00D6444E"/>
    <w:rsid w:val="00D64D60"/>
    <w:rsid w:val="00D652D9"/>
    <w:rsid w:val="00D6575D"/>
    <w:rsid w:val="00D65947"/>
    <w:rsid w:val="00D65EB6"/>
    <w:rsid w:val="00D66722"/>
    <w:rsid w:val="00D67AA0"/>
    <w:rsid w:val="00D70391"/>
    <w:rsid w:val="00D703F0"/>
    <w:rsid w:val="00D7219B"/>
    <w:rsid w:val="00D7229B"/>
    <w:rsid w:val="00D7316E"/>
    <w:rsid w:val="00D7384B"/>
    <w:rsid w:val="00D74379"/>
    <w:rsid w:val="00D743BE"/>
    <w:rsid w:val="00D74A9E"/>
    <w:rsid w:val="00D752BB"/>
    <w:rsid w:val="00D758CC"/>
    <w:rsid w:val="00D764B2"/>
    <w:rsid w:val="00D77D20"/>
    <w:rsid w:val="00D80F51"/>
    <w:rsid w:val="00D81747"/>
    <w:rsid w:val="00D81E0F"/>
    <w:rsid w:val="00D82022"/>
    <w:rsid w:val="00D821CB"/>
    <w:rsid w:val="00D82D02"/>
    <w:rsid w:val="00D83395"/>
    <w:rsid w:val="00D8404F"/>
    <w:rsid w:val="00D8457E"/>
    <w:rsid w:val="00D856C2"/>
    <w:rsid w:val="00D85D09"/>
    <w:rsid w:val="00D86855"/>
    <w:rsid w:val="00D905FC"/>
    <w:rsid w:val="00D92336"/>
    <w:rsid w:val="00D92B30"/>
    <w:rsid w:val="00D92ED4"/>
    <w:rsid w:val="00D93706"/>
    <w:rsid w:val="00D93F9A"/>
    <w:rsid w:val="00D94393"/>
    <w:rsid w:val="00D945A3"/>
    <w:rsid w:val="00D94A3E"/>
    <w:rsid w:val="00D94FE0"/>
    <w:rsid w:val="00D955DB"/>
    <w:rsid w:val="00D961FE"/>
    <w:rsid w:val="00D96266"/>
    <w:rsid w:val="00D96E90"/>
    <w:rsid w:val="00D96EB3"/>
    <w:rsid w:val="00D9737F"/>
    <w:rsid w:val="00D97A31"/>
    <w:rsid w:val="00D97B9E"/>
    <w:rsid w:val="00DA1C8C"/>
    <w:rsid w:val="00DA22BD"/>
    <w:rsid w:val="00DA2743"/>
    <w:rsid w:val="00DA2C40"/>
    <w:rsid w:val="00DA30F7"/>
    <w:rsid w:val="00DA3B3F"/>
    <w:rsid w:val="00DA3CF2"/>
    <w:rsid w:val="00DA43D3"/>
    <w:rsid w:val="00DA5050"/>
    <w:rsid w:val="00DA51B6"/>
    <w:rsid w:val="00DA5640"/>
    <w:rsid w:val="00DA57AF"/>
    <w:rsid w:val="00DA5D47"/>
    <w:rsid w:val="00DA7F13"/>
    <w:rsid w:val="00DB145D"/>
    <w:rsid w:val="00DB1D8B"/>
    <w:rsid w:val="00DB1F07"/>
    <w:rsid w:val="00DB3B9A"/>
    <w:rsid w:val="00DB4C01"/>
    <w:rsid w:val="00DB4C80"/>
    <w:rsid w:val="00DB5C96"/>
    <w:rsid w:val="00DB5D9D"/>
    <w:rsid w:val="00DB5E59"/>
    <w:rsid w:val="00DB64D4"/>
    <w:rsid w:val="00DB65BF"/>
    <w:rsid w:val="00DB66C5"/>
    <w:rsid w:val="00DB6F51"/>
    <w:rsid w:val="00DB772B"/>
    <w:rsid w:val="00DB7B6B"/>
    <w:rsid w:val="00DB7D99"/>
    <w:rsid w:val="00DB7DD4"/>
    <w:rsid w:val="00DC07D8"/>
    <w:rsid w:val="00DC0AEB"/>
    <w:rsid w:val="00DC0EEA"/>
    <w:rsid w:val="00DC0F91"/>
    <w:rsid w:val="00DC19A2"/>
    <w:rsid w:val="00DC1FAD"/>
    <w:rsid w:val="00DC2097"/>
    <w:rsid w:val="00DC282E"/>
    <w:rsid w:val="00DC3C0C"/>
    <w:rsid w:val="00DC3CAF"/>
    <w:rsid w:val="00DC40E1"/>
    <w:rsid w:val="00DC55CA"/>
    <w:rsid w:val="00DC5CE8"/>
    <w:rsid w:val="00DC63D9"/>
    <w:rsid w:val="00DC7C60"/>
    <w:rsid w:val="00DC7E08"/>
    <w:rsid w:val="00DD0955"/>
    <w:rsid w:val="00DD0CF1"/>
    <w:rsid w:val="00DD0EB7"/>
    <w:rsid w:val="00DD3429"/>
    <w:rsid w:val="00DD3998"/>
    <w:rsid w:val="00DD3F2D"/>
    <w:rsid w:val="00DD5339"/>
    <w:rsid w:val="00DD5629"/>
    <w:rsid w:val="00DD5998"/>
    <w:rsid w:val="00DD5F09"/>
    <w:rsid w:val="00DD62C3"/>
    <w:rsid w:val="00DD66A6"/>
    <w:rsid w:val="00DD6B2F"/>
    <w:rsid w:val="00DD7098"/>
    <w:rsid w:val="00DE0188"/>
    <w:rsid w:val="00DE05C7"/>
    <w:rsid w:val="00DE068D"/>
    <w:rsid w:val="00DE09D6"/>
    <w:rsid w:val="00DE1E86"/>
    <w:rsid w:val="00DE266E"/>
    <w:rsid w:val="00DE277A"/>
    <w:rsid w:val="00DE27EC"/>
    <w:rsid w:val="00DE2BF5"/>
    <w:rsid w:val="00DE3353"/>
    <w:rsid w:val="00DE44AA"/>
    <w:rsid w:val="00DE4829"/>
    <w:rsid w:val="00DE61C6"/>
    <w:rsid w:val="00DE61EB"/>
    <w:rsid w:val="00DE6300"/>
    <w:rsid w:val="00DE63F6"/>
    <w:rsid w:val="00DE6EF8"/>
    <w:rsid w:val="00DE6F10"/>
    <w:rsid w:val="00DF0043"/>
    <w:rsid w:val="00DF0835"/>
    <w:rsid w:val="00DF12F8"/>
    <w:rsid w:val="00DF1346"/>
    <w:rsid w:val="00DF14E9"/>
    <w:rsid w:val="00DF203D"/>
    <w:rsid w:val="00DF2399"/>
    <w:rsid w:val="00DF29ED"/>
    <w:rsid w:val="00DF3162"/>
    <w:rsid w:val="00DF3490"/>
    <w:rsid w:val="00DF36ED"/>
    <w:rsid w:val="00DF4DB9"/>
    <w:rsid w:val="00DF61EC"/>
    <w:rsid w:val="00DF6DDB"/>
    <w:rsid w:val="00DF7306"/>
    <w:rsid w:val="00DF7387"/>
    <w:rsid w:val="00DF795C"/>
    <w:rsid w:val="00E0051F"/>
    <w:rsid w:val="00E00C3E"/>
    <w:rsid w:val="00E00E66"/>
    <w:rsid w:val="00E00E9E"/>
    <w:rsid w:val="00E00F4C"/>
    <w:rsid w:val="00E032A9"/>
    <w:rsid w:val="00E03E62"/>
    <w:rsid w:val="00E0421F"/>
    <w:rsid w:val="00E0439F"/>
    <w:rsid w:val="00E060B3"/>
    <w:rsid w:val="00E060C2"/>
    <w:rsid w:val="00E063D9"/>
    <w:rsid w:val="00E06932"/>
    <w:rsid w:val="00E10716"/>
    <w:rsid w:val="00E10751"/>
    <w:rsid w:val="00E1086E"/>
    <w:rsid w:val="00E11060"/>
    <w:rsid w:val="00E11A2C"/>
    <w:rsid w:val="00E11A38"/>
    <w:rsid w:val="00E11F66"/>
    <w:rsid w:val="00E12132"/>
    <w:rsid w:val="00E12575"/>
    <w:rsid w:val="00E129D2"/>
    <w:rsid w:val="00E132B8"/>
    <w:rsid w:val="00E13AF2"/>
    <w:rsid w:val="00E14800"/>
    <w:rsid w:val="00E14C28"/>
    <w:rsid w:val="00E152F7"/>
    <w:rsid w:val="00E15C8E"/>
    <w:rsid w:val="00E15D8C"/>
    <w:rsid w:val="00E1686D"/>
    <w:rsid w:val="00E169C2"/>
    <w:rsid w:val="00E16E20"/>
    <w:rsid w:val="00E20014"/>
    <w:rsid w:val="00E20758"/>
    <w:rsid w:val="00E208FC"/>
    <w:rsid w:val="00E20938"/>
    <w:rsid w:val="00E213A6"/>
    <w:rsid w:val="00E214F6"/>
    <w:rsid w:val="00E21FC5"/>
    <w:rsid w:val="00E230AC"/>
    <w:rsid w:val="00E233EC"/>
    <w:rsid w:val="00E23D6E"/>
    <w:rsid w:val="00E23E09"/>
    <w:rsid w:val="00E23E79"/>
    <w:rsid w:val="00E24744"/>
    <w:rsid w:val="00E24D4F"/>
    <w:rsid w:val="00E24EC2"/>
    <w:rsid w:val="00E25644"/>
    <w:rsid w:val="00E259D8"/>
    <w:rsid w:val="00E25C24"/>
    <w:rsid w:val="00E26072"/>
    <w:rsid w:val="00E2620B"/>
    <w:rsid w:val="00E26306"/>
    <w:rsid w:val="00E26869"/>
    <w:rsid w:val="00E27309"/>
    <w:rsid w:val="00E277E1"/>
    <w:rsid w:val="00E3044C"/>
    <w:rsid w:val="00E30658"/>
    <w:rsid w:val="00E30884"/>
    <w:rsid w:val="00E31D9B"/>
    <w:rsid w:val="00E31F3A"/>
    <w:rsid w:val="00E33FB8"/>
    <w:rsid w:val="00E341D8"/>
    <w:rsid w:val="00E341F8"/>
    <w:rsid w:val="00E35BB5"/>
    <w:rsid w:val="00E35D69"/>
    <w:rsid w:val="00E3691F"/>
    <w:rsid w:val="00E36D5E"/>
    <w:rsid w:val="00E37007"/>
    <w:rsid w:val="00E37743"/>
    <w:rsid w:val="00E40AD2"/>
    <w:rsid w:val="00E412B3"/>
    <w:rsid w:val="00E41F04"/>
    <w:rsid w:val="00E42918"/>
    <w:rsid w:val="00E429AF"/>
    <w:rsid w:val="00E42ACC"/>
    <w:rsid w:val="00E42F1C"/>
    <w:rsid w:val="00E434FD"/>
    <w:rsid w:val="00E436C8"/>
    <w:rsid w:val="00E441C3"/>
    <w:rsid w:val="00E45AE9"/>
    <w:rsid w:val="00E45B0A"/>
    <w:rsid w:val="00E46FD7"/>
    <w:rsid w:val="00E47CE2"/>
    <w:rsid w:val="00E508B1"/>
    <w:rsid w:val="00E509F3"/>
    <w:rsid w:val="00E52720"/>
    <w:rsid w:val="00E53842"/>
    <w:rsid w:val="00E53980"/>
    <w:rsid w:val="00E548FB"/>
    <w:rsid w:val="00E550E6"/>
    <w:rsid w:val="00E55412"/>
    <w:rsid w:val="00E556E5"/>
    <w:rsid w:val="00E55CA8"/>
    <w:rsid w:val="00E5642F"/>
    <w:rsid w:val="00E56561"/>
    <w:rsid w:val="00E566FE"/>
    <w:rsid w:val="00E56CD5"/>
    <w:rsid w:val="00E56D6C"/>
    <w:rsid w:val="00E56E43"/>
    <w:rsid w:val="00E57439"/>
    <w:rsid w:val="00E57B86"/>
    <w:rsid w:val="00E61231"/>
    <w:rsid w:val="00E62288"/>
    <w:rsid w:val="00E62CD1"/>
    <w:rsid w:val="00E63253"/>
    <w:rsid w:val="00E64F47"/>
    <w:rsid w:val="00E65FEF"/>
    <w:rsid w:val="00E662AF"/>
    <w:rsid w:val="00E6657B"/>
    <w:rsid w:val="00E66827"/>
    <w:rsid w:val="00E6732F"/>
    <w:rsid w:val="00E674CB"/>
    <w:rsid w:val="00E67755"/>
    <w:rsid w:val="00E67FE0"/>
    <w:rsid w:val="00E70388"/>
    <w:rsid w:val="00E70902"/>
    <w:rsid w:val="00E70C11"/>
    <w:rsid w:val="00E70E8F"/>
    <w:rsid w:val="00E71B6B"/>
    <w:rsid w:val="00E721EA"/>
    <w:rsid w:val="00E7254D"/>
    <w:rsid w:val="00E72E99"/>
    <w:rsid w:val="00E72EB7"/>
    <w:rsid w:val="00E74629"/>
    <w:rsid w:val="00E75580"/>
    <w:rsid w:val="00E755EF"/>
    <w:rsid w:val="00E75655"/>
    <w:rsid w:val="00E7595B"/>
    <w:rsid w:val="00E75BF6"/>
    <w:rsid w:val="00E75D1C"/>
    <w:rsid w:val="00E75FDE"/>
    <w:rsid w:val="00E763E9"/>
    <w:rsid w:val="00E76AAF"/>
    <w:rsid w:val="00E77269"/>
    <w:rsid w:val="00E777C3"/>
    <w:rsid w:val="00E80099"/>
    <w:rsid w:val="00E80152"/>
    <w:rsid w:val="00E80DCC"/>
    <w:rsid w:val="00E814F5"/>
    <w:rsid w:val="00E8191C"/>
    <w:rsid w:val="00E823A0"/>
    <w:rsid w:val="00E82871"/>
    <w:rsid w:val="00E82911"/>
    <w:rsid w:val="00E829FC"/>
    <w:rsid w:val="00E82A1A"/>
    <w:rsid w:val="00E82D13"/>
    <w:rsid w:val="00E83B71"/>
    <w:rsid w:val="00E84662"/>
    <w:rsid w:val="00E85152"/>
    <w:rsid w:val="00E854AE"/>
    <w:rsid w:val="00E860E1"/>
    <w:rsid w:val="00E86C55"/>
    <w:rsid w:val="00E87468"/>
    <w:rsid w:val="00E8774C"/>
    <w:rsid w:val="00E87AE3"/>
    <w:rsid w:val="00E87E3E"/>
    <w:rsid w:val="00E90261"/>
    <w:rsid w:val="00E90B57"/>
    <w:rsid w:val="00E90EE9"/>
    <w:rsid w:val="00E917A6"/>
    <w:rsid w:val="00E92057"/>
    <w:rsid w:val="00E9212A"/>
    <w:rsid w:val="00E92392"/>
    <w:rsid w:val="00E92F18"/>
    <w:rsid w:val="00E93665"/>
    <w:rsid w:val="00E94B1D"/>
    <w:rsid w:val="00E951DF"/>
    <w:rsid w:val="00E95C06"/>
    <w:rsid w:val="00E95C8F"/>
    <w:rsid w:val="00E96025"/>
    <w:rsid w:val="00E961CE"/>
    <w:rsid w:val="00E9671F"/>
    <w:rsid w:val="00E9734D"/>
    <w:rsid w:val="00EA16B1"/>
    <w:rsid w:val="00EA25DC"/>
    <w:rsid w:val="00EA2765"/>
    <w:rsid w:val="00EA336E"/>
    <w:rsid w:val="00EA3811"/>
    <w:rsid w:val="00EA3B7E"/>
    <w:rsid w:val="00EA3B9B"/>
    <w:rsid w:val="00EA4A74"/>
    <w:rsid w:val="00EA4C65"/>
    <w:rsid w:val="00EA5762"/>
    <w:rsid w:val="00EA5921"/>
    <w:rsid w:val="00EA5BA8"/>
    <w:rsid w:val="00EA5FBD"/>
    <w:rsid w:val="00EA6002"/>
    <w:rsid w:val="00EA66F7"/>
    <w:rsid w:val="00EA7140"/>
    <w:rsid w:val="00EA7886"/>
    <w:rsid w:val="00EA7A4C"/>
    <w:rsid w:val="00EB0EFA"/>
    <w:rsid w:val="00EB1B78"/>
    <w:rsid w:val="00EB227E"/>
    <w:rsid w:val="00EB2839"/>
    <w:rsid w:val="00EB2852"/>
    <w:rsid w:val="00EB2C4A"/>
    <w:rsid w:val="00EB31FA"/>
    <w:rsid w:val="00EB37D1"/>
    <w:rsid w:val="00EB488E"/>
    <w:rsid w:val="00EB57A7"/>
    <w:rsid w:val="00EB62DC"/>
    <w:rsid w:val="00EB6337"/>
    <w:rsid w:val="00EB657E"/>
    <w:rsid w:val="00EB690F"/>
    <w:rsid w:val="00EB705F"/>
    <w:rsid w:val="00EB71C7"/>
    <w:rsid w:val="00EB7A20"/>
    <w:rsid w:val="00EB7D81"/>
    <w:rsid w:val="00EC04CE"/>
    <w:rsid w:val="00EC06AF"/>
    <w:rsid w:val="00EC1665"/>
    <w:rsid w:val="00EC232B"/>
    <w:rsid w:val="00EC28E9"/>
    <w:rsid w:val="00EC2AB1"/>
    <w:rsid w:val="00EC383A"/>
    <w:rsid w:val="00EC39A1"/>
    <w:rsid w:val="00EC4349"/>
    <w:rsid w:val="00EC4446"/>
    <w:rsid w:val="00EC557C"/>
    <w:rsid w:val="00EC5A0D"/>
    <w:rsid w:val="00EC61A1"/>
    <w:rsid w:val="00EC6208"/>
    <w:rsid w:val="00EC6CD4"/>
    <w:rsid w:val="00EC6E2E"/>
    <w:rsid w:val="00EC700D"/>
    <w:rsid w:val="00EC70CE"/>
    <w:rsid w:val="00EC7183"/>
    <w:rsid w:val="00EC7635"/>
    <w:rsid w:val="00EC784F"/>
    <w:rsid w:val="00EC7C53"/>
    <w:rsid w:val="00ED05A7"/>
    <w:rsid w:val="00ED0664"/>
    <w:rsid w:val="00ED0AC1"/>
    <w:rsid w:val="00ED0AE5"/>
    <w:rsid w:val="00ED1A5A"/>
    <w:rsid w:val="00ED1EEC"/>
    <w:rsid w:val="00ED222C"/>
    <w:rsid w:val="00ED241E"/>
    <w:rsid w:val="00ED25B4"/>
    <w:rsid w:val="00ED263E"/>
    <w:rsid w:val="00ED2D6E"/>
    <w:rsid w:val="00ED33F1"/>
    <w:rsid w:val="00ED3C4B"/>
    <w:rsid w:val="00ED4120"/>
    <w:rsid w:val="00ED44CF"/>
    <w:rsid w:val="00ED4E24"/>
    <w:rsid w:val="00ED51B4"/>
    <w:rsid w:val="00ED5432"/>
    <w:rsid w:val="00ED62BD"/>
    <w:rsid w:val="00ED63FF"/>
    <w:rsid w:val="00ED69E0"/>
    <w:rsid w:val="00ED6AE2"/>
    <w:rsid w:val="00EE1585"/>
    <w:rsid w:val="00EE1C00"/>
    <w:rsid w:val="00EE300E"/>
    <w:rsid w:val="00EE337B"/>
    <w:rsid w:val="00EE349B"/>
    <w:rsid w:val="00EE3A7B"/>
    <w:rsid w:val="00EE3DCE"/>
    <w:rsid w:val="00EE4046"/>
    <w:rsid w:val="00EE5214"/>
    <w:rsid w:val="00EE5460"/>
    <w:rsid w:val="00EE5783"/>
    <w:rsid w:val="00EE5B06"/>
    <w:rsid w:val="00EE696A"/>
    <w:rsid w:val="00EE769F"/>
    <w:rsid w:val="00EF0828"/>
    <w:rsid w:val="00EF2040"/>
    <w:rsid w:val="00EF2E3E"/>
    <w:rsid w:val="00EF336C"/>
    <w:rsid w:val="00EF52C1"/>
    <w:rsid w:val="00EF5932"/>
    <w:rsid w:val="00EF5B30"/>
    <w:rsid w:val="00EF62E9"/>
    <w:rsid w:val="00EF69AF"/>
    <w:rsid w:val="00EF74BF"/>
    <w:rsid w:val="00EF7B9E"/>
    <w:rsid w:val="00EF7C96"/>
    <w:rsid w:val="00EF7CD6"/>
    <w:rsid w:val="00F0020E"/>
    <w:rsid w:val="00F0063B"/>
    <w:rsid w:val="00F014A2"/>
    <w:rsid w:val="00F01BE4"/>
    <w:rsid w:val="00F023BC"/>
    <w:rsid w:val="00F024D6"/>
    <w:rsid w:val="00F02957"/>
    <w:rsid w:val="00F030D8"/>
    <w:rsid w:val="00F03863"/>
    <w:rsid w:val="00F04C67"/>
    <w:rsid w:val="00F04C7D"/>
    <w:rsid w:val="00F0522A"/>
    <w:rsid w:val="00F0578F"/>
    <w:rsid w:val="00F058F9"/>
    <w:rsid w:val="00F05F29"/>
    <w:rsid w:val="00F063B4"/>
    <w:rsid w:val="00F07BBE"/>
    <w:rsid w:val="00F10224"/>
    <w:rsid w:val="00F11366"/>
    <w:rsid w:val="00F1154F"/>
    <w:rsid w:val="00F11C3A"/>
    <w:rsid w:val="00F11F77"/>
    <w:rsid w:val="00F12528"/>
    <w:rsid w:val="00F12EE4"/>
    <w:rsid w:val="00F13120"/>
    <w:rsid w:val="00F133C9"/>
    <w:rsid w:val="00F134D5"/>
    <w:rsid w:val="00F14079"/>
    <w:rsid w:val="00F14AB5"/>
    <w:rsid w:val="00F14BB8"/>
    <w:rsid w:val="00F15C8D"/>
    <w:rsid w:val="00F16783"/>
    <w:rsid w:val="00F16CBD"/>
    <w:rsid w:val="00F16E9A"/>
    <w:rsid w:val="00F1741A"/>
    <w:rsid w:val="00F177E4"/>
    <w:rsid w:val="00F17E64"/>
    <w:rsid w:val="00F21560"/>
    <w:rsid w:val="00F215ED"/>
    <w:rsid w:val="00F225E5"/>
    <w:rsid w:val="00F2275D"/>
    <w:rsid w:val="00F22934"/>
    <w:rsid w:val="00F22BA8"/>
    <w:rsid w:val="00F23F72"/>
    <w:rsid w:val="00F240DD"/>
    <w:rsid w:val="00F2453C"/>
    <w:rsid w:val="00F24CFF"/>
    <w:rsid w:val="00F24DC8"/>
    <w:rsid w:val="00F25539"/>
    <w:rsid w:val="00F25852"/>
    <w:rsid w:val="00F26BD6"/>
    <w:rsid w:val="00F26ED0"/>
    <w:rsid w:val="00F2731E"/>
    <w:rsid w:val="00F27DFB"/>
    <w:rsid w:val="00F30919"/>
    <w:rsid w:val="00F3132A"/>
    <w:rsid w:val="00F31C2D"/>
    <w:rsid w:val="00F32392"/>
    <w:rsid w:val="00F3274F"/>
    <w:rsid w:val="00F32E3D"/>
    <w:rsid w:val="00F33CA6"/>
    <w:rsid w:val="00F341D3"/>
    <w:rsid w:val="00F341F0"/>
    <w:rsid w:val="00F342B6"/>
    <w:rsid w:val="00F344E0"/>
    <w:rsid w:val="00F34780"/>
    <w:rsid w:val="00F3551F"/>
    <w:rsid w:val="00F356F0"/>
    <w:rsid w:val="00F35DE8"/>
    <w:rsid w:val="00F35E47"/>
    <w:rsid w:val="00F35EA1"/>
    <w:rsid w:val="00F37409"/>
    <w:rsid w:val="00F376F1"/>
    <w:rsid w:val="00F37D6D"/>
    <w:rsid w:val="00F40358"/>
    <w:rsid w:val="00F40AE2"/>
    <w:rsid w:val="00F40FA4"/>
    <w:rsid w:val="00F410F3"/>
    <w:rsid w:val="00F41BDD"/>
    <w:rsid w:val="00F41C94"/>
    <w:rsid w:val="00F41E11"/>
    <w:rsid w:val="00F42057"/>
    <w:rsid w:val="00F4214E"/>
    <w:rsid w:val="00F4265D"/>
    <w:rsid w:val="00F4289D"/>
    <w:rsid w:val="00F42BFC"/>
    <w:rsid w:val="00F4381F"/>
    <w:rsid w:val="00F43985"/>
    <w:rsid w:val="00F442E6"/>
    <w:rsid w:val="00F44AC4"/>
    <w:rsid w:val="00F45001"/>
    <w:rsid w:val="00F464D1"/>
    <w:rsid w:val="00F47A44"/>
    <w:rsid w:val="00F47E73"/>
    <w:rsid w:val="00F51050"/>
    <w:rsid w:val="00F51744"/>
    <w:rsid w:val="00F51880"/>
    <w:rsid w:val="00F51A7B"/>
    <w:rsid w:val="00F52FEF"/>
    <w:rsid w:val="00F532B1"/>
    <w:rsid w:val="00F53B88"/>
    <w:rsid w:val="00F54317"/>
    <w:rsid w:val="00F55446"/>
    <w:rsid w:val="00F555E5"/>
    <w:rsid w:val="00F55B63"/>
    <w:rsid w:val="00F56BE8"/>
    <w:rsid w:val="00F579B7"/>
    <w:rsid w:val="00F57FA8"/>
    <w:rsid w:val="00F60914"/>
    <w:rsid w:val="00F60CCF"/>
    <w:rsid w:val="00F620CE"/>
    <w:rsid w:val="00F620F4"/>
    <w:rsid w:val="00F621B2"/>
    <w:rsid w:val="00F62A7B"/>
    <w:rsid w:val="00F63753"/>
    <w:rsid w:val="00F6383D"/>
    <w:rsid w:val="00F639EC"/>
    <w:rsid w:val="00F640BB"/>
    <w:rsid w:val="00F64A28"/>
    <w:rsid w:val="00F6610E"/>
    <w:rsid w:val="00F6613C"/>
    <w:rsid w:val="00F665DC"/>
    <w:rsid w:val="00F66E98"/>
    <w:rsid w:val="00F6707D"/>
    <w:rsid w:val="00F67685"/>
    <w:rsid w:val="00F67A37"/>
    <w:rsid w:val="00F67C7E"/>
    <w:rsid w:val="00F70955"/>
    <w:rsid w:val="00F70CAD"/>
    <w:rsid w:val="00F70CFA"/>
    <w:rsid w:val="00F70F5C"/>
    <w:rsid w:val="00F7239B"/>
    <w:rsid w:val="00F72642"/>
    <w:rsid w:val="00F728A0"/>
    <w:rsid w:val="00F73386"/>
    <w:rsid w:val="00F73B65"/>
    <w:rsid w:val="00F73BCC"/>
    <w:rsid w:val="00F73C97"/>
    <w:rsid w:val="00F744EB"/>
    <w:rsid w:val="00F74DF8"/>
    <w:rsid w:val="00F754BA"/>
    <w:rsid w:val="00F7568C"/>
    <w:rsid w:val="00F767F2"/>
    <w:rsid w:val="00F76989"/>
    <w:rsid w:val="00F77F0D"/>
    <w:rsid w:val="00F80468"/>
    <w:rsid w:val="00F80EC7"/>
    <w:rsid w:val="00F80EF3"/>
    <w:rsid w:val="00F8162A"/>
    <w:rsid w:val="00F81AB6"/>
    <w:rsid w:val="00F8252E"/>
    <w:rsid w:val="00F8262F"/>
    <w:rsid w:val="00F845F0"/>
    <w:rsid w:val="00F84619"/>
    <w:rsid w:val="00F85038"/>
    <w:rsid w:val="00F857D1"/>
    <w:rsid w:val="00F85874"/>
    <w:rsid w:val="00F85A27"/>
    <w:rsid w:val="00F85E00"/>
    <w:rsid w:val="00F863E1"/>
    <w:rsid w:val="00F86590"/>
    <w:rsid w:val="00F8663C"/>
    <w:rsid w:val="00F8716A"/>
    <w:rsid w:val="00F902A8"/>
    <w:rsid w:val="00F90F1B"/>
    <w:rsid w:val="00F910BC"/>
    <w:rsid w:val="00F912D2"/>
    <w:rsid w:val="00F91EFC"/>
    <w:rsid w:val="00F9213A"/>
    <w:rsid w:val="00F924A3"/>
    <w:rsid w:val="00F928EA"/>
    <w:rsid w:val="00F92E63"/>
    <w:rsid w:val="00F93327"/>
    <w:rsid w:val="00F93674"/>
    <w:rsid w:val="00F93CD0"/>
    <w:rsid w:val="00F9425A"/>
    <w:rsid w:val="00F942D7"/>
    <w:rsid w:val="00F95042"/>
    <w:rsid w:val="00F9617E"/>
    <w:rsid w:val="00F964C3"/>
    <w:rsid w:val="00F96F83"/>
    <w:rsid w:val="00F96FB8"/>
    <w:rsid w:val="00F97EB4"/>
    <w:rsid w:val="00FA056B"/>
    <w:rsid w:val="00FA120C"/>
    <w:rsid w:val="00FA23E4"/>
    <w:rsid w:val="00FA2DC7"/>
    <w:rsid w:val="00FA355B"/>
    <w:rsid w:val="00FA3FCD"/>
    <w:rsid w:val="00FA4BF6"/>
    <w:rsid w:val="00FA4C81"/>
    <w:rsid w:val="00FA50F5"/>
    <w:rsid w:val="00FA54BD"/>
    <w:rsid w:val="00FA600B"/>
    <w:rsid w:val="00FA639A"/>
    <w:rsid w:val="00FA768A"/>
    <w:rsid w:val="00FA7D65"/>
    <w:rsid w:val="00FB01A5"/>
    <w:rsid w:val="00FB0AFF"/>
    <w:rsid w:val="00FB105A"/>
    <w:rsid w:val="00FB1155"/>
    <w:rsid w:val="00FB1440"/>
    <w:rsid w:val="00FB1ADB"/>
    <w:rsid w:val="00FB24AC"/>
    <w:rsid w:val="00FB2FA9"/>
    <w:rsid w:val="00FB3755"/>
    <w:rsid w:val="00FB4271"/>
    <w:rsid w:val="00FB4C38"/>
    <w:rsid w:val="00FB55DC"/>
    <w:rsid w:val="00FB5BA7"/>
    <w:rsid w:val="00FB5CAC"/>
    <w:rsid w:val="00FB5D77"/>
    <w:rsid w:val="00FB60B0"/>
    <w:rsid w:val="00FB657D"/>
    <w:rsid w:val="00FB679D"/>
    <w:rsid w:val="00FB714A"/>
    <w:rsid w:val="00FB7435"/>
    <w:rsid w:val="00FB79E5"/>
    <w:rsid w:val="00FC087E"/>
    <w:rsid w:val="00FC120D"/>
    <w:rsid w:val="00FC14AF"/>
    <w:rsid w:val="00FC18D3"/>
    <w:rsid w:val="00FC1BCD"/>
    <w:rsid w:val="00FC2748"/>
    <w:rsid w:val="00FC2932"/>
    <w:rsid w:val="00FC495F"/>
    <w:rsid w:val="00FC4BF8"/>
    <w:rsid w:val="00FC5A12"/>
    <w:rsid w:val="00FC5EF4"/>
    <w:rsid w:val="00FC6ABE"/>
    <w:rsid w:val="00FC72D0"/>
    <w:rsid w:val="00FC7438"/>
    <w:rsid w:val="00FC78E4"/>
    <w:rsid w:val="00FD06E7"/>
    <w:rsid w:val="00FD0AF4"/>
    <w:rsid w:val="00FD0E9B"/>
    <w:rsid w:val="00FD1849"/>
    <w:rsid w:val="00FD21C4"/>
    <w:rsid w:val="00FD24D8"/>
    <w:rsid w:val="00FD29C8"/>
    <w:rsid w:val="00FD2E86"/>
    <w:rsid w:val="00FD316C"/>
    <w:rsid w:val="00FD3ABA"/>
    <w:rsid w:val="00FD3C45"/>
    <w:rsid w:val="00FD4454"/>
    <w:rsid w:val="00FD44DC"/>
    <w:rsid w:val="00FD48C3"/>
    <w:rsid w:val="00FD51B5"/>
    <w:rsid w:val="00FD5430"/>
    <w:rsid w:val="00FD5613"/>
    <w:rsid w:val="00FD5852"/>
    <w:rsid w:val="00FD6173"/>
    <w:rsid w:val="00FD65D0"/>
    <w:rsid w:val="00FD76DA"/>
    <w:rsid w:val="00FE1118"/>
    <w:rsid w:val="00FE14E8"/>
    <w:rsid w:val="00FE1B76"/>
    <w:rsid w:val="00FE2D83"/>
    <w:rsid w:val="00FE3D16"/>
    <w:rsid w:val="00FE547C"/>
    <w:rsid w:val="00FE57E1"/>
    <w:rsid w:val="00FE5A74"/>
    <w:rsid w:val="00FE5C13"/>
    <w:rsid w:val="00FE5DDA"/>
    <w:rsid w:val="00FE6120"/>
    <w:rsid w:val="00FE6A9D"/>
    <w:rsid w:val="00FE6FB0"/>
    <w:rsid w:val="00FE76D7"/>
    <w:rsid w:val="00FF035A"/>
    <w:rsid w:val="00FF1153"/>
    <w:rsid w:val="00FF163E"/>
    <w:rsid w:val="00FF1840"/>
    <w:rsid w:val="00FF1DC8"/>
    <w:rsid w:val="00FF217C"/>
    <w:rsid w:val="00FF250D"/>
    <w:rsid w:val="00FF2643"/>
    <w:rsid w:val="00FF2804"/>
    <w:rsid w:val="00FF4147"/>
    <w:rsid w:val="00FF42F7"/>
    <w:rsid w:val="00FF48BC"/>
    <w:rsid w:val="00FF654B"/>
    <w:rsid w:val="00FF698B"/>
  </w:rsids>
  <m:mathPr>
    <m:mathFont m:val="Cambria Math"/>
    <m:brkBin m:val="before"/>
    <m:brkBinSub m:val="--"/>
    <m:smallFrac m:val="off"/>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063E"/>
    <w:pPr>
      <w:widowControl w:val="0"/>
      <w:jc w:val="both"/>
    </w:pPr>
    <w:rPr>
      <w:rFonts w:ascii="Calibri" w:hAnsi="Calibri"/>
      <w:sz w:val="22"/>
      <w:szCs w:val="24"/>
    </w:rPr>
  </w:style>
  <w:style w:type="paragraph" w:styleId="Heading1">
    <w:name w:val="heading 1"/>
    <w:basedOn w:val="Normal"/>
    <w:next w:val="Normal"/>
    <w:link w:val="Heading1Char"/>
    <w:autoRedefine/>
    <w:qFormat/>
    <w:rsid w:val="004E3D1F"/>
    <w:pPr>
      <w:numPr>
        <w:numId w:val="1"/>
      </w:numPr>
      <w:tabs>
        <w:tab w:val="left" w:pos="360"/>
      </w:tabs>
      <w:outlineLvl w:val="0"/>
    </w:pPr>
    <w:rPr>
      <w:rFonts w:cs="Arial"/>
      <w:b/>
      <w:bCs/>
      <w:kern w:val="32"/>
      <w:sz w:val="24"/>
      <w:szCs w:val="32"/>
    </w:rPr>
  </w:style>
  <w:style w:type="paragraph" w:styleId="Heading2">
    <w:name w:val="heading 2"/>
    <w:basedOn w:val="Normal"/>
    <w:next w:val="Normal"/>
    <w:qFormat/>
    <w:rsid w:val="00721F40"/>
    <w:pPr>
      <w:keepNext/>
      <w:numPr>
        <w:ilvl w:val="1"/>
        <w:numId w:val="1"/>
      </w:numPr>
      <w:spacing w:before="240" w:after="120"/>
      <w:outlineLvl w:val="1"/>
    </w:pPr>
    <w:rPr>
      <w:rFonts w:cs="Arial"/>
      <w:b/>
      <w:bCs/>
      <w:i/>
      <w:iCs/>
    </w:rPr>
  </w:style>
  <w:style w:type="paragraph" w:styleId="Heading3">
    <w:name w:val="heading 3"/>
    <w:basedOn w:val="Normal"/>
    <w:next w:val="Normal"/>
    <w:qFormat/>
    <w:rsid w:val="004D258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F62E9"/>
    <w:rPr>
      <w:rFonts w:ascii="News Gothic Cyr" w:hAnsi="News Gothic Cyr" w:cs="Arial"/>
      <w:b/>
      <w:bCs/>
      <w:kern w:val="32"/>
      <w:sz w:val="24"/>
      <w:szCs w:val="32"/>
    </w:rPr>
  </w:style>
  <w:style w:type="paragraph" w:styleId="BalloonText">
    <w:name w:val="Balloon Text"/>
    <w:basedOn w:val="Normal"/>
    <w:link w:val="BalloonTextChar"/>
    <w:uiPriority w:val="99"/>
    <w:semiHidden/>
    <w:unhideWhenUsed/>
    <w:rsid w:val="008C14A7"/>
    <w:rPr>
      <w:rFonts w:ascii="Tahoma" w:hAnsi="Tahoma" w:cs="Tahoma"/>
      <w:sz w:val="16"/>
      <w:szCs w:val="16"/>
    </w:rPr>
  </w:style>
  <w:style w:type="character" w:customStyle="1" w:styleId="BalloonTextChar">
    <w:name w:val="Balloon Text Char"/>
    <w:basedOn w:val="DefaultParagraphFont"/>
    <w:link w:val="BalloonText"/>
    <w:uiPriority w:val="99"/>
    <w:semiHidden/>
    <w:rsid w:val="008C14A7"/>
    <w:rPr>
      <w:rFonts w:ascii="Tahoma" w:hAnsi="Tahoma" w:cs="Tahoma"/>
      <w:sz w:val="16"/>
      <w:szCs w:val="16"/>
    </w:rPr>
  </w:style>
  <w:style w:type="character" w:styleId="PageNumber">
    <w:name w:val="page number"/>
    <w:basedOn w:val="DefaultParagraphFont"/>
    <w:rsid w:val="00673556"/>
  </w:style>
  <w:style w:type="paragraph" w:customStyle="1" w:styleId="Number">
    <w:name w:val="Number"/>
    <w:basedOn w:val="Normal"/>
    <w:rsid w:val="00F40FA4"/>
    <w:pPr>
      <w:ind w:firstLine="720"/>
    </w:pPr>
    <w:rPr>
      <w:rFonts w:ascii="Verdana" w:hAnsi="Verdana"/>
      <w:b/>
      <w:bCs/>
      <w:sz w:val="20"/>
      <w:szCs w:val="20"/>
    </w:rPr>
  </w:style>
  <w:style w:type="paragraph" w:customStyle="1" w:styleId="SubSubNumber">
    <w:name w:val="SubSubNumber"/>
    <w:basedOn w:val="SubNumbers"/>
    <w:link w:val="SubSubNumberChar"/>
    <w:qFormat/>
    <w:rsid w:val="00DB3B9A"/>
    <w:pPr>
      <w:numPr>
        <w:ilvl w:val="2"/>
      </w:numPr>
      <w:tabs>
        <w:tab w:val="left" w:pos="1701"/>
      </w:tabs>
      <w:ind w:left="1701" w:hanging="981"/>
    </w:pPr>
  </w:style>
  <w:style w:type="paragraph" w:customStyle="1" w:styleId="SubNumbers">
    <w:name w:val="SubNumbers"/>
    <w:basedOn w:val="Mainnumbers"/>
    <w:link w:val="SubNumbersChar"/>
    <w:qFormat/>
    <w:rsid w:val="00213EB1"/>
    <w:pPr>
      <w:numPr>
        <w:ilvl w:val="1"/>
      </w:numPr>
      <w:tabs>
        <w:tab w:val="clear" w:pos="709"/>
      </w:tabs>
      <w:outlineLvl w:val="1"/>
    </w:pPr>
  </w:style>
  <w:style w:type="paragraph" w:customStyle="1" w:styleId="Mainnumbers">
    <w:name w:val="Main numbers"/>
    <w:basedOn w:val="Normal"/>
    <w:link w:val="MainnumbersChar"/>
    <w:qFormat/>
    <w:rsid w:val="00DB3B9A"/>
    <w:pPr>
      <w:widowControl/>
      <w:numPr>
        <w:numId w:val="2"/>
      </w:numPr>
      <w:tabs>
        <w:tab w:val="left" w:pos="709"/>
      </w:tabs>
      <w:spacing w:before="240" w:after="240"/>
      <w:ind w:left="709" w:hanging="709"/>
      <w:outlineLvl w:val="0"/>
    </w:pPr>
    <w:rPr>
      <w:rFonts w:cs="News Gothic Cyr"/>
      <w:b/>
      <w:lang w:eastAsia="en-US"/>
    </w:rPr>
  </w:style>
  <w:style w:type="character" w:customStyle="1" w:styleId="MainnumbersChar">
    <w:name w:val="Main numbers Char"/>
    <w:basedOn w:val="DefaultParagraphFont"/>
    <w:link w:val="Mainnumbers"/>
    <w:rsid w:val="00DB3B9A"/>
    <w:rPr>
      <w:rFonts w:ascii="News Gothic Cyr" w:hAnsi="News Gothic Cyr" w:cs="News Gothic Cyr"/>
      <w:b/>
      <w:sz w:val="22"/>
      <w:szCs w:val="24"/>
      <w:lang w:eastAsia="en-US"/>
    </w:rPr>
  </w:style>
  <w:style w:type="character" w:customStyle="1" w:styleId="SubNumbersChar">
    <w:name w:val="SubNumbers Char"/>
    <w:basedOn w:val="MainnumbersChar"/>
    <w:link w:val="SubNumbers"/>
    <w:rsid w:val="00213EB1"/>
    <w:rPr>
      <w:rFonts w:ascii="News Gothic Cyr" w:hAnsi="News Gothic Cyr" w:cs="News Gothic Cyr"/>
      <w:b/>
      <w:sz w:val="22"/>
      <w:szCs w:val="24"/>
      <w:lang w:eastAsia="en-US"/>
    </w:rPr>
  </w:style>
  <w:style w:type="character" w:customStyle="1" w:styleId="SubSubNumberChar">
    <w:name w:val="SubSubNumber Char"/>
    <w:basedOn w:val="SubNumbersChar"/>
    <w:link w:val="SubSubNumber"/>
    <w:rsid w:val="00DB3B9A"/>
    <w:rPr>
      <w:rFonts w:ascii="News Gothic Cyr" w:hAnsi="News Gothic Cyr" w:cs="News Gothic Cyr"/>
      <w:b/>
      <w:sz w:val="22"/>
      <w:szCs w:val="24"/>
      <w:lang w:eastAsia="en-US"/>
    </w:rPr>
  </w:style>
  <w:style w:type="paragraph" w:styleId="BodyText">
    <w:name w:val="Body Text"/>
    <w:basedOn w:val="Normal"/>
    <w:link w:val="BodyTextChar"/>
    <w:rsid w:val="003D6459"/>
    <w:rPr>
      <w:rFonts w:cs="Vrinda"/>
      <w:b/>
      <w:bCs/>
      <w:lang w:eastAsia="en-US" w:bidi="bn-BD"/>
    </w:rPr>
  </w:style>
  <w:style w:type="table" w:styleId="TableGrid">
    <w:name w:val="Table Grid"/>
    <w:basedOn w:val="TableNormal"/>
    <w:rsid w:val="00541089"/>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445A2B"/>
    <w:pPr>
      <w:widowControl/>
      <w:spacing w:before="100" w:beforeAutospacing="1" w:after="100" w:afterAutospacing="1"/>
      <w:jc w:val="left"/>
    </w:pPr>
    <w:rPr>
      <w:rFonts w:ascii="Times New Roman" w:hAnsi="Times New Roman"/>
      <w:sz w:val="24"/>
    </w:rPr>
  </w:style>
  <w:style w:type="paragraph" w:styleId="Header">
    <w:name w:val="header"/>
    <w:basedOn w:val="Normal"/>
    <w:link w:val="HeaderChar"/>
    <w:uiPriority w:val="99"/>
    <w:unhideWhenUsed/>
    <w:rsid w:val="005C5BFB"/>
    <w:pPr>
      <w:tabs>
        <w:tab w:val="center" w:pos="4536"/>
        <w:tab w:val="right" w:pos="9072"/>
      </w:tabs>
    </w:pPr>
  </w:style>
  <w:style w:type="character" w:customStyle="1" w:styleId="HeaderChar">
    <w:name w:val="Header Char"/>
    <w:basedOn w:val="DefaultParagraphFont"/>
    <w:link w:val="Header"/>
    <w:uiPriority w:val="99"/>
    <w:rsid w:val="005C5BFB"/>
    <w:rPr>
      <w:rFonts w:ascii="News Gothic Cyr" w:hAnsi="News Gothic Cyr"/>
      <w:sz w:val="22"/>
      <w:szCs w:val="24"/>
    </w:rPr>
  </w:style>
  <w:style w:type="paragraph" w:styleId="Footer">
    <w:name w:val="footer"/>
    <w:basedOn w:val="Normal"/>
    <w:link w:val="FooterChar"/>
    <w:uiPriority w:val="99"/>
    <w:unhideWhenUsed/>
    <w:rsid w:val="005C5BFB"/>
    <w:pPr>
      <w:tabs>
        <w:tab w:val="center" w:pos="4536"/>
        <w:tab w:val="right" w:pos="9072"/>
      </w:tabs>
    </w:pPr>
  </w:style>
  <w:style w:type="character" w:customStyle="1" w:styleId="FooterChar">
    <w:name w:val="Footer Char"/>
    <w:basedOn w:val="DefaultParagraphFont"/>
    <w:link w:val="Footer"/>
    <w:uiPriority w:val="99"/>
    <w:rsid w:val="005C5BFB"/>
    <w:rPr>
      <w:rFonts w:ascii="News Gothic Cyr" w:hAnsi="News Gothic Cyr"/>
      <w:sz w:val="22"/>
      <w:szCs w:val="24"/>
    </w:rPr>
  </w:style>
  <w:style w:type="character" w:customStyle="1" w:styleId="BodyTextChar">
    <w:name w:val="Body Text Char"/>
    <w:basedOn w:val="DefaultParagraphFont"/>
    <w:link w:val="BodyText"/>
    <w:rsid w:val="008E2822"/>
    <w:rPr>
      <w:rFonts w:ascii="News Gothic Cyr" w:hAnsi="News Gothic Cyr" w:cs="Vrinda"/>
      <w:b/>
      <w:bCs/>
      <w:sz w:val="22"/>
      <w:szCs w:val="24"/>
      <w:lang w:eastAsia="en-US" w:bidi="bn-BD"/>
    </w:rPr>
  </w:style>
  <w:style w:type="paragraph" w:styleId="TOC1">
    <w:name w:val="toc 1"/>
    <w:basedOn w:val="Normal"/>
    <w:next w:val="Normal"/>
    <w:autoRedefine/>
    <w:uiPriority w:val="39"/>
    <w:unhideWhenUsed/>
    <w:rsid w:val="007E50B1"/>
    <w:pPr>
      <w:tabs>
        <w:tab w:val="left" w:pos="440"/>
        <w:tab w:val="right" w:leader="dot" w:pos="9211"/>
      </w:tabs>
    </w:pPr>
  </w:style>
  <w:style w:type="paragraph" w:styleId="TOC2">
    <w:name w:val="toc 2"/>
    <w:basedOn w:val="Normal"/>
    <w:next w:val="Normal"/>
    <w:autoRedefine/>
    <w:uiPriority w:val="39"/>
    <w:unhideWhenUsed/>
    <w:rsid w:val="005D08FE"/>
    <w:pPr>
      <w:tabs>
        <w:tab w:val="left" w:pos="1134"/>
        <w:tab w:val="right" w:leader="dot" w:pos="9211"/>
      </w:tabs>
      <w:ind w:left="221"/>
    </w:pPr>
  </w:style>
  <w:style w:type="paragraph" w:styleId="TOC3">
    <w:name w:val="toc 3"/>
    <w:basedOn w:val="Normal"/>
    <w:next w:val="Normal"/>
    <w:autoRedefine/>
    <w:uiPriority w:val="39"/>
    <w:unhideWhenUsed/>
    <w:rsid w:val="00E508B1"/>
    <w:pPr>
      <w:spacing w:after="100"/>
      <w:ind w:left="440"/>
    </w:pPr>
  </w:style>
  <w:style w:type="character" w:styleId="Hyperlink">
    <w:name w:val="Hyperlink"/>
    <w:basedOn w:val="DefaultParagraphFont"/>
    <w:uiPriority w:val="99"/>
    <w:unhideWhenUsed/>
    <w:rsid w:val="00E508B1"/>
    <w:rPr>
      <w:color w:val="0000FF" w:themeColor="hyperlink"/>
      <w:u w:val="single"/>
    </w:rPr>
  </w:style>
  <w:style w:type="paragraph" w:styleId="ListParagraph">
    <w:name w:val="List Paragraph"/>
    <w:basedOn w:val="Normal"/>
    <w:uiPriority w:val="34"/>
    <w:qFormat/>
    <w:rsid w:val="00795169"/>
    <w:pPr>
      <w:ind w:left="720"/>
      <w:contextualSpacing/>
    </w:pPr>
  </w:style>
  <w:style w:type="paragraph" w:customStyle="1" w:styleId="a">
    <w:name w:val="Текст в таблица"/>
    <w:basedOn w:val="Normal"/>
    <w:next w:val="Normal"/>
    <w:link w:val="Char"/>
    <w:rsid w:val="009A3F7B"/>
    <w:rPr>
      <w:sz w:val="20"/>
    </w:rPr>
  </w:style>
  <w:style w:type="character" w:customStyle="1" w:styleId="Char">
    <w:name w:val="Текст в таблица Char"/>
    <w:basedOn w:val="DefaultParagraphFont"/>
    <w:link w:val="a"/>
    <w:rsid w:val="009A3F7B"/>
    <w:rPr>
      <w:rFonts w:ascii="News Gothic Cyr" w:hAnsi="News Gothic Cyr"/>
      <w:szCs w:val="24"/>
    </w:rPr>
  </w:style>
  <w:style w:type="paragraph" w:customStyle="1" w:styleId="a0">
    <w:name w:val="Числа в таблица"/>
    <w:basedOn w:val="Normal"/>
    <w:rsid w:val="009A3F7B"/>
    <w:pPr>
      <w:jc w:val="right"/>
    </w:pPr>
    <w:rPr>
      <w:sz w:val="20"/>
    </w:rPr>
  </w:style>
  <w:style w:type="character" w:styleId="Emphasis">
    <w:name w:val="Emphasis"/>
    <w:basedOn w:val="DefaultParagraphFont"/>
    <w:uiPriority w:val="20"/>
    <w:qFormat/>
    <w:rsid w:val="00CD74FF"/>
    <w:rPr>
      <w:i/>
      <w:iCs/>
    </w:rPr>
  </w:style>
  <w:style w:type="paragraph" w:customStyle="1" w:styleId="a1">
    <w:name w:val="Етикет на таблица"/>
    <w:basedOn w:val="Normal"/>
    <w:rsid w:val="004F60F1"/>
    <w:pPr>
      <w:jc w:val="center"/>
    </w:pPr>
    <w:rPr>
      <w:i/>
      <w:sz w:val="20"/>
    </w:rPr>
  </w:style>
  <w:style w:type="paragraph" w:styleId="NoSpacing">
    <w:name w:val="No Spacing"/>
    <w:uiPriority w:val="1"/>
    <w:qFormat/>
    <w:rsid w:val="004F60F1"/>
    <w:pPr>
      <w:widowControl w:val="0"/>
      <w:jc w:val="both"/>
    </w:pPr>
    <w:rPr>
      <w:rFonts w:ascii="News Gothic Cyr" w:hAnsi="News Gothic Cyr"/>
      <w:sz w:val="22"/>
      <w:szCs w:val="24"/>
    </w:rPr>
  </w:style>
  <w:style w:type="character" w:styleId="CommentReference">
    <w:name w:val="annotation reference"/>
    <w:basedOn w:val="DefaultParagraphFont"/>
    <w:uiPriority w:val="99"/>
    <w:semiHidden/>
    <w:unhideWhenUsed/>
    <w:rsid w:val="001F528B"/>
    <w:rPr>
      <w:sz w:val="16"/>
      <w:szCs w:val="16"/>
    </w:rPr>
  </w:style>
  <w:style w:type="paragraph" w:styleId="CommentText">
    <w:name w:val="annotation text"/>
    <w:basedOn w:val="Normal"/>
    <w:link w:val="CommentTextChar"/>
    <w:uiPriority w:val="99"/>
    <w:semiHidden/>
    <w:unhideWhenUsed/>
    <w:rsid w:val="001F528B"/>
    <w:rPr>
      <w:sz w:val="20"/>
      <w:szCs w:val="20"/>
    </w:rPr>
  </w:style>
  <w:style w:type="character" w:customStyle="1" w:styleId="CommentTextChar">
    <w:name w:val="Comment Text Char"/>
    <w:basedOn w:val="DefaultParagraphFont"/>
    <w:link w:val="CommentText"/>
    <w:uiPriority w:val="99"/>
    <w:semiHidden/>
    <w:rsid w:val="001F528B"/>
    <w:rPr>
      <w:rFonts w:ascii="News Gothic Cyr" w:hAnsi="News Gothic Cyr"/>
    </w:rPr>
  </w:style>
  <w:style w:type="paragraph" w:customStyle="1" w:styleId="a2">
    <w:name w:val="табл. текст"/>
    <w:qFormat/>
    <w:rsid w:val="003A55CE"/>
    <w:pPr>
      <w:autoSpaceDE w:val="0"/>
      <w:autoSpaceDN w:val="0"/>
      <w:adjustRightInd w:val="0"/>
    </w:pPr>
    <w:rPr>
      <w:rFonts w:ascii="News Gothic Cyr" w:hAnsi="News Gothic Cyr" w:cs="News Gothic Cyr"/>
      <w:color w:val="000000"/>
      <w:sz w:val="18"/>
      <w:szCs w:val="24"/>
    </w:rPr>
  </w:style>
  <w:style w:type="paragraph" w:customStyle="1" w:styleId="a3">
    <w:name w:val="табл. числа"/>
    <w:qFormat/>
    <w:rsid w:val="003A55CE"/>
    <w:pPr>
      <w:autoSpaceDE w:val="0"/>
      <w:autoSpaceDN w:val="0"/>
      <w:adjustRightInd w:val="0"/>
      <w:jc w:val="right"/>
    </w:pPr>
    <w:rPr>
      <w:rFonts w:ascii="News Gothic Cyr" w:hAnsi="News Gothic Cyr" w:cs="News Gothic Cyr"/>
      <w:color w:val="000000"/>
      <w:sz w:val="18"/>
      <w:szCs w:val="24"/>
    </w:rPr>
  </w:style>
  <w:style w:type="paragraph" w:customStyle="1" w:styleId="a4">
    <w:name w:val="табл. антетка"/>
    <w:qFormat/>
    <w:rsid w:val="003A55CE"/>
    <w:pPr>
      <w:autoSpaceDE w:val="0"/>
      <w:autoSpaceDN w:val="0"/>
      <w:adjustRightInd w:val="0"/>
      <w:jc w:val="center"/>
    </w:pPr>
    <w:rPr>
      <w:rFonts w:ascii="News Gothic Cyr" w:hAnsi="News Gothic Cyr" w:cs="News Gothic Cyr"/>
      <w:b/>
      <w:bCs/>
      <w:iCs/>
      <w:color w:val="000000"/>
      <w:sz w:val="18"/>
      <w:szCs w:val="24"/>
    </w:rPr>
  </w:style>
  <w:style w:type="paragraph" w:styleId="CommentSubject">
    <w:name w:val="annotation subject"/>
    <w:basedOn w:val="CommentText"/>
    <w:next w:val="CommentText"/>
    <w:link w:val="CommentSubjectChar"/>
    <w:uiPriority w:val="99"/>
    <w:semiHidden/>
    <w:unhideWhenUsed/>
    <w:rsid w:val="004E7ED5"/>
    <w:rPr>
      <w:b/>
      <w:bCs/>
    </w:rPr>
  </w:style>
  <w:style w:type="character" w:customStyle="1" w:styleId="CommentSubjectChar">
    <w:name w:val="Comment Subject Char"/>
    <w:basedOn w:val="CommentTextChar"/>
    <w:link w:val="CommentSubject"/>
    <w:uiPriority w:val="99"/>
    <w:semiHidden/>
    <w:rsid w:val="004E7ED5"/>
    <w:rPr>
      <w:rFonts w:ascii="News Gothic Cyr" w:hAnsi="News Gothic Cyr"/>
      <w:b/>
      <w:bCs/>
    </w:rPr>
  </w:style>
  <w:style w:type="paragraph" w:styleId="FootnoteText">
    <w:name w:val="footnote text"/>
    <w:basedOn w:val="Normal"/>
    <w:link w:val="FootnoteTextChar"/>
    <w:uiPriority w:val="99"/>
    <w:unhideWhenUsed/>
    <w:rsid w:val="00F134D5"/>
    <w:pPr>
      <w:widowControl/>
      <w:jc w:val="left"/>
    </w:pPr>
    <w:rPr>
      <w:rFonts w:asciiTheme="minorHAnsi" w:eastAsiaTheme="minorHAnsi" w:hAnsiTheme="minorHAnsi" w:cstheme="minorBidi"/>
      <w:sz w:val="20"/>
      <w:szCs w:val="20"/>
      <w:lang w:val="en-US" w:eastAsia="en-US"/>
    </w:rPr>
  </w:style>
  <w:style w:type="character" w:customStyle="1" w:styleId="FootnoteTextChar">
    <w:name w:val="Footnote Text Char"/>
    <w:basedOn w:val="DefaultParagraphFont"/>
    <w:link w:val="FootnoteText"/>
    <w:uiPriority w:val="99"/>
    <w:rsid w:val="00F134D5"/>
    <w:rPr>
      <w:rFonts w:asciiTheme="minorHAnsi" w:eastAsiaTheme="minorHAnsi" w:hAnsiTheme="minorHAnsi" w:cstheme="minorBidi"/>
      <w:lang w:val="en-US" w:eastAsia="en-US"/>
    </w:rPr>
  </w:style>
  <w:style w:type="character" w:styleId="FootnoteReference">
    <w:name w:val="footnote reference"/>
    <w:basedOn w:val="DefaultParagraphFont"/>
    <w:uiPriority w:val="99"/>
    <w:unhideWhenUsed/>
    <w:rsid w:val="00F134D5"/>
    <w:rPr>
      <w:vertAlign w:val="superscript"/>
    </w:rPr>
  </w:style>
  <w:style w:type="paragraph" w:styleId="PlainText">
    <w:name w:val="Plain Text"/>
    <w:basedOn w:val="Normal"/>
    <w:link w:val="PlainTextChar"/>
    <w:uiPriority w:val="99"/>
    <w:semiHidden/>
    <w:unhideWhenUsed/>
    <w:rsid w:val="00DA5050"/>
    <w:pPr>
      <w:widowControl/>
      <w:jc w:val="left"/>
    </w:pPr>
    <w:rPr>
      <w:rFonts w:ascii="News Gothic Cyr" w:eastAsiaTheme="minorHAnsi" w:hAnsi="News Gothic Cyr"/>
      <w:szCs w:val="22"/>
    </w:rPr>
  </w:style>
  <w:style w:type="character" w:customStyle="1" w:styleId="PlainTextChar">
    <w:name w:val="Plain Text Char"/>
    <w:basedOn w:val="DefaultParagraphFont"/>
    <w:link w:val="PlainText"/>
    <w:uiPriority w:val="99"/>
    <w:semiHidden/>
    <w:rsid w:val="00DA5050"/>
    <w:rPr>
      <w:rFonts w:ascii="News Gothic Cyr" w:eastAsiaTheme="minorHAnsi" w:hAnsi="News Gothic Cyr"/>
      <w:sz w:val="22"/>
      <w:szCs w:val="22"/>
    </w:rPr>
  </w:style>
  <w:style w:type="paragraph" w:styleId="HTMLPreformatted">
    <w:name w:val="HTML Preformatted"/>
    <w:basedOn w:val="Normal"/>
    <w:link w:val="HTMLPreformattedChar"/>
    <w:uiPriority w:val="99"/>
    <w:unhideWhenUsed/>
    <w:rsid w:val="00F3551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HAnsi" w:hAnsi="Courier New" w:cs="Courier New"/>
      <w:color w:val="000000"/>
      <w:sz w:val="20"/>
      <w:szCs w:val="20"/>
    </w:rPr>
  </w:style>
  <w:style w:type="character" w:customStyle="1" w:styleId="HTMLPreformattedChar">
    <w:name w:val="HTML Preformatted Char"/>
    <w:basedOn w:val="DefaultParagraphFont"/>
    <w:link w:val="HTMLPreformatted"/>
    <w:uiPriority w:val="99"/>
    <w:rsid w:val="00F3551F"/>
    <w:rPr>
      <w:rFonts w:ascii="Courier New" w:eastAsiaTheme="minorHAnsi" w:hAnsi="Courier New" w:cs="Courier New"/>
      <w:color w:val="000000"/>
    </w:rPr>
  </w:style>
</w:styles>
</file>

<file path=word/webSettings.xml><?xml version="1.0" encoding="utf-8"?>
<w:webSettings xmlns:r="http://schemas.openxmlformats.org/officeDocument/2006/relationships" xmlns:w="http://schemas.openxmlformats.org/wordprocessingml/2006/main">
  <w:divs>
    <w:div w:id="84808">
      <w:bodyDiv w:val="1"/>
      <w:marLeft w:val="0"/>
      <w:marRight w:val="0"/>
      <w:marTop w:val="0"/>
      <w:marBottom w:val="0"/>
      <w:divBdr>
        <w:top w:val="none" w:sz="0" w:space="0" w:color="auto"/>
        <w:left w:val="none" w:sz="0" w:space="0" w:color="auto"/>
        <w:bottom w:val="none" w:sz="0" w:space="0" w:color="auto"/>
        <w:right w:val="none" w:sz="0" w:space="0" w:color="auto"/>
      </w:divBdr>
    </w:div>
    <w:div w:id="737862">
      <w:bodyDiv w:val="1"/>
      <w:marLeft w:val="0"/>
      <w:marRight w:val="0"/>
      <w:marTop w:val="0"/>
      <w:marBottom w:val="0"/>
      <w:divBdr>
        <w:top w:val="none" w:sz="0" w:space="0" w:color="auto"/>
        <w:left w:val="none" w:sz="0" w:space="0" w:color="auto"/>
        <w:bottom w:val="none" w:sz="0" w:space="0" w:color="auto"/>
        <w:right w:val="none" w:sz="0" w:space="0" w:color="auto"/>
      </w:divBdr>
    </w:div>
    <w:div w:id="1706087">
      <w:bodyDiv w:val="1"/>
      <w:marLeft w:val="0"/>
      <w:marRight w:val="0"/>
      <w:marTop w:val="0"/>
      <w:marBottom w:val="0"/>
      <w:divBdr>
        <w:top w:val="none" w:sz="0" w:space="0" w:color="auto"/>
        <w:left w:val="none" w:sz="0" w:space="0" w:color="auto"/>
        <w:bottom w:val="none" w:sz="0" w:space="0" w:color="auto"/>
        <w:right w:val="none" w:sz="0" w:space="0" w:color="auto"/>
      </w:divBdr>
    </w:div>
    <w:div w:id="12465319">
      <w:bodyDiv w:val="1"/>
      <w:marLeft w:val="0"/>
      <w:marRight w:val="0"/>
      <w:marTop w:val="0"/>
      <w:marBottom w:val="0"/>
      <w:divBdr>
        <w:top w:val="none" w:sz="0" w:space="0" w:color="auto"/>
        <w:left w:val="none" w:sz="0" w:space="0" w:color="auto"/>
        <w:bottom w:val="none" w:sz="0" w:space="0" w:color="auto"/>
        <w:right w:val="none" w:sz="0" w:space="0" w:color="auto"/>
      </w:divBdr>
    </w:div>
    <w:div w:id="14314647">
      <w:bodyDiv w:val="1"/>
      <w:marLeft w:val="0"/>
      <w:marRight w:val="0"/>
      <w:marTop w:val="0"/>
      <w:marBottom w:val="0"/>
      <w:divBdr>
        <w:top w:val="none" w:sz="0" w:space="0" w:color="auto"/>
        <w:left w:val="none" w:sz="0" w:space="0" w:color="auto"/>
        <w:bottom w:val="none" w:sz="0" w:space="0" w:color="auto"/>
        <w:right w:val="none" w:sz="0" w:space="0" w:color="auto"/>
      </w:divBdr>
    </w:div>
    <w:div w:id="21758335">
      <w:bodyDiv w:val="1"/>
      <w:marLeft w:val="0"/>
      <w:marRight w:val="0"/>
      <w:marTop w:val="0"/>
      <w:marBottom w:val="0"/>
      <w:divBdr>
        <w:top w:val="none" w:sz="0" w:space="0" w:color="auto"/>
        <w:left w:val="none" w:sz="0" w:space="0" w:color="auto"/>
        <w:bottom w:val="none" w:sz="0" w:space="0" w:color="auto"/>
        <w:right w:val="none" w:sz="0" w:space="0" w:color="auto"/>
      </w:divBdr>
    </w:div>
    <w:div w:id="32968721">
      <w:bodyDiv w:val="1"/>
      <w:marLeft w:val="0"/>
      <w:marRight w:val="0"/>
      <w:marTop w:val="0"/>
      <w:marBottom w:val="0"/>
      <w:divBdr>
        <w:top w:val="none" w:sz="0" w:space="0" w:color="auto"/>
        <w:left w:val="none" w:sz="0" w:space="0" w:color="auto"/>
        <w:bottom w:val="none" w:sz="0" w:space="0" w:color="auto"/>
        <w:right w:val="none" w:sz="0" w:space="0" w:color="auto"/>
      </w:divBdr>
    </w:div>
    <w:div w:id="33163988">
      <w:bodyDiv w:val="1"/>
      <w:marLeft w:val="0"/>
      <w:marRight w:val="0"/>
      <w:marTop w:val="0"/>
      <w:marBottom w:val="0"/>
      <w:divBdr>
        <w:top w:val="none" w:sz="0" w:space="0" w:color="auto"/>
        <w:left w:val="none" w:sz="0" w:space="0" w:color="auto"/>
        <w:bottom w:val="none" w:sz="0" w:space="0" w:color="auto"/>
        <w:right w:val="none" w:sz="0" w:space="0" w:color="auto"/>
      </w:divBdr>
    </w:div>
    <w:div w:id="44112772">
      <w:bodyDiv w:val="1"/>
      <w:marLeft w:val="0"/>
      <w:marRight w:val="0"/>
      <w:marTop w:val="0"/>
      <w:marBottom w:val="0"/>
      <w:divBdr>
        <w:top w:val="none" w:sz="0" w:space="0" w:color="auto"/>
        <w:left w:val="none" w:sz="0" w:space="0" w:color="auto"/>
        <w:bottom w:val="none" w:sz="0" w:space="0" w:color="auto"/>
        <w:right w:val="none" w:sz="0" w:space="0" w:color="auto"/>
      </w:divBdr>
    </w:div>
    <w:div w:id="49694337">
      <w:bodyDiv w:val="1"/>
      <w:marLeft w:val="0"/>
      <w:marRight w:val="0"/>
      <w:marTop w:val="0"/>
      <w:marBottom w:val="0"/>
      <w:divBdr>
        <w:top w:val="none" w:sz="0" w:space="0" w:color="auto"/>
        <w:left w:val="none" w:sz="0" w:space="0" w:color="auto"/>
        <w:bottom w:val="none" w:sz="0" w:space="0" w:color="auto"/>
        <w:right w:val="none" w:sz="0" w:space="0" w:color="auto"/>
      </w:divBdr>
    </w:div>
    <w:div w:id="55279260">
      <w:bodyDiv w:val="1"/>
      <w:marLeft w:val="0"/>
      <w:marRight w:val="0"/>
      <w:marTop w:val="0"/>
      <w:marBottom w:val="0"/>
      <w:divBdr>
        <w:top w:val="none" w:sz="0" w:space="0" w:color="auto"/>
        <w:left w:val="none" w:sz="0" w:space="0" w:color="auto"/>
        <w:bottom w:val="none" w:sz="0" w:space="0" w:color="auto"/>
        <w:right w:val="none" w:sz="0" w:space="0" w:color="auto"/>
      </w:divBdr>
    </w:div>
    <w:div w:id="56785541">
      <w:bodyDiv w:val="1"/>
      <w:marLeft w:val="0"/>
      <w:marRight w:val="0"/>
      <w:marTop w:val="0"/>
      <w:marBottom w:val="0"/>
      <w:divBdr>
        <w:top w:val="none" w:sz="0" w:space="0" w:color="auto"/>
        <w:left w:val="none" w:sz="0" w:space="0" w:color="auto"/>
        <w:bottom w:val="none" w:sz="0" w:space="0" w:color="auto"/>
        <w:right w:val="none" w:sz="0" w:space="0" w:color="auto"/>
      </w:divBdr>
    </w:div>
    <w:div w:id="58750120">
      <w:bodyDiv w:val="1"/>
      <w:marLeft w:val="0"/>
      <w:marRight w:val="0"/>
      <w:marTop w:val="0"/>
      <w:marBottom w:val="0"/>
      <w:divBdr>
        <w:top w:val="none" w:sz="0" w:space="0" w:color="auto"/>
        <w:left w:val="none" w:sz="0" w:space="0" w:color="auto"/>
        <w:bottom w:val="none" w:sz="0" w:space="0" w:color="auto"/>
        <w:right w:val="none" w:sz="0" w:space="0" w:color="auto"/>
      </w:divBdr>
    </w:div>
    <w:div w:id="58939186">
      <w:bodyDiv w:val="1"/>
      <w:marLeft w:val="0"/>
      <w:marRight w:val="0"/>
      <w:marTop w:val="0"/>
      <w:marBottom w:val="0"/>
      <w:divBdr>
        <w:top w:val="none" w:sz="0" w:space="0" w:color="auto"/>
        <w:left w:val="none" w:sz="0" w:space="0" w:color="auto"/>
        <w:bottom w:val="none" w:sz="0" w:space="0" w:color="auto"/>
        <w:right w:val="none" w:sz="0" w:space="0" w:color="auto"/>
      </w:divBdr>
    </w:div>
    <w:div w:id="58940755">
      <w:bodyDiv w:val="1"/>
      <w:marLeft w:val="0"/>
      <w:marRight w:val="0"/>
      <w:marTop w:val="0"/>
      <w:marBottom w:val="0"/>
      <w:divBdr>
        <w:top w:val="none" w:sz="0" w:space="0" w:color="auto"/>
        <w:left w:val="none" w:sz="0" w:space="0" w:color="auto"/>
        <w:bottom w:val="none" w:sz="0" w:space="0" w:color="auto"/>
        <w:right w:val="none" w:sz="0" w:space="0" w:color="auto"/>
      </w:divBdr>
    </w:div>
    <w:div w:id="62916016">
      <w:bodyDiv w:val="1"/>
      <w:marLeft w:val="0"/>
      <w:marRight w:val="0"/>
      <w:marTop w:val="0"/>
      <w:marBottom w:val="0"/>
      <w:divBdr>
        <w:top w:val="none" w:sz="0" w:space="0" w:color="auto"/>
        <w:left w:val="none" w:sz="0" w:space="0" w:color="auto"/>
        <w:bottom w:val="none" w:sz="0" w:space="0" w:color="auto"/>
        <w:right w:val="none" w:sz="0" w:space="0" w:color="auto"/>
      </w:divBdr>
    </w:div>
    <w:div w:id="68698147">
      <w:bodyDiv w:val="1"/>
      <w:marLeft w:val="0"/>
      <w:marRight w:val="0"/>
      <w:marTop w:val="0"/>
      <w:marBottom w:val="0"/>
      <w:divBdr>
        <w:top w:val="none" w:sz="0" w:space="0" w:color="auto"/>
        <w:left w:val="none" w:sz="0" w:space="0" w:color="auto"/>
        <w:bottom w:val="none" w:sz="0" w:space="0" w:color="auto"/>
        <w:right w:val="none" w:sz="0" w:space="0" w:color="auto"/>
      </w:divBdr>
    </w:div>
    <w:div w:id="72313707">
      <w:bodyDiv w:val="1"/>
      <w:marLeft w:val="0"/>
      <w:marRight w:val="0"/>
      <w:marTop w:val="0"/>
      <w:marBottom w:val="0"/>
      <w:divBdr>
        <w:top w:val="none" w:sz="0" w:space="0" w:color="auto"/>
        <w:left w:val="none" w:sz="0" w:space="0" w:color="auto"/>
        <w:bottom w:val="none" w:sz="0" w:space="0" w:color="auto"/>
        <w:right w:val="none" w:sz="0" w:space="0" w:color="auto"/>
      </w:divBdr>
    </w:div>
    <w:div w:id="89552614">
      <w:bodyDiv w:val="1"/>
      <w:marLeft w:val="0"/>
      <w:marRight w:val="0"/>
      <w:marTop w:val="0"/>
      <w:marBottom w:val="0"/>
      <w:divBdr>
        <w:top w:val="none" w:sz="0" w:space="0" w:color="auto"/>
        <w:left w:val="none" w:sz="0" w:space="0" w:color="auto"/>
        <w:bottom w:val="none" w:sz="0" w:space="0" w:color="auto"/>
        <w:right w:val="none" w:sz="0" w:space="0" w:color="auto"/>
      </w:divBdr>
    </w:div>
    <w:div w:id="101146134">
      <w:bodyDiv w:val="1"/>
      <w:marLeft w:val="0"/>
      <w:marRight w:val="0"/>
      <w:marTop w:val="0"/>
      <w:marBottom w:val="0"/>
      <w:divBdr>
        <w:top w:val="none" w:sz="0" w:space="0" w:color="auto"/>
        <w:left w:val="none" w:sz="0" w:space="0" w:color="auto"/>
        <w:bottom w:val="none" w:sz="0" w:space="0" w:color="auto"/>
        <w:right w:val="none" w:sz="0" w:space="0" w:color="auto"/>
      </w:divBdr>
    </w:div>
    <w:div w:id="104496576">
      <w:bodyDiv w:val="1"/>
      <w:marLeft w:val="0"/>
      <w:marRight w:val="0"/>
      <w:marTop w:val="0"/>
      <w:marBottom w:val="0"/>
      <w:divBdr>
        <w:top w:val="none" w:sz="0" w:space="0" w:color="auto"/>
        <w:left w:val="none" w:sz="0" w:space="0" w:color="auto"/>
        <w:bottom w:val="none" w:sz="0" w:space="0" w:color="auto"/>
        <w:right w:val="none" w:sz="0" w:space="0" w:color="auto"/>
      </w:divBdr>
    </w:div>
    <w:div w:id="108278521">
      <w:bodyDiv w:val="1"/>
      <w:marLeft w:val="0"/>
      <w:marRight w:val="0"/>
      <w:marTop w:val="0"/>
      <w:marBottom w:val="0"/>
      <w:divBdr>
        <w:top w:val="none" w:sz="0" w:space="0" w:color="auto"/>
        <w:left w:val="none" w:sz="0" w:space="0" w:color="auto"/>
        <w:bottom w:val="none" w:sz="0" w:space="0" w:color="auto"/>
        <w:right w:val="none" w:sz="0" w:space="0" w:color="auto"/>
      </w:divBdr>
    </w:div>
    <w:div w:id="109932554">
      <w:bodyDiv w:val="1"/>
      <w:marLeft w:val="0"/>
      <w:marRight w:val="0"/>
      <w:marTop w:val="0"/>
      <w:marBottom w:val="0"/>
      <w:divBdr>
        <w:top w:val="none" w:sz="0" w:space="0" w:color="auto"/>
        <w:left w:val="none" w:sz="0" w:space="0" w:color="auto"/>
        <w:bottom w:val="none" w:sz="0" w:space="0" w:color="auto"/>
        <w:right w:val="none" w:sz="0" w:space="0" w:color="auto"/>
      </w:divBdr>
    </w:div>
    <w:div w:id="111095354">
      <w:bodyDiv w:val="1"/>
      <w:marLeft w:val="0"/>
      <w:marRight w:val="0"/>
      <w:marTop w:val="0"/>
      <w:marBottom w:val="0"/>
      <w:divBdr>
        <w:top w:val="none" w:sz="0" w:space="0" w:color="auto"/>
        <w:left w:val="none" w:sz="0" w:space="0" w:color="auto"/>
        <w:bottom w:val="none" w:sz="0" w:space="0" w:color="auto"/>
        <w:right w:val="none" w:sz="0" w:space="0" w:color="auto"/>
      </w:divBdr>
    </w:div>
    <w:div w:id="111290593">
      <w:bodyDiv w:val="1"/>
      <w:marLeft w:val="0"/>
      <w:marRight w:val="0"/>
      <w:marTop w:val="0"/>
      <w:marBottom w:val="0"/>
      <w:divBdr>
        <w:top w:val="none" w:sz="0" w:space="0" w:color="auto"/>
        <w:left w:val="none" w:sz="0" w:space="0" w:color="auto"/>
        <w:bottom w:val="none" w:sz="0" w:space="0" w:color="auto"/>
        <w:right w:val="none" w:sz="0" w:space="0" w:color="auto"/>
      </w:divBdr>
    </w:div>
    <w:div w:id="111364239">
      <w:bodyDiv w:val="1"/>
      <w:marLeft w:val="0"/>
      <w:marRight w:val="0"/>
      <w:marTop w:val="0"/>
      <w:marBottom w:val="0"/>
      <w:divBdr>
        <w:top w:val="none" w:sz="0" w:space="0" w:color="auto"/>
        <w:left w:val="none" w:sz="0" w:space="0" w:color="auto"/>
        <w:bottom w:val="none" w:sz="0" w:space="0" w:color="auto"/>
        <w:right w:val="none" w:sz="0" w:space="0" w:color="auto"/>
      </w:divBdr>
    </w:div>
    <w:div w:id="118765879">
      <w:bodyDiv w:val="1"/>
      <w:marLeft w:val="0"/>
      <w:marRight w:val="0"/>
      <w:marTop w:val="0"/>
      <w:marBottom w:val="0"/>
      <w:divBdr>
        <w:top w:val="none" w:sz="0" w:space="0" w:color="auto"/>
        <w:left w:val="none" w:sz="0" w:space="0" w:color="auto"/>
        <w:bottom w:val="none" w:sz="0" w:space="0" w:color="auto"/>
        <w:right w:val="none" w:sz="0" w:space="0" w:color="auto"/>
      </w:divBdr>
    </w:div>
    <w:div w:id="119694524">
      <w:bodyDiv w:val="1"/>
      <w:marLeft w:val="0"/>
      <w:marRight w:val="0"/>
      <w:marTop w:val="0"/>
      <w:marBottom w:val="0"/>
      <w:divBdr>
        <w:top w:val="none" w:sz="0" w:space="0" w:color="auto"/>
        <w:left w:val="none" w:sz="0" w:space="0" w:color="auto"/>
        <w:bottom w:val="none" w:sz="0" w:space="0" w:color="auto"/>
        <w:right w:val="none" w:sz="0" w:space="0" w:color="auto"/>
      </w:divBdr>
    </w:div>
    <w:div w:id="129175804">
      <w:bodyDiv w:val="1"/>
      <w:marLeft w:val="0"/>
      <w:marRight w:val="0"/>
      <w:marTop w:val="0"/>
      <w:marBottom w:val="0"/>
      <w:divBdr>
        <w:top w:val="none" w:sz="0" w:space="0" w:color="auto"/>
        <w:left w:val="none" w:sz="0" w:space="0" w:color="auto"/>
        <w:bottom w:val="none" w:sz="0" w:space="0" w:color="auto"/>
        <w:right w:val="none" w:sz="0" w:space="0" w:color="auto"/>
      </w:divBdr>
    </w:div>
    <w:div w:id="131800290">
      <w:bodyDiv w:val="1"/>
      <w:marLeft w:val="0"/>
      <w:marRight w:val="0"/>
      <w:marTop w:val="0"/>
      <w:marBottom w:val="0"/>
      <w:divBdr>
        <w:top w:val="none" w:sz="0" w:space="0" w:color="auto"/>
        <w:left w:val="none" w:sz="0" w:space="0" w:color="auto"/>
        <w:bottom w:val="none" w:sz="0" w:space="0" w:color="auto"/>
        <w:right w:val="none" w:sz="0" w:space="0" w:color="auto"/>
      </w:divBdr>
    </w:div>
    <w:div w:id="133719793">
      <w:bodyDiv w:val="1"/>
      <w:marLeft w:val="0"/>
      <w:marRight w:val="0"/>
      <w:marTop w:val="0"/>
      <w:marBottom w:val="0"/>
      <w:divBdr>
        <w:top w:val="none" w:sz="0" w:space="0" w:color="auto"/>
        <w:left w:val="none" w:sz="0" w:space="0" w:color="auto"/>
        <w:bottom w:val="none" w:sz="0" w:space="0" w:color="auto"/>
        <w:right w:val="none" w:sz="0" w:space="0" w:color="auto"/>
      </w:divBdr>
    </w:div>
    <w:div w:id="137039419">
      <w:bodyDiv w:val="1"/>
      <w:marLeft w:val="0"/>
      <w:marRight w:val="0"/>
      <w:marTop w:val="0"/>
      <w:marBottom w:val="0"/>
      <w:divBdr>
        <w:top w:val="none" w:sz="0" w:space="0" w:color="auto"/>
        <w:left w:val="none" w:sz="0" w:space="0" w:color="auto"/>
        <w:bottom w:val="none" w:sz="0" w:space="0" w:color="auto"/>
        <w:right w:val="none" w:sz="0" w:space="0" w:color="auto"/>
      </w:divBdr>
    </w:div>
    <w:div w:id="145318264">
      <w:bodyDiv w:val="1"/>
      <w:marLeft w:val="0"/>
      <w:marRight w:val="0"/>
      <w:marTop w:val="0"/>
      <w:marBottom w:val="0"/>
      <w:divBdr>
        <w:top w:val="none" w:sz="0" w:space="0" w:color="auto"/>
        <w:left w:val="none" w:sz="0" w:space="0" w:color="auto"/>
        <w:bottom w:val="none" w:sz="0" w:space="0" w:color="auto"/>
        <w:right w:val="none" w:sz="0" w:space="0" w:color="auto"/>
      </w:divBdr>
    </w:div>
    <w:div w:id="149829900">
      <w:bodyDiv w:val="1"/>
      <w:marLeft w:val="0"/>
      <w:marRight w:val="0"/>
      <w:marTop w:val="0"/>
      <w:marBottom w:val="0"/>
      <w:divBdr>
        <w:top w:val="none" w:sz="0" w:space="0" w:color="auto"/>
        <w:left w:val="none" w:sz="0" w:space="0" w:color="auto"/>
        <w:bottom w:val="none" w:sz="0" w:space="0" w:color="auto"/>
        <w:right w:val="none" w:sz="0" w:space="0" w:color="auto"/>
      </w:divBdr>
    </w:div>
    <w:div w:id="153376122">
      <w:bodyDiv w:val="1"/>
      <w:marLeft w:val="0"/>
      <w:marRight w:val="0"/>
      <w:marTop w:val="0"/>
      <w:marBottom w:val="0"/>
      <w:divBdr>
        <w:top w:val="none" w:sz="0" w:space="0" w:color="auto"/>
        <w:left w:val="none" w:sz="0" w:space="0" w:color="auto"/>
        <w:bottom w:val="none" w:sz="0" w:space="0" w:color="auto"/>
        <w:right w:val="none" w:sz="0" w:space="0" w:color="auto"/>
      </w:divBdr>
    </w:div>
    <w:div w:id="155726642">
      <w:bodyDiv w:val="1"/>
      <w:marLeft w:val="0"/>
      <w:marRight w:val="0"/>
      <w:marTop w:val="0"/>
      <w:marBottom w:val="0"/>
      <w:divBdr>
        <w:top w:val="none" w:sz="0" w:space="0" w:color="auto"/>
        <w:left w:val="none" w:sz="0" w:space="0" w:color="auto"/>
        <w:bottom w:val="none" w:sz="0" w:space="0" w:color="auto"/>
        <w:right w:val="none" w:sz="0" w:space="0" w:color="auto"/>
      </w:divBdr>
    </w:div>
    <w:div w:id="164635042">
      <w:bodyDiv w:val="1"/>
      <w:marLeft w:val="0"/>
      <w:marRight w:val="0"/>
      <w:marTop w:val="0"/>
      <w:marBottom w:val="0"/>
      <w:divBdr>
        <w:top w:val="none" w:sz="0" w:space="0" w:color="auto"/>
        <w:left w:val="none" w:sz="0" w:space="0" w:color="auto"/>
        <w:bottom w:val="none" w:sz="0" w:space="0" w:color="auto"/>
        <w:right w:val="none" w:sz="0" w:space="0" w:color="auto"/>
      </w:divBdr>
    </w:div>
    <w:div w:id="165704984">
      <w:bodyDiv w:val="1"/>
      <w:marLeft w:val="0"/>
      <w:marRight w:val="0"/>
      <w:marTop w:val="0"/>
      <w:marBottom w:val="0"/>
      <w:divBdr>
        <w:top w:val="none" w:sz="0" w:space="0" w:color="auto"/>
        <w:left w:val="none" w:sz="0" w:space="0" w:color="auto"/>
        <w:bottom w:val="none" w:sz="0" w:space="0" w:color="auto"/>
        <w:right w:val="none" w:sz="0" w:space="0" w:color="auto"/>
      </w:divBdr>
    </w:div>
    <w:div w:id="165752485">
      <w:bodyDiv w:val="1"/>
      <w:marLeft w:val="0"/>
      <w:marRight w:val="0"/>
      <w:marTop w:val="0"/>
      <w:marBottom w:val="0"/>
      <w:divBdr>
        <w:top w:val="none" w:sz="0" w:space="0" w:color="auto"/>
        <w:left w:val="none" w:sz="0" w:space="0" w:color="auto"/>
        <w:bottom w:val="none" w:sz="0" w:space="0" w:color="auto"/>
        <w:right w:val="none" w:sz="0" w:space="0" w:color="auto"/>
      </w:divBdr>
    </w:div>
    <w:div w:id="165823883">
      <w:bodyDiv w:val="1"/>
      <w:marLeft w:val="0"/>
      <w:marRight w:val="0"/>
      <w:marTop w:val="0"/>
      <w:marBottom w:val="0"/>
      <w:divBdr>
        <w:top w:val="none" w:sz="0" w:space="0" w:color="auto"/>
        <w:left w:val="none" w:sz="0" w:space="0" w:color="auto"/>
        <w:bottom w:val="none" w:sz="0" w:space="0" w:color="auto"/>
        <w:right w:val="none" w:sz="0" w:space="0" w:color="auto"/>
      </w:divBdr>
    </w:div>
    <w:div w:id="167136820">
      <w:bodyDiv w:val="1"/>
      <w:marLeft w:val="0"/>
      <w:marRight w:val="0"/>
      <w:marTop w:val="0"/>
      <w:marBottom w:val="0"/>
      <w:divBdr>
        <w:top w:val="none" w:sz="0" w:space="0" w:color="auto"/>
        <w:left w:val="none" w:sz="0" w:space="0" w:color="auto"/>
        <w:bottom w:val="none" w:sz="0" w:space="0" w:color="auto"/>
        <w:right w:val="none" w:sz="0" w:space="0" w:color="auto"/>
      </w:divBdr>
    </w:div>
    <w:div w:id="172033457">
      <w:bodyDiv w:val="1"/>
      <w:marLeft w:val="0"/>
      <w:marRight w:val="0"/>
      <w:marTop w:val="0"/>
      <w:marBottom w:val="0"/>
      <w:divBdr>
        <w:top w:val="none" w:sz="0" w:space="0" w:color="auto"/>
        <w:left w:val="none" w:sz="0" w:space="0" w:color="auto"/>
        <w:bottom w:val="none" w:sz="0" w:space="0" w:color="auto"/>
        <w:right w:val="none" w:sz="0" w:space="0" w:color="auto"/>
      </w:divBdr>
    </w:div>
    <w:div w:id="173349207">
      <w:bodyDiv w:val="1"/>
      <w:marLeft w:val="0"/>
      <w:marRight w:val="0"/>
      <w:marTop w:val="0"/>
      <w:marBottom w:val="0"/>
      <w:divBdr>
        <w:top w:val="none" w:sz="0" w:space="0" w:color="auto"/>
        <w:left w:val="none" w:sz="0" w:space="0" w:color="auto"/>
        <w:bottom w:val="none" w:sz="0" w:space="0" w:color="auto"/>
        <w:right w:val="none" w:sz="0" w:space="0" w:color="auto"/>
      </w:divBdr>
    </w:div>
    <w:div w:id="174269726">
      <w:bodyDiv w:val="1"/>
      <w:marLeft w:val="0"/>
      <w:marRight w:val="0"/>
      <w:marTop w:val="0"/>
      <w:marBottom w:val="0"/>
      <w:divBdr>
        <w:top w:val="none" w:sz="0" w:space="0" w:color="auto"/>
        <w:left w:val="none" w:sz="0" w:space="0" w:color="auto"/>
        <w:bottom w:val="none" w:sz="0" w:space="0" w:color="auto"/>
        <w:right w:val="none" w:sz="0" w:space="0" w:color="auto"/>
      </w:divBdr>
    </w:div>
    <w:div w:id="178351831">
      <w:bodyDiv w:val="1"/>
      <w:marLeft w:val="0"/>
      <w:marRight w:val="0"/>
      <w:marTop w:val="0"/>
      <w:marBottom w:val="0"/>
      <w:divBdr>
        <w:top w:val="none" w:sz="0" w:space="0" w:color="auto"/>
        <w:left w:val="none" w:sz="0" w:space="0" w:color="auto"/>
        <w:bottom w:val="none" w:sz="0" w:space="0" w:color="auto"/>
        <w:right w:val="none" w:sz="0" w:space="0" w:color="auto"/>
      </w:divBdr>
    </w:div>
    <w:div w:id="186220150">
      <w:bodyDiv w:val="1"/>
      <w:marLeft w:val="0"/>
      <w:marRight w:val="0"/>
      <w:marTop w:val="0"/>
      <w:marBottom w:val="0"/>
      <w:divBdr>
        <w:top w:val="none" w:sz="0" w:space="0" w:color="auto"/>
        <w:left w:val="none" w:sz="0" w:space="0" w:color="auto"/>
        <w:bottom w:val="none" w:sz="0" w:space="0" w:color="auto"/>
        <w:right w:val="none" w:sz="0" w:space="0" w:color="auto"/>
      </w:divBdr>
    </w:div>
    <w:div w:id="191305743">
      <w:bodyDiv w:val="1"/>
      <w:marLeft w:val="0"/>
      <w:marRight w:val="0"/>
      <w:marTop w:val="0"/>
      <w:marBottom w:val="0"/>
      <w:divBdr>
        <w:top w:val="none" w:sz="0" w:space="0" w:color="auto"/>
        <w:left w:val="none" w:sz="0" w:space="0" w:color="auto"/>
        <w:bottom w:val="none" w:sz="0" w:space="0" w:color="auto"/>
        <w:right w:val="none" w:sz="0" w:space="0" w:color="auto"/>
      </w:divBdr>
    </w:div>
    <w:div w:id="199054379">
      <w:bodyDiv w:val="1"/>
      <w:marLeft w:val="0"/>
      <w:marRight w:val="0"/>
      <w:marTop w:val="0"/>
      <w:marBottom w:val="0"/>
      <w:divBdr>
        <w:top w:val="none" w:sz="0" w:space="0" w:color="auto"/>
        <w:left w:val="none" w:sz="0" w:space="0" w:color="auto"/>
        <w:bottom w:val="none" w:sz="0" w:space="0" w:color="auto"/>
        <w:right w:val="none" w:sz="0" w:space="0" w:color="auto"/>
      </w:divBdr>
    </w:div>
    <w:div w:id="211890677">
      <w:bodyDiv w:val="1"/>
      <w:marLeft w:val="0"/>
      <w:marRight w:val="0"/>
      <w:marTop w:val="0"/>
      <w:marBottom w:val="0"/>
      <w:divBdr>
        <w:top w:val="none" w:sz="0" w:space="0" w:color="auto"/>
        <w:left w:val="none" w:sz="0" w:space="0" w:color="auto"/>
        <w:bottom w:val="none" w:sz="0" w:space="0" w:color="auto"/>
        <w:right w:val="none" w:sz="0" w:space="0" w:color="auto"/>
      </w:divBdr>
    </w:div>
    <w:div w:id="214396842">
      <w:bodyDiv w:val="1"/>
      <w:marLeft w:val="0"/>
      <w:marRight w:val="0"/>
      <w:marTop w:val="0"/>
      <w:marBottom w:val="0"/>
      <w:divBdr>
        <w:top w:val="none" w:sz="0" w:space="0" w:color="auto"/>
        <w:left w:val="none" w:sz="0" w:space="0" w:color="auto"/>
        <w:bottom w:val="none" w:sz="0" w:space="0" w:color="auto"/>
        <w:right w:val="none" w:sz="0" w:space="0" w:color="auto"/>
      </w:divBdr>
    </w:div>
    <w:div w:id="217058219">
      <w:bodyDiv w:val="1"/>
      <w:marLeft w:val="0"/>
      <w:marRight w:val="0"/>
      <w:marTop w:val="0"/>
      <w:marBottom w:val="0"/>
      <w:divBdr>
        <w:top w:val="none" w:sz="0" w:space="0" w:color="auto"/>
        <w:left w:val="none" w:sz="0" w:space="0" w:color="auto"/>
        <w:bottom w:val="none" w:sz="0" w:space="0" w:color="auto"/>
        <w:right w:val="none" w:sz="0" w:space="0" w:color="auto"/>
      </w:divBdr>
    </w:div>
    <w:div w:id="217203286">
      <w:bodyDiv w:val="1"/>
      <w:marLeft w:val="0"/>
      <w:marRight w:val="0"/>
      <w:marTop w:val="0"/>
      <w:marBottom w:val="0"/>
      <w:divBdr>
        <w:top w:val="none" w:sz="0" w:space="0" w:color="auto"/>
        <w:left w:val="none" w:sz="0" w:space="0" w:color="auto"/>
        <w:bottom w:val="none" w:sz="0" w:space="0" w:color="auto"/>
        <w:right w:val="none" w:sz="0" w:space="0" w:color="auto"/>
      </w:divBdr>
    </w:div>
    <w:div w:id="220560096">
      <w:bodyDiv w:val="1"/>
      <w:marLeft w:val="0"/>
      <w:marRight w:val="0"/>
      <w:marTop w:val="0"/>
      <w:marBottom w:val="0"/>
      <w:divBdr>
        <w:top w:val="none" w:sz="0" w:space="0" w:color="auto"/>
        <w:left w:val="none" w:sz="0" w:space="0" w:color="auto"/>
        <w:bottom w:val="none" w:sz="0" w:space="0" w:color="auto"/>
        <w:right w:val="none" w:sz="0" w:space="0" w:color="auto"/>
      </w:divBdr>
    </w:div>
    <w:div w:id="221332850">
      <w:bodyDiv w:val="1"/>
      <w:marLeft w:val="0"/>
      <w:marRight w:val="0"/>
      <w:marTop w:val="0"/>
      <w:marBottom w:val="0"/>
      <w:divBdr>
        <w:top w:val="none" w:sz="0" w:space="0" w:color="auto"/>
        <w:left w:val="none" w:sz="0" w:space="0" w:color="auto"/>
        <w:bottom w:val="none" w:sz="0" w:space="0" w:color="auto"/>
        <w:right w:val="none" w:sz="0" w:space="0" w:color="auto"/>
      </w:divBdr>
    </w:div>
    <w:div w:id="222983173">
      <w:bodyDiv w:val="1"/>
      <w:marLeft w:val="0"/>
      <w:marRight w:val="0"/>
      <w:marTop w:val="0"/>
      <w:marBottom w:val="0"/>
      <w:divBdr>
        <w:top w:val="none" w:sz="0" w:space="0" w:color="auto"/>
        <w:left w:val="none" w:sz="0" w:space="0" w:color="auto"/>
        <w:bottom w:val="none" w:sz="0" w:space="0" w:color="auto"/>
        <w:right w:val="none" w:sz="0" w:space="0" w:color="auto"/>
      </w:divBdr>
    </w:div>
    <w:div w:id="225577995">
      <w:bodyDiv w:val="1"/>
      <w:marLeft w:val="0"/>
      <w:marRight w:val="0"/>
      <w:marTop w:val="0"/>
      <w:marBottom w:val="0"/>
      <w:divBdr>
        <w:top w:val="none" w:sz="0" w:space="0" w:color="auto"/>
        <w:left w:val="none" w:sz="0" w:space="0" w:color="auto"/>
        <w:bottom w:val="none" w:sz="0" w:space="0" w:color="auto"/>
        <w:right w:val="none" w:sz="0" w:space="0" w:color="auto"/>
      </w:divBdr>
    </w:div>
    <w:div w:id="233972772">
      <w:bodyDiv w:val="1"/>
      <w:marLeft w:val="0"/>
      <w:marRight w:val="0"/>
      <w:marTop w:val="0"/>
      <w:marBottom w:val="0"/>
      <w:divBdr>
        <w:top w:val="none" w:sz="0" w:space="0" w:color="auto"/>
        <w:left w:val="none" w:sz="0" w:space="0" w:color="auto"/>
        <w:bottom w:val="none" w:sz="0" w:space="0" w:color="auto"/>
        <w:right w:val="none" w:sz="0" w:space="0" w:color="auto"/>
      </w:divBdr>
    </w:div>
    <w:div w:id="247007950">
      <w:bodyDiv w:val="1"/>
      <w:marLeft w:val="0"/>
      <w:marRight w:val="0"/>
      <w:marTop w:val="0"/>
      <w:marBottom w:val="0"/>
      <w:divBdr>
        <w:top w:val="none" w:sz="0" w:space="0" w:color="auto"/>
        <w:left w:val="none" w:sz="0" w:space="0" w:color="auto"/>
        <w:bottom w:val="none" w:sz="0" w:space="0" w:color="auto"/>
        <w:right w:val="none" w:sz="0" w:space="0" w:color="auto"/>
      </w:divBdr>
    </w:div>
    <w:div w:id="247622497">
      <w:bodyDiv w:val="1"/>
      <w:marLeft w:val="0"/>
      <w:marRight w:val="0"/>
      <w:marTop w:val="0"/>
      <w:marBottom w:val="0"/>
      <w:divBdr>
        <w:top w:val="none" w:sz="0" w:space="0" w:color="auto"/>
        <w:left w:val="none" w:sz="0" w:space="0" w:color="auto"/>
        <w:bottom w:val="none" w:sz="0" w:space="0" w:color="auto"/>
        <w:right w:val="none" w:sz="0" w:space="0" w:color="auto"/>
      </w:divBdr>
    </w:div>
    <w:div w:id="249244480">
      <w:bodyDiv w:val="1"/>
      <w:marLeft w:val="0"/>
      <w:marRight w:val="0"/>
      <w:marTop w:val="0"/>
      <w:marBottom w:val="0"/>
      <w:divBdr>
        <w:top w:val="none" w:sz="0" w:space="0" w:color="auto"/>
        <w:left w:val="none" w:sz="0" w:space="0" w:color="auto"/>
        <w:bottom w:val="none" w:sz="0" w:space="0" w:color="auto"/>
        <w:right w:val="none" w:sz="0" w:space="0" w:color="auto"/>
      </w:divBdr>
    </w:div>
    <w:div w:id="251396850">
      <w:bodyDiv w:val="1"/>
      <w:marLeft w:val="0"/>
      <w:marRight w:val="0"/>
      <w:marTop w:val="0"/>
      <w:marBottom w:val="0"/>
      <w:divBdr>
        <w:top w:val="none" w:sz="0" w:space="0" w:color="auto"/>
        <w:left w:val="none" w:sz="0" w:space="0" w:color="auto"/>
        <w:bottom w:val="none" w:sz="0" w:space="0" w:color="auto"/>
        <w:right w:val="none" w:sz="0" w:space="0" w:color="auto"/>
      </w:divBdr>
    </w:div>
    <w:div w:id="254438043">
      <w:bodyDiv w:val="1"/>
      <w:marLeft w:val="0"/>
      <w:marRight w:val="0"/>
      <w:marTop w:val="0"/>
      <w:marBottom w:val="0"/>
      <w:divBdr>
        <w:top w:val="none" w:sz="0" w:space="0" w:color="auto"/>
        <w:left w:val="none" w:sz="0" w:space="0" w:color="auto"/>
        <w:bottom w:val="none" w:sz="0" w:space="0" w:color="auto"/>
        <w:right w:val="none" w:sz="0" w:space="0" w:color="auto"/>
      </w:divBdr>
    </w:div>
    <w:div w:id="255795270">
      <w:bodyDiv w:val="1"/>
      <w:marLeft w:val="0"/>
      <w:marRight w:val="0"/>
      <w:marTop w:val="0"/>
      <w:marBottom w:val="0"/>
      <w:divBdr>
        <w:top w:val="none" w:sz="0" w:space="0" w:color="auto"/>
        <w:left w:val="none" w:sz="0" w:space="0" w:color="auto"/>
        <w:bottom w:val="none" w:sz="0" w:space="0" w:color="auto"/>
        <w:right w:val="none" w:sz="0" w:space="0" w:color="auto"/>
      </w:divBdr>
    </w:div>
    <w:div w:id="267472470">
      <w:bodyDiv w:val="1"/>
      <w:marLeft w:val="0"/>
      <w:marRight w:val="0"/>
      <w:marTop w:val="0"/>
      <w:marBottom w:val="0"/>
      <w:divBdr>
        <w:top w:val="none" w:sz="0" w:space="0" w:color="auto"/>
        <w:left w:val="none" w:sz="0" w:space="0" w:color="auto"/>
        <w:bottom w:val="none" w:sz="0" w:space="0" w:color="auto"/>
        <w:right w:val="none" w:sz="0" w:space="0" w:color="auto"/>
      </w:divBdr>
    </w:div>
    <w:div w:id="271474851">
      <w:bodyDiv w:val="1"/>
      <w:marLeft w:val="0"/>
      <w:marRight w:val="0"/>
      <w:marTop w:val="0"/>
      <w:marBottom w:val="0"/>
      <w:divBdr>
        <w:top w:val="none" w:sz="0" w:space="0" w:color="auto"/>
        <w:left w:val="none" w:sz="0" w:space="0" w:color="auto"/>
        <w:bottom w:val="none" w:sz="0" w:space="0" w:color="auto"/>
        <w:right w:val="none" w:sz="0" w:space="0" w:color="auto"/>
      </w:divBdr>
    </w:div>
    <w:div w:id="274482005">
      <w:bodyDiv w:val="1"/>
      <w:marLeft w:val="0"/>
      <w:marRight w:val="0"/>
      <w:marTop w:val="0"/>
      <w:marBottom w:val="0"/>
      <w:divBdr>
        <w:top w:val="none" w:sz="0" w:space="0" w:color="auto"/>
        <w:left w:val="none" w:sz="0" w:space="0" w:color="auto"/>
        <w:bottom w:val="none" w:sz="0" w:space="0" w:color="auto"/>
        <w:right w:val="none" w:sz="0" w:space="0" w:color="auto"/>
      </w:divBdr>
    </w:div>
    <w:div w:id="275530682">
      <w:bodyDiv w:val="1"/>
      <w:marLeft w:val="0"/>
      <w:marRight w:val="0"/>
      <w:marTop w:val="0"/>
      <w:marBottom w:val="0"/>
      <w:divBdr>
        <w:top w:val="none" w:sz="0" w:space="0" w:color="auto"/>
        <w:left w:val="none" w:sz="0" w:space="0" w:color="auto"/>
        <w:bottom w:val="none" w:sz="0" w:space="0" w:color="auto"/>
        <w:right w:val="none" w:sz="0" w:space="0" w:color="auto"/>
      </w:divBdr>
    </w:div>
    <w:div w:id="283776496">
      <w:bodyDiv w:val="1"/>
      <w:marLeft w:val="0"/>
      <w:marRight w:val="0"/>
      <w:marTop w:val="0"/>
      <w:marBottom w:val="0"/>
      <w:divBdr>
        <w:top w:val="none" w:sz="0" w:space="0" w:color="auto"/>
        <w:left w:val="none" w:sz="0" w:space="0" w:color="auto"/>
        <w:bottom w:val="none" w:sz="0" w:space="0" w:color="auto"/>
        <w:right w:val="none" w:sz="0" w:space="0" w:color="auto"/>
      </w:divBdr>
    </w:div>
    <w:div w:id="289288987">
      <w:bodyDiv w:val="1"/>
      <w:marLeft w:val="0"/>
      <w:marRight w:val="0"/>
      <w:marTop w:val="0"/>
      <w:marBottom w:val="0"/>
      <w:divBdr>
        <w:top w:val="none" w:sz="0" w:space="0" w:color="auto"/>
        <w:left w:val="none" w:sz="0" w:space="0" w:color="auto"/>
        <w:bottom w:val="none" w:sz="0" w:space="0" w:color="auto"/>
        <w:right w:val="none" w:sz="0" w:space="0" w:color="auto"/>
      </w:divBdr>
    </w:div>
    <w:div w:id="289432986">
      <w:bodyDiv w:val="1"/>
      <w:marLeft w:val="0"/>
      <w:marRight w:val="0"/>
      <w:marTop w:val="0"/>
      <w:marBottom w:val="0"/>
      <w:divBdr>
        <w:top w:val="none" w:sz="0" w:space="0" w:color="auto"/>
        <w:left w:val="none" w:sz="0" w:space="0" w:color="auto"/>
        <w:bottom w:val="none" w:sz="0" w:space="0" w:color="auto"/>
        <w:right w:val="none" w:sz="0" w:space="0" w:color="auto"/>
      </w:divBdr>
    </w:div>
    <w:div w:id="289671977">
      <w:bodyDiv w:val="1"/>
      <w:marLeft w:val="0"/>
      <w:marRight w:val="0"/>
      <w:marTop w:val="0"/>
      <w:marBottom w:val="0"/>
      <w:divBdr>
        <w:top w:val="none" w:sz="0" w:space="0" w:color="auto"/>
        <w:left w:val="none" w:sz="0" w:space="0" w:color="auto"/>
        <w:bottom w:val="none" w:sz="0" w:space="0" w:color="auto"/>
        <w:right w:val="none" w:sz="0" w:space="0" w:color="auto"/>
      </w:divBdr>
    </w:div>
    <w:div w:id="290326332">
      <w:bodyDiv w:val="1"/>
      <w:marLeft w:val="0"/>
      <w:marRight w:val="0"/>
      <w:marTop w:val="0"/>
      <w:marBottom w:val="0"/>
      <w:divBdr>
        <w:top w:val="none" w:sz="0" w:space="0" w:color="auto"/>
        <w:left w:val="none" w:sz="0" w:space="0" w:color="auto"/>
        <w:bottom w:val="none" w:sz="0" w:space="0" w:color="auto"/>
        <w:right w:val="none" w:sz="0" w:space="0" w:color="auto"/>
      </w:divBdr>
    </w:div>
    <w:div w:id="290790905">
      <w:bodyDiv w:val="1"/>
      <w:marLeft w:val="0"/>
      <w:marRight w:val="0"/>
      <w:marTop w:val="0"/>
      <w:marBottom w:val="0"/>
      <w:divBdr>
        <w:top w:val="none" w:sz="0" w:space="0" w:color="auto"/>
        <w:left w:val="none" w:sz="0" w:space="0" w:color="auto"/>
        <w:bottom w:val="none" w:sz="0" w:space="0" w:color="auto"/>
        <w:right w:val="none" w:sz="0" w:space="0" w:color="auto"/>
      </w:divBdr>
    </w:div>
    <w:div w:id="293491614">
      <w:bodyDiv w:val="1"/>
      <w:marLeft w:val="0"/>
      <w:marRight w:val="0"/>
      <w:marTop w:val="0"/>
      <w:marBottom w:val="0"/>
      <w:divBdr>
        <w:top w:val="none" w:sz="0" w:space="0" w:color="auto"/>
        <w:left w:val="none" w:sz="0" w:space="0" w:color="auto"/>
        <w:bottom w:val="none" w:sz="0" w:space="0" w:color="auto"/>
        <w:right w:val="none" w:sz="0" w:space="0" w:color="auto"/>
      </w:divBdr>
    </w:div>
    <w:div w:id="312684781">
      <w:bodyDiv w:val="1"/>
      <w:marLeft w:val="0"/>
      <w:marRight w:val="0"/>
      <w:marTop w:val="0"/>
      <w:marBottom w:val="0"/>
      <w:divBdr>
        <w:top w:val="none" w:sz="0" w:space="0" w:color="auto"/>
        <w:left w:val="none" w:sz="0" w:space="0" w:color="auto"/>
        <w:bottom w:val="none" w:sz="0" w:space="0" w:color="auto"/>
        <w:right w:val="none" w:sz="0" w:space="0" w:color="auto"/>
      </w:divBdr>
    </w:div>
    <w:div w:id="313066868">
      <w:bodyDiv w:val="1"/>
      <w:marLeft w:val="0"/>
      <w:marRight w:val="0"/>
      <w:marTop w:val="0"/>
      <w:marBottom w:val="0"/>
      <w:divBdr>
        <w:top w:val="none" w:sz="0" w:space="0" w:color="auto"/>
        <w:left w:val="none" w:sz="0" w:space="0" w:color="auto"/>
        <w:bottom w:val="none" w:sz="0" w:space="0" w:color="auto"/>
        <w:right w:val="none" w:sz="0" w:space="0" w:color="auto"/>
      </w:divBdr>
    </w:div>
    <w:div w:id="314920588">
      <w:bodyDiv w:val="1"/>
      <w:marLeft w:val="0"/>
      <w:marRight w:val="0"/>
      <w:marTop w:val="0"/>
      <w:marBottom w:val="0"/>
      <w:divBdr>
        <w:top w:val="none" w:sz="0" w:space="0" w:color="auto"/>
        <w:left w:val="none" w:sz="0" w:space="0" w:color="auto"/>
        <w:bottom w:val="none" w:sz="0" w:space="0" w:color="auto"/>
        <w:right w:val="none" w:sz="0" w:space="0" w:color="auto"/>
      </w:divBdr>
    </w:div>
    <w:div w:id="314994748">
      <w:bodyDiv w:val="1"/>
      <w:marLeft w:val="0"/>
      <w:marRight w:val="0"/>
      <w:marTop w:val="0"/>
      <w:marBottom w:val="0"/>
      <w:divBdr>
        <w:top w:val="none" w:sz="0" w:space="0" w:color="auto"/>
        <w:left w:val="none" w:sz="0" w:space="0" w:color="auto"/>
        <w:bottom w:val="none" w:sz="0" w:space="0" w:color="auto"/>
        <w:right w:val="none" w:sz="0" w:space="0" w:color="auto"/>
      </w:divBdr>
    </w:div>
    <w:div w:id="323826048">
      <w:bodyDiv w:val="1"/>
      <w:marLeft w:val="0"/>
      <w:marRight w:val="0"/>
      <w:marTop w:val="0"/>
      <w:marBottom w:val="0"/>
      <w:divBdr>
        <w:top w:val="none" w:sz="0" w:space="0" w:color="auto"/>
        <w:left w:val="none" w:sz="0" w:space="0" w:color="auto"/>
        <w:bottom w:val="none" w:sz="0" w:space="0" w:color="auto"/>
        <w:right w:val="none" w:sz="0" w:space="0" w:color="auto"/>
      </w:divBdr>
    </w:div>
    <w:div w:id="325282802">
      <w:bodyDiv w:val="1"/>
      <w:marLeft w:val="0"/>
      <w:marRight w:val="0"/>
      <w:marTop w:val="0"/>
      <w:marBottom w:val="0"/>
      <w:divBdr>
        <w:top w:val="none" w:sz="0" w:space="0" w:color="auto"/>
        <w:left w:val="none" w:sz="0" w:space="0" w:color="auto"/>
        <w:bottom w:val="none" w:sz="0" w:space="0" w:color="auto"/>
        <w:right w:val="none" w:sz="0" w:space="0" w:color="auto"/>
      </w:divBdr>
    </w:div>
    <w:div w:id="327221335">
      <w:bodyDiv w:val="1"/>
      <w:marLeft w:val="0"/>
      <w:marRight w:val="0"/>
      <w:marTop w:val="0"/>
      <w:marBottom w:val="0"/>
      <w:divBdr>
        <w:top w:val="none" w:sz="0" w:space="0" w:color="auto"/>
        <w:left w:val="none" w:sz="0" w:space="0" w:color="auto"/>
        <w:bottom w:val="none" w:sz="0" w:space="0" w:color="auto"/>
        <w:right w:val="none" w:sz="0" w:space="0" w:color="auto"/>
      </w:divBdr>
    </w:div>
    <w:div w:id="333579920">
      <w:bodyDiv w:val="1"/>
      <w:marLeft w:val="0"/>
      <w:marRight w:val="0"/>
      <w:marTop w:val="0"/>
      <w:marBottom w:val="0"/>
      <w:divBdr>
        <w:top w:val="none" w:sz="0" w:space="0" w:color="auto"/>
        <w:left w:val="none" w:sz="0" w:space="0" w:color="auto"/>
        <w:bottom w:val="none" w:sz="0" w:space="0" w:color="auto"/>
        <w:right w:val="none" w:sz="0" w:space="0" w:color="auto"/>
      </w:divBdr>
    </w:div>
    <w:div w:id="344984174">
      <w:bodyDiv w:val="1"/>
      <w:marLeft w:val="0"/>
      <w:marRight w:val="0"/>
      <w:marTop w:val="0"/>
      <w:marBottom w:val="0"/>
      <w:divBdr>
        <w:top w:val="none" w:sz="0" w:space="0" w:color="auto"/>
        <w:left w:val="none" w:sz="0" w:space="0" w:color="auto"/>
        <w:bottom w:val="none" w:sz="0" w:space="0" w:color="auto"/>
        <w:right w:val="none" w:sz="0" w:space="0" w:color="auto"/>
      </w:divBdr>
    </w:div>
    <w:div w:id="350690188">
      <w:bodyDiv w:val="1"/>
      <w:marLeft w:val="0"/>
      <w:marRight w:val="0"/>
      <w:marTop w:val="0"/>
      <w:marBottom w:val="0"/>
      <w:divBdr>
        <w:top w:val="none" w:sz="0" w:space="0" w:color="auto"/>
        <w:left w:val="none" w:sz="0" w:space="0" w:color="auto"/>
        <w:bottom w:val="none" w:sz="0" w:space="0" w:color="auto"/>
        <w:right w:val="none" w:sz="0" w:space="0" w:color="auto"/>
      </w:divBdr>
    </w:div>
    <w:div w:id="353842875">
      <w:bodyDiv w:val="1"/>
      <w:marLeft w:val="0"/>
      <w:marRight w:val="0"/>
      <w:marTop w:val="0"/>
      <w:marBottom w:val="0"/>
      <w:divBdr>
        <w:top w:val="none" w:sz="0" w:space="0" w:color="auto"/>
        <w:left w:val="none" w:sz="0" w:space="0" w:color="auto"/>
        <w:bottom w:val="none" w:sz="0" w:space="0" w:color="auto"/>
        <w:right w:val="none" w:sz="0" w:space="0" w:color="auto"/>
      </w:divBdr>
    </w:div>
    <w:div w:id="354771815">
      <w:bodyDiv w:val="1"/>
      <w:marLeft w:val="0"/>
      <w:marRight w:val="0"/>
      <w:marTop w:val="0"/>
      <w:marBottom w:val="0"/>
      <w:divBdr>
        <w:top w:val="none" w:sz="0" w:space="0" w:color="auto"/>
        <w:left w:val="none" w:sz="0" w:space="0" w:color="auto"/>
        <w:bottom w:val="none" w:sz="0" w:space="0" w:color="auto"/>
        <w:right w:val="none" w:sz="0" w:space="0" w:color="auto"/>
      </w:divBdr>
    </w:div>
    <w:div w:id="355277347">
      <w:bodyDiv w:val="1"/>
      <w:marLeft w:val="0"/>
      <w:marRight w:val="0"/>
      <w:marTop w:val="0"/>
      <w:marBottom w:val="0"/>
      <w:divBdr>
        <w:top w:val="none" w:sz="0" w:space="0" w:color="auto"/>
        <w:left w:val="none" w:sz="0" w:space="0" w:color="auto"/>
        <w:bottom w:val="none" w:sz="0" w:space="0" w:color="auto"/>
        <w:right w:val="none" w:sz="0" w:space="0" w:color="auto"/>
      </w:divBdr>
    </w:div>
    <w:div w:id="360320954">
      <w:bodyDiv w:val="1"/>
      <w:marLeft w:val="0"/>
      <w:marRight w:val="0"/>
      <w:marTop w:val="0"/>
      <w:marBottom w:val="0"/>
      <w:divBdr>
        <w:top w:val="none" w:sz="0" w:space="0" w:color="auto"/>
        <w:left w:val="none" w:sz="0" w:space="0" w:color="auto"/>
        <w:bottom w:val="none" w:sz="0" w:space="0" w:color="auto"/>
        <w:right w:val="none" w:sz="0" w:space="0" w:color="auto"/>
      </w:divBdr>
    </w:div>
    <w:div w:id="368607103">
      <w:bodyDiv w:val="1"/>
      <w:marLeft w:val="0"/>
      <w:marRight w:val="0"/>
      <w:marTop w:val="0"/>
      <w:marBottom w:val="0"/>
      <w:divBdr>
        <w:top w:val="none" w:sz="0" w:space="0" w:color="auto"/>
        <w:left w:val="none" w:sz="0" w:space="0" w:color="auto"/>
        <w:bottom w:val="none" w:sz="0" w:space="0" w:color="auto"/>
        <w:right w:val="none" w:sz="0" w:space="0" w:color="auto"/>
      </w:divBdr>
    </w:div>
    <w:div w:id="373503181">
      <w:bodyDiv w:val="1"/>
      <w:marLeft w:val="0"/>
      <w:marRight w:val="0"/>
      <w:marTop w:val="0"/>
      <w:marBottom w:val="0"/>
      <w:divBdr>
        <w:top w:val="none" w:sz="0" w:space="0" w:color="auto"/>
        <w:left w:val="none" w:sz="0" w:space="0" w:color="auto"/>
        <w:bottom w:val="none" w:sz="0" w:space="0" w:color="auto"/>
        <w:right w:val="none" w:sz="0" w:space="0" w:color="auto"/>
      </w:divBdr>
    </w:div>
    <w:div w:id="375545003">
      <w:bodyDiv w:val="1"/>
      <w:marLeft w:val="0"/>
      <w:marRight w:val="0"/>
      <w:marTop w:val="0"/>
      <w:marBottom w:val="0"/>
      <w:divBdr>
        <w:top w:val="none" w:sz="0" w:space="0" w:color="auto"/>
        <w:left w:val="none" w:sz="0" w:space="0" w:color="auto"/>
        <w:bottom w:val="none" w:sz="0" w:space="0" w:color="auto"/>
        <w:right w:val="none" w:sz="0" w:space="0" w:color="auto"/>
      </w:divBdr>
    </w:div>
    <w:div w:id="378013292">
      <w:bodyDiv w:val="1"/>
      <w:marLeft w:val="0"/>
      <w:marRight w:val="0"/>
      <w:marTop w:val="0"/>
      <w:marBottom w:val="0"/>
      <w:divBdr>
        <w:top w:val="none" w:sz="0" w:space="0" w:color="auto"/>
        <w:left w:val="none" w:sz="0" w:space="0" w:color="auto"/>
        <w:bottom w:val="none" w:sz="0" w:space="0" w:color="auto"/>
        <w:right w:val="none" w:sz="0" w:space="0" w:color="auto"/>
      </w:divBdr>
    </w:div>
    <w:div w:id="381634040">
      <w:bodyDiv w:val="1"/>
      <w:marLeft w:val="0"/>
      <w:marRight w:val="0"/>
      <w:marTop w:val="0"/>
      <w:marBottom w:val="0"/>
      <w:divBdr>
        <w:top w:val="none" w:sz="0" w:space="0" w:color="auto"/>
        <w:left w:val="none" w:sz="0" w:space="0" w:color="auto"/>
        <w:bottom w:val="none" w:sz="0" w:space="0" w:color="auto"/>
        <w:right w:val="none" w:sz="0" w:space="0" w:color="auto"/>
      </w:divBdr>
    </w:div>
    <w:div w:id="382101793">
      <w:bodyDiv w:val="1"/>
      <w:marLeft w:val="0"/>
      <w:marRight w:val="0"/>
      <w:marTop w:val="0"/>
      <w:marBottom w:val="0"/>
      <w:divBdr>
        <w:top w:val="none" w:sz="0" w:space="0" w:color="auto"/>
        <w:left w:val="none" w:sz="0" w:space="0" w:color="auto"/>
        <w:bottom w:val="none" w:sz="0" w:space="0" w:color="auto"/>
        <w:right w:val="none" w:sz="0" w:space="0" w:color="auto"/>
      </w:divBdr>
    </w:div>
    <w:div w:id="383335642">
      <w:bodyDiv w:val="1"/>
      <w:marLeft w:val="0"/>
      <w:marRight w:val="0"/>
      <w:marTop w:val="0"/>
      <w:marBottom w:val="0"/>
      <w:divBdr>
        <w:top w:val="none" w:sz="0" w:space="0" w:color="auto"/>
        <w:left w:val="none" w:sz="0" w:space="0" w:color="auto"/>
        <w:bottom w:val="none" w:sz="0" w:space="0" w:color="auto"/>
        <w:right w:val="none" w:sz="0" w:space="0" w:color="auto"/>
      </w:divBdr>
    </w:div>
    <w:div w:id="392774204">
      <w:bodyDiv w:val="1"/>
      <w:marLeft w:val="0"/>
      <w:marRight w:val="0"/>
      <w:marTop w:val="0"/>
      <w:marBottom w:val="0"/>
      <w:divBdr>
        <w:top w:val="none" w:sz="0" w:space="0" w:color="auto"/>
        <w:left w:val="none" w:sz="0" w:space="0" w:color="auto"/>
        <w:bottom w:val="none" w:sz="0" w:space="0" w:color="auto"/>
        <w:right w:val="none" w:sz="0" w:space="0" w:color="auto"/>
      </w:divBdr>
    </w:div>
    <w:div w:id="397752972">
      <w:bodyDiv w:val="1"/>
      <w:marLeft w:val="0"/>
      <w:marRight w:val="0"/>
      <w:marTop w:val="0"/>
      <w:marBottom w:val="0"/>
      <w:divBdr>
        <w:top w:val="none" w:sz="0" w:space="0" w:color="auto"/>
        <w:left w:val="none" w:sz="0" w:space="0" w:color="auto"/>
        <w:bottom w:val="none" w:sz="0" w:space="0" w:color="auto"/>
        <w:right w:val="none" w:sz="0" w:space="0" w:color="auto"/>
      </w:divBdr>
    </w:div>
    <w:div w:id="400761723">
      <w:bodyDiv w:val="1"/>
      <w:marLeft w:val="0"/>
      <w:marRight w:val="0"/>
      <w:marTop w:val="0"/>
      <w:marBottom w:val="0"/>
      <w:divBdr>
        <w:top w:val="none" w:sz="0" w:space="0" w:color="auto"/>
        <w:left w:val="none" w:sz="0" w:space="0" w:color="auto"/>
        <w:bottom w:val="none" w:sz="0" w:space="0" w:color="auto"/>
        <w:right w:val="none" w:sz="0" w:space="0" w:color="auto"/>
      </w:divBdr>
    </w:div>
    <w:div w:id="403722934">
      <w:bodyDiv w:val="1"/>
      <w:marLeft w:val="0"/>
      <w:marRight w:val="0"/>
      <w:marTop w:val="0"/>
      <w:marBottom w:val="0"/>
      <w:divBdr>
        <w:top w:val="none" w:sz="0" w:space="0" w:color="auto"/>
        <w:left w:val="none" w:sz="0" w:space="0" w:color="auto"/>
        <w:bottom w:val="none" w:sz="0" w:space="0" w:color="auto"/>
        <w:right w:val="none" w:sz="0" w:space="0" w:color="auto"/>
      </w:divBdr>
    </w:div>
    <w:div w:id="404187198">
      <w:bodyDiv w:val="1"/>
      <w:marLeft w:val="0"/>
      <w:marRight w:val="0"/>
      <w:marTop w:val="0"/>
      <w:marBottom w:val="0"/>
      <w:divBdr>
        <w:top w:val="none" w:sz="0" w:space="0" w:color="auto"/>
        <w:left w:val="none" w:sz="0" w:space="0" w:color="auto"/>
        <w:bottom w:val="none" w:sz="0" w:space="0" w:color="auto"/>
        <w:right w:val="none" w:sz="0" w:space="0" w:color="auto"/>
      </w:divBdr>
    </w:div>
    <w:div w:id="407121969">
      <w:bodyDiv w:val="1"/>
      <w:marLeft w:val="0"/>
      <w:marRight w:val="0"/>
      <w:marTop w:val="0"/>
      <w:marBottom w:val="0"/>
      <w:divBdr>
        <w:top w:val="none" w:sz="0" w:space="0" w:color="auto"/>
        <w:left w:val="none" w:sz="0" w:space="0" w:color="auto"/>
        <w:bottom w:val="none" w:sz="0" w:space="0" w:color="auto"/>
        <w:right w:val="none" w:sz="0" w:space="0" w:color="auto"/>
      </w:divBdr>
    </w:div>
    <w:div w:id="412165554">
      <w:bodyDiv w:val="1"/>
      <w:marLeft w:val="0"/>
      <w:marRight w:val="0"/>
      <w:marTop w:val="0"/>
      <w:marBottom w:val="0"/>
      <w:divBdr>
        <w:top w:val="none" w:sz="0" w:space="0" w:color="auto"/>
        <w:left w:val="none" w:sz="0" w:space="0" w:color="auto"/>
        <w:bottom w:val="none" w:sz="0" w:space="0" w:color="auto"/>
        <w:right w:val="none" w:sz="0" w:space="0" w:color="auto"/>
      </w:divBdr>
    </w:div>
    <w:div w:id="413547807">
      <w:bodyDiv w:val="1"/>
      <w:marLeft w:val="0"/>
      <w:marRight w:val="0"/>
      <w:marTop w:val="0"/>
      <w:marBottom w:val="0"/>
      <w:divBdr>
        <w:top w:val="none" w:sz="0" w:space="0" w:color="auto"/>
        <w:left w:val="none" w:sz="0" w:space="0" w:color="auto"/>
        <w:bottom w:val="none" w:sz="0" w:space="0" w:color="auto"/>
        <w:right w:val="none" w:sz="0" w:space="0" w:color="auto"/>
      </w:divBdr>
    </w:div>
    <w:div w:id="433597432">
      <w:bodyDiv w:val="1"/>
      <w:marLeft w:val="0"/>
      <w:marRight w:val="0"/>
      <w:marTop w:val="0"/>
      <w:marBottom w:val="0"/>
      <w:divBdr>
        <w:top w:val="none" w:sz="0" w:space="0" w:color="auto"/>
        <w:left w:val="none" w:sz="0" w:space="0" w:color="auto"/>
        <w:bottom w:val="none" w:sz="0" w:space="0" w:color="auto"/>
        <w:right w:val="none" w:sz="0" w:space="0" w:color="auto"/>
      </w:divBdr>
    </w:div>
    <w:div w:id="441460074">
      <w:bodyDiv w:val="1"/>
      <w:marLeft w:val="0"/>
      <w:marRight w:val="0"/>
      <w:marTop w:val="0"/>
      <w:marBottom w:val="0"/>
      <w:divBdr>
        <w:top w:val="none" w:sz="0" w:space="0" w:color="auto"/>
        <w:left w:val="none" w:sz="0" w:space="0" w:color="auto"/>
        <w:bottom w:val="none" w:sz="0" w:space="0" w:color="auto"/>
        <w:right w:val="none" w:sz="0" w:space="0" w:color="auto"/>
      </w:divBdr>
    </w:div>
    <w:div w:id="444009105">
      <w:bodyDiv w:val="1"/>
      <w:marLeft w:val="0"/>
      <w:marRight w:val="0"/>
      <w:marTop w:val="0"/>
      <w:marBottom w:val="0"/>
      <w:divBdr>
        <w:top w:val="none" w:sz="0" w:space="0" w:color="auto"/>
        <w:left w:val="none" w:sz="0" w:space="0" w:color="auto"/>
        <w:bottom w:val="none" w:sz="0" w:space="0" w:color="auto"/>
        <w:right w:val="none" w:sz="0" w:space="0" w:color="auto"/>
      </w:divBdr>
    </w:div>
    <w:div w:id="446043458">
      <w:bodyDiv w:val="1"/>
      <w:marLeft w:val="0"/>
      <w:marRight w:val="0"/>
      <w:marTop w:val="0"/>
      <w:marBottom w:val="0"/>
      <w:divBdr>
        <w:top w:val="none" w:sz="0" w:space="0" w:color="auto"/>
        <w:left w:val="none" w:sz="0" w:space="0" w:color="auto"/>
        <w:bottom w:val="none" w:sz="0" w:space="0" w:color="auto"/>
        <w:right w:val="none" w:sz="0" w:space="0" w:color="auto"/>
      </w:divBdr>
    </w:div>
    <w:div w:id="446388053">
      <w:bodyDiv w:val="1"/>
      <w:marLeft w:val="0"/>
      <w:marRight w:val="0"/>
      <w:marTop w:val="0"/>
      <w:marBottom w:val="0"/>
      <w:divBdr>
        <w:top w:val="none" w:sz="0" w:space="0" w:color="auto"/>
        <w:left w:val="none" w:sz="0" w:space="0" w:color="auto"/>
        <w:bottom w:val="none" w:sz="0" w:space="0" w:color="auto"/>
        <w:right w:val="none" w:sz="0" w:space="0" w:color="auto"/>
      </w:divBdr>
    </w:div>
    <w:div w:id="448088984">
      <w:bodyDiv w:val="1"/>
      <w:marLeft w:val="0"/>
      <w:marRight w:val="0"/>
      <w:marTop w:val="0"/>
      <w:marBottom w:val="0"/>
      <w:divBdr>
        <w:top w:val="none" w:sz="0" w:space="0" w:color="auto"/>
        <w:left w:val="none" w:sz="0" w:space="0" w:color="auto"/>
        <w:bottom w:val="none" w:sz="0" w:space="0" w:color="auto"/>
        <w:right w:val="none" w:sz="0" w:space="0" w:color="auto"/>
      </w:divBdr>
    </w:div>
    <w:div w:id="448546223">
      <w:bodyDiv w:val="1"/>
      <w:marLeft w:val="0"/>
      <w:marRight w:val="0"/>
      <w:marTop w:val="0"/>
      <w:marBottom w:val="0"/>
      <w:divBdr>
        <w:top w:val="none" w:sz="0" w:space="0" w:color="auto"/>
        <w:left w:val="none" w:sz="0" w:space="0" w:color="auto"/>
        <w:bottom w:val="none" w:sz="0" w:space="0" w:color="auto"/>
        <w:right w:val="none" w:sz="0" w:space="0" w:color="auto"/>
      </w:divBdr>
    </w:div>
    <w:div w:id="452754677">
      <w:bodyDiv w:val="1"/>
      <w:marLeft w:val="0"/>
      <w:marRight w:val="0"/>
      <w:marTop w:val="0"/>
      <w:marBottom w:val="0"/>
      <w:divBdr>
        <w:top w:val="none" w:sz="0" w:space="0" w:color="auto"/>
        <w:left w:val="none" w:sz="0" w:space="0" w:color="auto"/>
        <w:bottom w:val="none" w:sz="0" w:space="0" w:color="auto"/>
        <w:right w:val="none" w:sz="0" w:space="0" w:color="auto"/>
      </w:divBdr>
    </w:div>
    <w:div w:id="453329139">
      <w:bodyDiv w:val="1"/>
      <w:marLeft w:val="0"/>
      <w:marRight w:val="0"/>
      <w:marTop w:val="0"/>
      <w:marBottom w:val="0"/>
      <w:divBdr>
        <w:top w:val="none" w:sz="0" w:space="0" w:color="auto"/>
        <w:left w:val="none" w:sz="0" w:space="0" w:color="auto"/>
        <w:bottom w:val="none" w:sz="0" w:space="0" w:color="auto"/>
        <w:right w:val="none" w:sz="0" w:space="0" w:color="auto"/>
      </w:divBdr>
    </w:div>
    <w:div w:id="458105975">
      <w:bodyDiv w:val="1"/>
      <w:marLeft w:val="0"/>
      <w:marRight w:val="0"/>
      <w:marTop w:val="0"/>
      <w:marBottom w:val="0"/>
      <w:divBdr>
        <w:top w:val="none" w:sz="0" w:space="0" w:color="auto"/>
        <w:left w:val="none" w:sz="0" w:space="0" w:color="auto"/>
        <w:bottom w:val="none" w:sz="0" w:space="0" w:color="auto"/>
        <w:right w:val="none" w:sz="0" w:space="0" w:color="auto"/>
      </w:divBdr>
    </w:div>
    <w:div w:id="466364019">
      <w:bodyDiv w:val="1"/>
      <w:marLeft w:val="0"/>
      <w:marRight w:val="0"/>
      <w:marTop w:val="0"/>
      <w:marBottom w:val="0"/>
      <w:divBdr>
        <w:top w:val="none" w:sz="0" w:space="0" w:color="auto"/>
        <w:left w:val="none" w:sz="0" w:space="0" w:color="auto"/>
        <w:bottom w:val="none" w:sz="0" w:space="0" w:color="auto"/>
        <w:right w:val="none" w:sz="0" w:space="0" w:color="auto"/>
      </w:divBdr>
    </w:div>
    <w:div w:id="469830147">
      <w:bodyDiv w:val="1"/>
      <w:marLeft w:val="0"/>
      <w:marRight w:val="0"/>
      <w:marTop w:val="0"/>
      <w:marBottom w:val="0"/>
      <w:divBdr>
        <w:top w:val="none" w:sz="0" w:space="0" w:color="auto"/>
        <w:left w:val="none" w:sz="0" w:space="0" w:color="auto"/>
        <w:bottom w:val="none" w:sz="0" w:space="0" w:color="auto"/>
        <w:right w:val="none" w:sz="0" w:space="0" w:color="auto"/>
      </w:divBdr>
    </w:div>
    <w:div w:id="473254064">
      <w:bodyDiv w:val="1"/>
      <w:marLeft w:val="0"/>
      <w:marRight w:val="0"/>
      <w:marTop w:val="0"/>
      <w:marBottom w:val="0"/>
      <w:divBdr>
        <w:top w:val="none" w:sz="0" w:space="0" w:color="auto"/>
        <w:left w:val="none" w:sz="0" w:space="0" w:color="auto"/>
        <w:bottom w:val="none" w:sz="0" w:space="0" w:color="auto"/>
        <w:right w:val="none" w:sz="0" w:space="0" w:color="auto"/>
      </w:divBdr>
    </w:div>
    <w:div w:id="476193969">
      <w:bodyDiv w:val="1"/>
      <w:marLeft w:val="0"/>
      <w:marRight w:val="0"/>
      <w:marTop w:val="0"/>
      <w:marBottom w:val="0"/>
      <w:divBdr>
        <w:top w:val="none" w:sz="0" w:space="0" w:color="auto"/>
        <w:left w:val="none" w:sz="0" w:space="0" w:color="auto"/>
        <w:bottom w:val="none" w:sz="0" w:space="0" w:color="auto"/>
        <w:right w:val="none" w:sz="0" w:space="0" w:color="auto"/>
      </w:divBdr>
    </w:div>
    <w:div w:id="477235416">
      <w:bodyDiv w:val="1"/>
      <w:marLeft w:val="0"/>
      <w:marRight w:val="0"/>
      <w:marTop w:val="0"/>
      <w:marBottom w:val="0"/>
      <w:divBdr>
        <w:top w:val="none" w:sz="0" w:space="0" w:color="auto"/>
        <w:left w:val="none" w:sz="0" w:space="0" w:color="auto"/>
        <w:bottom w:val="none" w:sz="0" w:space="0" w:color="auto"/>
        <w:right w:val="none" w:sz="0" w:space="0" w:color="auto"/>
      </w:divBdr>
    </w:div>
    <w:div w:id="478544683">
      <w:bodyDiv w:val="1"/>
      <w:marLeft w:val="0"/>
      <w:marRight w:val="0"/>
      <w:marTop w:val="0"/>
      <w:marBottom w:val="0"/>
      <w:divBdr>
        <w:top w:val="none" w:sz="0" w:space="0" w:color="auto"/>
        <w:left w:val="none" w:sz="0" w:space="0" w:color="auto"/>
        <w:bottom w:val="none" w:sz="0" w:space="0" w:color="auto"/>
        <w:right w:val="none" w:sz="0" w:space="0" w:color="auto"/>
      </w:divBdr>
    </w:div>
    <w:div w:id="496846279">
      <w:bodyDiv w:val="1"/>
      <w:marLeft w:val="0"/>
      <w:marRight w:val="0"/>
      <w:marTop w:val="0"/>
      <w:marBottom w:val="0"/>
      <w:divBdr>
        <w:top w:val="none" w:sz="0" w:space="0" w:color="auto"/>
        <w:left w:val="none" w:sz="0" w:space="0" w:color="auto"/>
        <w:bottom w:val="none" w:sz="0" w:space="0" w:color="auto"/>
        <w:right w:val="none" w:sz="0" w:space="0" w:color="auto"/>
      </w:divBdr>
    </w:div>
    <w:div w:id="509561702">
      <w:bodyDiv w:val="1"/>
      <w:marLeft w:val="0"/>
      <w:marRight w:val="0"/>
      <w:marTop w:val="0"/>
      <w:marBottom w:val="0"/>
      <w:divBdr>
        <w:top w:val="none" w:sz="0" w:space="0" w:color="auto"/>
        <w:left w:val="none" w:sz="0" w:space="0" w:color="auto"/>
        <w:bottom w:val="none" w:sz="0" w:space="0" w:color="auto"/>
        <w:right w:val="none" w:sz="0" w:space="0" w:color="auto"/>
      </w:divBdr>
    </w:div>
    <w:div w:id="511724597">
      <w:bodyDiv w:val="1"/>
      <w:marLeft w:val="0"/>
      <w:marRight w:val="0"/>
      <w:marTop w:val="0"/>
      <w:marBottom w:val="0"/>
      <w:divBdr>
        <w:top w:val="none" w:sz="0" w:space="0" w:color="auto"/>
        <w:left w:val="none" w:sz="0" w:space="0" w:color="auto"/>
        <w:bottom w:val="none" w:sz="0" w:space="0" w:color="auto"/>
        <w:right w:val="none" w:sz="0" w:space="0" w:color="auto"/>
      </w:divBdr>
    </w:div>
    <w:div w:id="516047641">
      <w:bodyDiv w:val="1"/>
      <w:marLeft w:val="0"/>
      <w:marRight w:val="0"/>
      <w:marTop w:val="0"/>
      <w:marBottom w:val="0"/>
      <w:divBdr>
        <w:top w:val="none" w:sz="0" w:space="0" w:color="auto"/>
        <w:left w:val="none" w:sz="0" w:space="0" w:color="auto"/>
        <w:bottom w:val="none" w:sz="0" w:space="0" w:color="auto"/>
        <w:right w:val="none" w:sz="0" w:space="0" w:color="auto"/>
      </w:divBdr>
    </w:div>
    <w:div w:id="520778868">
      <w:bodyDiv w:val="1"/>
      <w:marLeft w:val="0"/>
      <w:marRight w:val="0"/>
      <w:marTop w:val="0"/>
      <w:marBottom w:val="0"/>
      <w:divBdr>
        <w:top w:val="none" w:sz="0" w:space="0" w:color="auto"/>
        <w:left w:val="none" w:sz="0" w:space="0" w:color="auto"/>
        <w:bottom w:val="none" w:sz="0" w:space="0" w:color="auto"/>
        <w:right w:val="none" w:sz="0" w:space="0" w:color="auto"/>
      </w:divBdr>
    </w:div>
    <w:div w:id="521285380">
      <w:bodyDiv w:val="1"/>
      <w:marLeft w:val="0"/>
      <w:marRight w:val="0"/>
      <w:marTop w:val="0"/>
      <w:marBottom w:val="0"/>
      <w:divBdr>
        <w:top w:val="none" w:sz="0" w:space="0" w:color="auto"/>
        <w:left w:val="none" w:sz="0" w:space="0" w:color="auto"/>
        <w:bottom w:val="none" w:sz="0" w:space="0" w:color="auto"/>
        <w:right w:val="none" w:sz="0" w:space="0" w:color="auto"/>
      </w:divBdr>
    </w:div>
    <w:div w:id="521865510">
      <w:bodyDiv w:val="1"/>
      <w:marLeft w:val="0"/>
      <w:marRight w:val="0"/>
      <w:marTop w:val="0"/>
      <w:marBottom w:val="0"/>
      <w:divBdr>
        <w:top w:val="none" w:sz="0" w:space="0" w:color="auto"/>
        <w:left w:val="none" w:sz="0" w:space="0" w:color="auto"/>
        <w:bottom w:val="none" w:sz="0" w:space="0" w:color="auto"/>
        <w:right w:val="none" w:sz="0" w:space="0" w:color="auto"/>
      </w:divBdr>
    </w:div>
    <w:div w:id="525826341">
      <w:bodyDiv w:val="1"/>
      <w:marLeft w:val="0"/>
      <w:marRight w:val="0"/>
      <w:marTop w:val="0"/>
      <w:marBottom w:val="0"/>
      <w:divBdr>
        <w:top w:val="none" w:sz="0" w:space="0" w:color="auto"/>
        <w:left w:val="none" w:sz="0" w:space="0" w:color="auto"/>
        <w:bottom w:val="none" w:sz="0" w:space="0" w:color="auto"/>
        <w:right w:val="none" w:sz="0" w:space="0" w:color="auto"/>
      </w:divBdr>
    </w:div>
    <w:div w:id="527177894">
      <w:bodyDiv w:val="1"/>
      <w:marLeft w:val="0"/>
      <w:marRight w:val="0"/>
      <w:marTop w:val="0"/>
      <w:marBottom w:val="0"/>
      <w:divBdr>
        <w:top w:val="none" w:sz="0" w:space="0" w:color="auto"/>
        <w:left w:val="none" w:sz="0" w:space="0" w:color="auto"/>
        <w:bottom w:val="none" w:sz="0" w:space="0" w:color="auto"/>
        <w:right w:val="none" w:sz="0" w:space="0" w:color="auto"/>
      </w:divBdr>
    </w:div>
    <w:div w:id="533084261">
      <w:bodyDiv w:val="1"/>
      <w:marLeft w:val="0"/>
      <w:marRight w:val="0"/>
      <w:marTop w:val="0"/>
      <w:marBottom w:val="0"/>
      <w:divBdr>
        <w:top w:val="none" w:sz="0" w:space="0" w:color="auto"/>
        <w:left w:val="none" w:sz="0" w:space="0" w:color="auto"/>
        <w:bottom w:val="none" w:sz="0" w:space="0" w:color="auto"/>
        <w:right w:val="none" w:sz="0" w:space="0" w:color="auto"/>
      </w:divBdr>
    </w:div>
    <w:div w:id="534779706">
      <w:bodyDiv w:val="1"/>
      <w:marLeft w:val="0"/>
      <w:marRight w:val="0"/>
      <w:marTop w:val="0"/>
      <w:marBottom w:val="0"/>
      <w:divBdr>
        <w:top w:val="none" w:sz="0" w:space="0" w:color="auto"/>
        <w:left w:val="none" w:sz="0" w:space="0" w:color="auto"/>
        <w:bottom w:val="none" w:sz="0" w:space="0" w:color="auto"/>
        <w:right w:val="none" w:sz="0" w:space="0" w:color="auto"/>
      </w:divBdr>
    </w:div>
    <w:div w:id="545801173">
      <w:bodyDiv w:val="1"/>
      <w:marLeft w:val="0"/>
      <w:marRight w:val="0"/>
      <w:marTop w:val="0"/>
      <w:marBottom w:val="0"/>
      <w:divBdr>
        <w:top w:val="none" w:sz="0" w:space="0" w:color="auto"/>
        <w:left w:val="none" w:sz="0" w:space="0" w:color="auto"/>
        <w:bottom w:val="none" w:sz="0" w:space="0" w:color="auto"/>
        <w:right w:val="none" w:sz="0" w:space="0" w:color="auto"/>
      </w:divBdr>
    </w:div>
    <w:div w:id="551383321">
      <w:bodyDiv w:val="1"/>
      <w:marLeft w:val="0"/>
      <w:marRight w:val="0"/>
      <w:marTop w:val="0"/>
      <w:marBottom w:val="0"/>
      <w:divBdr>
        <w:top w:val="none" w:sz="0" w:space="0" w:color="auto"/>
        <w:left w:val="none" w:sz="0" w:space="0" w:color="auto"/>
        <w:bottom w:val="none" w:sz="0" w:space="0" w:color="auto"/>
        <w:right w:val="none" w:sz="0" w:space="0" w:color="auto"/>
      </w:divBdr>
    </w:div>
    <w:div w:id="567573420">
      <w:bodyDiv w:val="1"/>
      <w:marLeft w:val="0"/>
      <w:marRight w:val="0"/>
      <w:marTop w:val="0"/>
      <w:marBottom w:val="0"/>
      <w:divBdr>
        <w:top w:val="none" w:sz="0" w:space="0" w:color="auto"/>
        <w:left w:val="none" w:sz="0" w:space="0" w:color="auto"/>
        <w:bottom w:val="none" w:sz="0" w:space="0" w:color="auto"/>
        <w:right w:val="none" w:sz="0" w:space="0" w:color="auto"/>
      </w:divBdr>
    </w:div>
    <w:div w:id="573393768">
      <w:bodyDiv w:val="1"/>
      <w:marLeft w:val="0"/>
      <w:marRight w:val="0"/>
      <w:marTop w:val="0"/>
      <w:marBottom w:val="0"/>
      <w:divBdr>
        <w:top w:val="none" w:sz="0" w:space="0" w:color="auto"/>
        <w:left w:val="none" w:sz="0" w:space="0" w:color="auto"/>
        <w:bottom w:val="none" w:sz="0" w:space="0" w:color="auto"/>
        <w:right w:val="none" w:sz="0" w:space="0" w:color="auto"/>
      </w:divBdr>
    </w:div>
    <w:div w:id="584073430">
      <w:bodyDiv w:val="1"/>
      <w:marLeft w:val="0"/>
      <w:marRight w:val="0"/>
      <w:marTop w:val="0"/>
      <w:marBottom w:val="0"/>
      <w:divBdr>
        <w:top w:val="none" w:sz="0" w:space="0" w:color="auto"/>
        <w:left w:val="none" w:sz="0" w:space="0" w:color="auto"/>
        <w:bottom w:val="none" w:sz="0" w:space="0" w:color="auto"/>
        <w:right w:val="none" w:sz="0" w:space="0" w:color="auto"/>
      </w:divBdr>
    </w:div>
    <w:div w:id="584648117">
      <w:bodyDiv w:val="1"/>
      <w:marLeft w:val="0"/>
      <w:marRight w:val="0"/>
      <w:marTop w:val="0"/>
      <w:marBottom w:val="0"/>
      <w:divBdr>
        <w:top w:val="none" w:sz="0" w:space="0" w:color="auto"/>
        <w:left w:val="none" w:sz="0" w:space="0" w:color="auto"/>
        <w:bottom w:val="none" w:sz="0" w:space="0" w:color="auto"/>
        <w:right w:val="none" w:sz="0" w:space="0" w:color="auto"/>
      </w:divBdr>
    </w:div>
    <w:div w:id="589898874">
      <w:bodyDiv w:val="1"/>
      <w:marLeft w:val="0"/>
      <w:marRight w:val="0"/>
      <w:marTop w:val="0"/>
      <w:marBottom w:val="0"/>
      <w:divBdr>
        <w:top w:val="none" w:sz="0" w:space="0" w:color="auto"/>
        <w:left w:val="none" w:sz="0" w:space="0" w:color="auto"/>
        <w:bottom w:val="none" w:sz="0" w:space="0" w:color="auto"/>
        <w:right w:val="none" w:sz="0" w:space="0" w:color="auto"/>
      </w:divBdr>
    </w:div>
    <w:div w:id="597056810">
      <w:bodyDiv w:val="1"/>
      <w:marLeft w:val="0"/>
      <w:marRight w:val="0"/>
      <w:marTop w:val="0"/>
      <w:marBottom w:val="0"/>
      <w:divBdr>
        <w:top w:val="none" w:sz="0" w:space="0" w:color="auto"/>
        <w:left w:val="none" w:sz="0" w:space="0" w:color="auto"/>
        <w:bottom w:val="none" w:sz="0" w:space="0" w:color="auto"/>
        <w:right w:val="none" w:sz="0" w:space="0" w:color="auto"/>
      </w:divBdr>
    </w:div>
    <w:div w:id="598568248">
      <w:bodyDiv w:val="1"/>
      <w:marLeft w:val="0"/>
      <w:marRight w:val="0"/>
      <w:marTop w:val="0"/>
      <w:marBottom w:val="0"/>
      <w:divBdr>
        <w:top w:val="none" w:sz="0" w:space="0" w:color="auto"/>
        <w:left w:val="none" w:sz="0" w:space="0" w:color="auto"/>
        <w:bottom w:val="none" w:sz="0" w:space="0" w:color="auto"/>
        <w:right w:val="none" w:sz="0" w:space="0" w:color="auto"/>
      </w:divBdr>
    </w:div>
    <w:div w:id="598954027">
      <w:bodyDiv w:val="1"/>
      <w:marLeft w:val="0"/>
      <w:marRight w:val="0"/>
      <w:marTop w:val="0"/>
      <w:marBottom w:val="0"/>
      <w:divBdr>
        <w:top w:val="none" w:sz="0" w:space="0" w:color="auto"/>
        <w:left w:val="none" w:sz="0" w:space="0" w:color="auto"/>
        <w:bottom w:val="none" w:sz="0" w:space="0" w:color="auto"/>
        <w:right w:val="none" w:sz="0" w:space="0" w:color="auto"/>
      </w:divBdr>
    </w:div>
    <w:div w:id="599290415">
      <w:bodyDiv w:val="1"/>
      <w:marLeft w:val="0"/>
      <w:marRight w:val="0"/>
      <w:marTop w:val="0"/>
      <w:marBottom w:val="0"/>
      <w:divBdr>
        <w:top w:val="none" w:sz="0" w:space="0" w:color="auto"/>
        <w:left w:val="none" w:sz="0" w:space="0" w:color="auto"/>
        <w:bottom w:val="none" w:sz="0" w:space="0" w:color="auto"/>
        <w:right w:val="none" w:sz="0" w:space="0" w:color="auto"/>
      </w:divBdr>
    </w:div>
    <w:div w:id="601450922">
      <w:bodyDiv w:val="1"/>
      <w:marLeft w:val="0"/>
      <w:marRight w:val="0"/>
      <w:marTop w:val="0"/>
      <w:marBottom w:val="0"/>
      <w:divBdr>
        <w:top w:val="none" w:sz="0" w:space="0" w:color="auto"/>
        <w:left w:val="none" w:sz="0" w:space="0" w:color="auto"/>
        <w:bottom w:val="none" w:sz="0" w:space="0" w:color="auto"/>
        <w:right w:val="none" w:sz="0" w:space="0" w:color="auto"/>
      </w:divBdr>
    </w:div>
    <w:div w:id="604115154">
      <w:bodyDiv w:val="1"/>
      <w:marLeft w:val="0"/>
      <w:marRight w:val="0"/>
      <w:marTop w:val="0"/>
      <w:marBottom w:val="0"/>
      <w:divBdr>
        <w:top w:val="none" w:sz="0" w:space="0" w:color="auto"/>
        <w:left w:val="none" w:sz="0" w:space="0" w:color="auto"/>
        <w:bottom w:val="none" w:sz="0" w:space="0" w:color="auto"/>
        <w:right w:val="none" w:sz="0" w:space="0" w:color="auto"/>
      </w:divBdr>
    </w:div>
    <w:div w:id="607156691">
      <w:bodyDiv w:val="1"/>
      <w:marLeft w:val="0"/>
      <w:marRight w:val="0"/>
      <w:marTop w:val="0"/>
      <w:marBottom w:val="0"/>
      <w:divBdr>
        <w:top w:val="none" w:sz="0" w:space="0" w:color="auto"/>
        <w:left w:val="none" w:sz="0" w:space="0" w:color="auto"/>
        <w:bottom w:val="none" w:sz="0" w:space="0" w:color="auto"/>
        <w:right w:val="none" w:sz="0" w:space="0" w:color="auto"/>
      </w:divBdr>
    </w:div>
    <w:div w:id="618221880">
      <w:bodyDiv w:val="1"/>
      <w:marLeft w:val="0"/>
      <w:marRight w:val="0"/>
      <w:marTop w:val="0"/>
      <w:marBottom w:val="0"/>
      <w:divBdr>
        <w:top w:val="none" w:sz="0" w:space="0" w:color="auto"/>
        <w:left w:val="none" w:sz="0" w:space="0" w:color="auto"/>
        <w:bottom w:val="none" w:sz="0" w:space="0" w:color="auto"/>
        <w:right w:val="none" w:sz="0" w:space="0" w:color="auto"/>
      </w:divBdr>
    </w:div>
    <w:div w:id="622034192">
      <w:bodyDiv w:val="1"/>
      <w:marLeft w:val="0"/>
      <w:marRight w:val="0"/>
      <w:marTop w:val="0"/>
      <w:marBottom w:val="0"/>
      <w:divBdr>
        <w:top w:val="none" w:sz="0" w:space="0" w:color="auto"/>
        <w:left w:val="none" w:sz="0" w:space="0" w:color="auto"/>
        <w:bottom w:val="none" w:sz="0" w:space="0" w:color="auto"/>
        <w:right w:val="none" w:sz="0" w:space="0" w:color="auto"/>
      </w:divBdr>
    </w:div>
    <w:div w:id="624314070">
      <w:bodyDiv w:val="1"/>
      <w:marLeft w:val="0"/>
      <w:marRight w:val="0"/>
      <w:marTop w:val="0"/>
      <w:marBottom w:val="0"/>
      <w:divBdr>
        <w:top w:val="none" w:sz="0" w:space="0" w:color="auto"/>
        <w:left w:val="none" w:sz="0" w:space="0" w:color="auto"/>
        <w:bottom w:val="none" w:sz="0" w:space="0" w:color="auto"/>
        <w:right w:val="none" w:sz="0" w:space="0" w:color="auto"/>
      </w:divBdr>
    </w:div>
    <w:div w:id="625235634">
      <w:bodyDiv w:val="1"/>
      <w:marLeft w:val="0"/>
      <w:marRight w:val="0"/>
      <w:marTop w:val="0"/>
      <w:marBottom w:val="0"/>
      <w:divBdr>
        <w:top w:val="none" w:sz="0" w:space="0" w:color="auto"/>
        <w:left w:val="none" w:sz="0" w:space="0" w:color="auto"/>
        <w:bottom w:val="none" w:sz="0" w:space="0" w:color="auto"/>
        <w:right w:val="none" w:sz="0" w:space="0" w:color="auto"/>
      </w:divBdr>
    </w:div>
    <w:div w:id="627665702">
      <w:bodyDiv w:val="1"/>
      <w:marLeft w:val="0"/>
      <w:marRight w:val="0"/>
      <w:marTop w:val="0"/>
      <w:marBottom w:val="0"/>
      <w:divBdr>
        <w:top w:val="none" w:sz="0" w:space="0" w:color="auto"/>
        <w:left w:val="none" w:sz="0" w:space="0" w:color="auto"/>
        <w:bottom w:val="none" w:sz="0" w:space="0" w:color="auto"/>
        <w:right w:val="none" w:sz="0" w:space="0" w:color="auto"/>
      </w:divBdr>
    </w:div>
    <w:div w:id="632104365">
      <w:bodyDiv w:val="1"/>
      <w:marLeft w:val="0"/>
      <w:marRight w:val="0"/>
      <w:marTop w:val="0"/>
      <w:marBottom w:val="0"/>
      <w:divBdr>
        <w:top w:val="none" w:sz="0" w:space="0" w:color="auto"/>
        <w:left w:val="none" w:sz="0" w:space="0" w:color="auto"/>
        <w:bottom w:val="none" w:sz="0" w:space="0" w:color="auto"/>
        <w:right w:val="none" w:sz="0" w:space="0" w:color="auto"/>
      </w:divBdr>
    </w:div>
    <w:div w:id="634607538">
      <w:bodyDiv w:val="1"/>
      <w:marLeft w:val="0"/>
      <w:marRight w:val="0"/>
      <w:marTop w:val="0"/>
      <w:marBottom w:val="0"/>
      <w:divBdr>
        <w:top w:val="none" w:sz="0" w:space="0" w:color="auto"/>
        <w:left w:val="none" w:sz="0" w:space="0" w:color="auto"/>
        <w:bottom w:val="none" w:sz="0" w:space="0" w:color="auto"/>
        <w:right w:val="none" w:sz="0" w:space="0" w:color="auto"/>
      </w:divBdr>
    </w:div>
    <w:div w:id="635767788">
      <w:bodyDiv w:val="1"/>
      <w:marLeft w:val="0"/>
      <w:marRight w:val="0"/>
      <w:marTop w:val="0"/>
      <w:marBottom w:val="0"/>
      <w:divBdr>
        <w:top w:val="none" w:sz="0" w:space="0" w:color="auto"/>
        <w:left w:val="none" w:sz="0" w:space="0" w:color="auto"/>
        <w:bottom w:val="none" w:sz="0" w:space="0" w:color="auto"/>
        <w:right w:val="none" w:sz="0" w:space="0" w:color="auto"/>
      </w:divBdr>
    </w:div>
    <w:div w:id="637300867">
      <w:bodyDiv w:val="1"/>
      <w:marLeft w:val="0"/>
      <w:marRight w:val="0"/>
      <w:marTop w:val="0"/>
      <w:marBottom w:val="0"/>
      <w:divBdr>
        <w:top w:val="none" w:sz="0" w:space="0" w:color="auto"/>
        <w:left w:val="none" w:sz="0" w:space="0" w:color="auto"/>
        <w:bottom w:val="none" w:sz="0" w:space="0" w:color="auto"/>
        <w:right w:val="none" w:sz="0" w:space="0" w:color="auto"/>
      </w:divBdr>
    </w:div>
    <w:div w:id="642973850">
      <w:bodyDiv w:val="1"/>
      <w:marLeft w:val="0"/>
      <w:marRight w:val="0"/>
      <w:marTop w:val="0"/>
      <w:marBottom w:val="0"/>
      <w:divBdr>
        <w:top w:val="none" w:sz="0" w:space="0" w:color="auto"/>
        <w:left w:val="none" w:sz="0" w:space="0" w:color="auto"/>
        <w:bottom w:val="none" w:sz="0" w:space="0" w:color="auto"/>
        <w:right w:val="none" w:sz="0" w:space="0" w:color="auto"/>
      </w:divBdr>
    </w:div>
    <w:div w:id="651712382">
      <w:bodyDiv w:val="1"/>
      <w:marLeft w:val="0"/>
      <w:marRight w:val="0"/>
      <w:marTop w:val="0"/>
      <w:marBottom w:val="0"/>
      <w:divBdr>
        <w:top w:val="none" w:sz="0" w:space="0" w:color="auto"/>
        <w:left w:val="none" w:sz="0" w:space="0" w:color="auto"/>
        <w:bottom w:val="none" w:sz="0" w:space="0" w:color="auto"/>
        <w:right w:val="none" w:sz="0" w:space="0" w:color="auto"/>
      </w:divBdr>
    </w:div>
    <w:div w:id="658775430">
      <w:bodyDiv w:val="1"/>
      <w:marLeft w:val="0"/>
      <w:marRight w:val="0"/>
      <w:marTop w:val="0"/>
      <w:marBottom w:val="0"/>
      <w:divBdr>
        <w:top w:val="none" w:sz="0" w:space="0" w:color="auto"/>
        <w:left w:val="none" w:sz="0" w:space="0" w:color="auto"/>
        <w:bottom w:val="none" w:sz="0" w:space="0" w:color="auto"/>
        <w:right w:val="none" w:sz="0" w:space="0" w:color="auto"/>
      </w:divBdr>
    </w:div>
    <w:div w:id="660740262">
      <w:bodyDiv w:val="1"/>
      <w:marLeft w:val="0"/>
      <w:marRight w:val="0"/>
      <w:marTop w:val="0"/>
      <w:marBottom w:val="0"/>
      <w:divBdr>
        <w:top w:val="none" w:sz="0" w:space="0" w:color="auto"/>
        <w:left w:val="none" w:sz="0" w:space="0" w:color="auto"/>
        <w:bottom w:val="none" w:sz="0" w:space="0" w:color="auto"/>
        <w:right w:val="none" w:sz="0" w:space="0" w:color="auto"/>
      </w:divBdr>
    </w:div>
    <w:div w:id="675154405">
      <w:bodyDiv w:val="1"/>
      <w:marLeft w:val="0"/>
      <w:marRight w:val="0"/>
      <w:marTop w:val="0"/>
      <w:marBottom w:val="0"/>
      <w:divBdr>
        <w:top w:val="none" w:sz="0" w:space="0" w:color="auto"/>
        <w:left w:val="none" w:sz="0" w:space="0" w:color="auto"/>
        <w:bottom w:val="none" w:sz="0" w:space="0" w:color="auto"/>
        <w:right w:val="none" w:sz="0" w:space="0" w:color="auto"/>
      </w:divBdr>
    </w:div>
    <w:div w:id="678892135">
      <w:bodyDiv w:val="1"/>
      <w:marLeft w:val="0"/>
      <w:marRight w:val="0"/>
      <w:marTop w:val="0"/>
      <w:marBottom w:val="0"/>
      <w:divBdr>
        <w:top w:val="none" w:sz="0" w:space="0" w:color="auto"/>
        <w:left w:val="none" w:sz="0" w:space="0" w:color="auto"/>
        <w:bottom w:val="none" w:sz="0" w:space="0" w:color="auto"/>
        <w:right w:val="none" w:sz="0" w:space="0" w:color="auto"/>
      </w:divBdr>
    </w:div>
    <w:div w:id="683021450">
      <w:bodyDiv w:val="1"/>
      <w:marLeft w:val="0"/>
      <w:marRight w:val="0"/>
      <w:marTop w:val="0"/>
      <w:marBottom w:val="0"/>
      <w:divBdr>
        <w:top w:val="none" w:sz="0" w:space="0" w:color="auto"/>
        <w:left w:val="none" w:sz="0" w:space="0" w:color="auto"/>
        <w:bottom w:val="none" w:sz="0" w:space="0" w:color="auto"/>
        <w:right w:val="none" w:sz="0" w:space="0" w:color="auto"/>
      </w:divBdr>
    </w:div>
    <w:div w:id="683440341">
      <w:bodyDiv w:val="1"/>
      <w:marLeft w:val="0"/>
      <w:marRight w:val="0"/>
      <w:marTop w:val="0"/>
      <w:marBottom w:val="0"/>
      <w:divBdr>
        <w:top w:val="none" w:sz="0" w:space="0" w:color="auto"/>
        <w:left w:val="none" w:sz="0" w:space="0" w:color="auto"/>
        <w:bottom w:val="none" w:sz="0" w:space="0" w:color="auto"/>
        <w:right w:val="none" w:sz="0" w:space="0" w:color="auto"/>
      </w:divBdr>
    </w:div>
    <w:div w:id="683747374">
      <w:bodyDiv w:val="1"/>
      <w:marLeft w:val="0"/>
      <w:marRight w:val="0"/>
      <w:marTop w:val="0"/>
      <w:marBottom w:val="0"/>
      <w:divBdr>
        <w:top w:val="none" w:sz="0" w:space="0" w:color="auto"/>
        <w:left w:val="none" w:sz="0" w:space="0" w:color="auto"/>
        <w:bottom w:val="none" w:sz="0" w:space="0" w:color="auto"/>
        <w:right w:val="none" w:sz="0" w:space="0" w:color="auto"/>
      </w:divBdr>
    </w:div>
    <w:div w:id="688992750">
      <w:bodyDiv w:val="1"/>
      <w:marLeft w:val="0"/>
      <w:marRight w:val="0"/>
      <w:marTop w:val="0"/>
      <w:marBottom w:val="0"/>
      <w:divBdr>
        <w:top w:val="none" w:sz="0" w:space="0" w:color="auto"/>
        <w:left w:val="none" w:sz="0" w:space="0" w:color="auto"/>
        <w:bottom w:val="none" w:sz="0" w:space="0" w:color="auto"/>
        <w:right w:val="none" w:sz="0" w:space="0" w:color="auto"/>
      </w:divBdr>
    </w:div>
    <w:div w:id="691687692">
      <w:bodyDiv w:val="1"/>
      <w:marLeft w:val="0"/>
      <w:marRight w:val="0"/>
      <w:marTop w:val="0"/>
      <w:marBottom w:val="0"/>
      <w:divBdr>
        <w:top w:val="none" w:sz="0" w:space="0" w:color="auto"/>
        <w:left w:val="none" w:sz="0" w:space="0" w:color="auto"/>
        <w:bottom w:val="none" w:sz="0" w:space="0" w:color="auto"/>
        <w:right w:val="none" w:sz="0" w:space="0" w:color="auto"/>
      </w:divBdr>
    </w:div>
    <w:div w:id="692192126">
      <w:bodyDiv w:val="1"/>
      <w:marLeft w:val="0"/>
      <w:marRight w:val="0"/>
      <w:marTop w:val="0"/>
      <w:marBottom w:val="0"/>
      <w:divBdr>
        <w:top w:val="none" w:sz="0" w:space="0" w:color="auto"/>
        <w:left w:val="none" w:sz="0" w:space="0" w:color="auto"/>
        <w:bottom w:val="none" w:sz="0" w:space="0" w:color="auto"/>
        <w:right w:val="none" w:sz="0" w:space="0" w:color="auto"/>
      </w:divBdr>
    </w:div>
    <w:div w:id="693656331">
      <w:bodyDiv w:val="1"/>
      <w:marLeft w:val="0"/>
      <w:marRight w:val="0"/>
      <w:marTop w:val="0"/>
      <w:marBottom w:val="0"/>
      <w:divBdr>
        <w:top w:val="none" w:sz="0" w:space="0" w:color="auto"/>
        <w:left w:val="none" w:sz="0" w:space="0" w:color="auto"/>
        <w:bottom w:val="none" w:sz="0" w:space="0" w:color="auto"/>
        <w:right w:val="none" w:sz="0" w:space="0" w:color="auto"/>
      </w:divBdr>
    </w:div>
    <w:div w:id="694310073">
      <w:bodyDiv w:val="1"/>
      <w:marLeft w:val="0"/>
      <w:marRight w:val="0"/>
      <w:marTop w:val="0"/>
      <w:marBottom w:val="0"/>
      <w:divBdr>
        <w:top w:val="none" w:sz="0" w:space="0" w:color="auto"/>
        <w:left w:val="none" w:sz="0" w:space="0" w:color="auto"/>
        <w:bottom w:val="none" w:sz="0" w:space="0" w:color="auto"/>
        <w:right w:val="none" w:sz="0" w:space="0" w:color="auto"/>
      </w:divBdr>
    </w:div>
    <w:div w:id="700933709">
      <w:bodyDiv w:val="1"/>
      <w:marLeft w:val="0"/>
      <w:marRight w:val="0"/>
      <w:marTop w:val="0"/>
      <w:marBottom w:val="0"/>
      <w:divBdr>
        <w:top w:val="none" w:sz="0" w:space="0" w:color="auto"/>
        <w:left w:val="none" w:sz="0" w:space="0" w:color="auto"/>
        <w:bottom w:val="none" w:sz="0" w:space="0" w:color="auto"/>
        <w:right w:val="none" w:sz="0" w:space="0" w:color="auto"/>
      </w:divBdr>
    </w:div>
    <w:div w:id="704477308">
      <w:bodyDiv w:val="1"/>
      <w:marLeft w:val="0"/>
      <w:marRight w:val="0"/>
      <w:marTop w:val="0"/>
      <w:marBottom w:val="0"/>
      <w:divBdr>
        <w:top w:val="none" w:sz="0" w:space="0" w:color="auto"/>
        <w:left w:val="none" w:sz="0" w:space="0" w:color="auto"/>
        <w:bottom w:val="none" w:sz="0" w:space="0" w:color="auto"/>
        <w:right w:val="none" w:sz="0" w:space="0" w:color="auto"/>
      </w:divBdr>
    </w:div>
    <w:div w:id="704907126">
      <w:bodyDiv w:val="1"/>
      <w:marLeft w:val="0"/>
      <w:marRight w:val="0"/>
      <w:marTop w:val="0"/>
      <w:marBottom w:val="0"/>
      <w:divBdr>
        <w:top w:val="none" w:sz="0" w:space="0" w:color="auto"/>
        <w:left w:val="none" w:sz="0" w:space="0" w:color="auto"/>
        <w:bottom w:val="none" w:sz="0" w:space="0" w:color="auto"/>
        <w:right w:val="none" w:sz="0" w:space="0" w:color="auto"/>
      </w:divBdr>
    </w:div>
    <w:div w:id="724724138">
      <w:bodyDiv w:val="1"/>
      <w:marLeft w:val="0"/>
      <w:marRight w:val="0"/>
      <w:marTop w:val="0"/>
      <w:marBottom w:val="0"/>
      <w:divBdr>
        <w:top w:val="none" w:sz="0" w:space="0" w:color="auto"/>
        <w:left w:val="none" w:sz="0" w:space="0" w:color="auto"/>
        <w:bottom w:val="none" w:sz="0" w:space="0" w:color="auto"/>
        <w:right w:val="none" w:sz="0" w:space="0" w:color="auto"/>
      </w:divBdr>
    </w:div>
    <w:div w:id="733428025">
      <w:bodyDiv w:val="1"/>
      <w:marLeft w:val="0"/>
      <w:marRight w:val="0"/>
      <w:marTop w:val="0"/>
      <w:marBottom w:val="0"/>
      <w:divBdr>
        <w:top w:val="none" w:sz="0" w:space="0" w:color="auto"/>
        <w:left w:val="none" w:sz="0" w:space="0" w:color="auto"/>
        <w:bottom w:val="none" w:sz="0" w:space="0" w:color="auto"/>
        <w:right w:val="none" w:sz="0" w:space="0" w:color="auto"/>
      </w:divBdr>
    </w:div>
    <w:div w:id="734667541">
      <w:bodyDiv w:val="1"/>
      <w:marLeft w:val="0"/>
      <w:marRight w:val="0"/>
      <w:marTop w:val="0"/>
      <w:marBottom w:val="0"/>
      <w:divBdr>
        <w:top w:val="none" w:sz="0" w:space="0" w:color="auto"/>
        <w:left w:val="none" w:sz="0" w:space="0" w:color="auto"/>
        <w:bottom w:val="none" w:sz="0" w:space="0" w:color="auto"/>
        <w:right w:val="none" w:sz="0" w:space="0" w:color="auto"/>
      </w:divBdr>
    </w:div>
    <w:div w:id="736052301">
      <w:bodyDiv w:val="1"/>
      <w:marLeft w:val="0"/>
      <w:marRight w:val="0"/>
      <w:marTop w:val="0"/>
      <w:marBottom w:val="0"/>
      <w:divBdr>
        <w:top w:val="none" w:sz="0" w:space="0" w:color="auto"/>
        <w:left w:val="none" w:sz="0" w:space="0" w:color="auto"/>
        <w:bottom w:val="none" w:sz="0" w:space="0" w:color="auto"/>
        <w:right w:val="none" w:sz="0" w:space="0" w:color="auto"/>
      </w:divBdr>
    </w:div>
    <w:div w:id="742871589">
      <w:bodyDiv w:val="1"/>
      <w:marLeft w:val="0"/>
      <w:marRight w:val="0"/>
      <w:marTop w:val="0"/>
      <w:marBottom w:val="0"/>
      <w:divBdr>
        <w:top w:val="none" w:sz="0" w:space="0" w:color="auto"/>
        <w:left w:val="none" w:sz="0" w:space="0" w:color="auto"/>
        <w:bottom w:val="none" w:sz="0" w:space="0" w:color="auto"/>
        <w:right w:val="none" w:sz="0" w:space="0" w:color="auto"/>
      </w:divBdr>
    </w:div>
    <w:div w:id="747271677">
      <w:bodyDiv w:val="1"/>
      <w:marLeft w:val="0"/>
      <w:marRight w:val="0"/>
      <w:marTop w:val="0"/>
      <w:marBottom w:val="0"/>
      <w:divBdr>
        <w:top w:val="none" w:sz="0" w:space="0" w:color="auto"/>
        <w:left w:val="none" w:sz="0" w:space="0" w:color="auto"/>
        <w:bottom w:val="none" w:sz="0" w:space="0" w:color="auto"/>
        <w:right w:val="none" w:sz="0" w:space="0" w:color="auto"/>
      </w:divBdr>
    </w:div>
    <w:div w:id="755592284">
      <w:bodyDiv w:val="1"/>
      <w:marLeft w:val="0"/>
      <w:marRight w:val="0"/>
      <w:marTop w:val="0"/>
      <w:marBottom w:val="0"/>
      <w:divBdr>
        <w:top w:val="none" w:sz="0" w:space="0" w:color="auto"/>
        <w:left w:val="none" w:sz="0" w:space="0" w:color="auto"/>
        <w:bottom w:val="none" w:sz="0" w:space="0" w:color="auto"/>
        <w:right w:val="none" w:sz="0" w:space="0" w:color="auto"/>
      </w:divBdr>
    </w:div>
    <w:div w:id="755975584">
      <w:bodyDiv w:val="1"/>
      <w:marLeft w:val="0"/>
      <w:marRight w:val="0"/>
      <w:marTop w:val="0"/>
      <w:marBottom w:val="0"/>
      <w:divBdr>
        <w:top w:val="none" w:sz="0" w:space="0" w:color="auto"/>
        <w:left w:val="none" w:sz="0" w:space="0" w:color="auto"/>
        <w:bottom w:val="none" w:sz="0" w:space="0" w:color="auto"/>
        <w:right w:val="none" w:sz="0" w:space="0" w:color="auto"/>
      </w:divBdr>
    </w:div>
    <w:div w:id="765540740">
      <w:bodyDiv w:val="1"/>
      <w:marLeft w:val="0"/>
      <w:marRight w:val="0"/>
      <w:marTop w:val="0"/>
      <w:marBottom w:val="0"/>
      <w:divBdr>
        <w:top w:val="none" w:sz="0" w:space="0" w:color="auto"/>
        <w:left w:val="none" w:sz="0" w:space="0" w:color="auto"/>
        <w:bottom w:val="none" w:sz="0" w:space="0" w:color="auto"/>
        <w:right w:val="none" w:sz="0" w:space="0" w:color="auto"/>
      </w:divBdr>
    </w:div>
    <w:div w:id="766124397">
      <w:bodyDiv w:val="1"/>
      <w:marLeft w:val="0"/>
      <w:marRight w:val="0"/>
      <w:marTop w:val="0"/>
      <w:marBottom w:val="0"/>
      <w:divBdr>
        <w:top w:val="none" w:sz="0" w:space="0" w:color="auto"/>
        <w:left w:val="none" w:sz="0" w:space="0" w:color="auto"/>
        <w:bottom w:val="none" w:sz="0" w:space="0" w:color="auto"/>
        <w:right w:val="none" w:sz="0" w:space="0" w:color="auto"/>
      </w:divBdr>
    </w:div>
    <w:div w:id="768159378">
      <w:bodyDiv w:val="1"/>
      <w:marLeft w:val="0"/>
      <w:marRight w:val="0"/>
      <w:marTop w:val="0"/>
      <w:marBottom w:val="0"/>
      <w:divBdr>
        <w:top w:val="none" w:sz="0" w:space="0" w:color="auto"/>
        <w:left w:val="none" w:sz="0" w:space="0" w:color="auto"/>
        <w:bottom w:val="none" w:sz="0" w:space="0" w:color="auto"/>
        <w:right w:val="none" w:sz="0" w:space="0" w:color="auto"/>
      </w:divBdr>
    </w:div>
    <w:div w:id="769740242">
      <w:bodyDiv w:val="1"/>
      <w:marLeft w:val="0"/>
      <w:marRight w:val="0"/>
      <w:marTop w:val="0"/>
      <w:marBottom w:val="0"/>
      <w:divBdr>
        <w:top w:val="none" w:sz="0" w:space="0" w:color="auto"/>
        <w:left w:val="none" w:sz="0" w:space="0" w:color="auto"/>
        <w:bottom w:val="none" w:sz="0" w:space="0" w:color="auto"/>
        <w:right w:val="none" w:sz="0" w:space="0" w:color="auto"/>
      </w:divBdr>
    </w:div>
    <w:div w:id="774328597">
      <w:bodyDiv w:val="1"/>
      <w:marLeft w:val="0"/>
      <w:marRight w:val="0"/>
      <w:marTop w:val="0"/>
      <w:marBottom w:val="0"/>
      <w:divBdr>
        <w:top w:val="none" w:sz="0" w:space="0" w:color="auto"/>
        <w:left w:val="none" w:sz="0" w:space="0" w:color="auto"/>
        <w:bottom w:val="none" w:sz="0" w:space="0" w:color="auto"/>
        <w:right w:val="none" w:sz="0" w:space="0" w:color="auto"/>
      </w:divBdr>
    </w:div>
    <w:div w:id="774520290">
      <w:bodyDiv w:val="1"/>
      <w:marLeft w:val="0"/>
      <w:marRight w:val="0"/>
      <w:marTop w:val="0"/>
      <w:marBottom w:val="0"/>
      <w:divBdr>
        <w:top w:val="none" w:sz="0" w:space="0" w:color="auto"/>
        <w:left w:val="none" w:sz="0" w:space="0" w:color="auto"/>
        <w:bottom w:val="none" w:sz="0" w:space="0" w:color="auto"/>
        <w:right w:val="none" w:sz="0" w:space="0" w:color="auto"/>
      </w:divBdr>
    </w:div>
    <w:div w:id="775056805">
      <w:bodyDiv w:val="1"/>
      <w:marLeft w:val="0"/>
      <w:marRight w:val="0"/>
      <w:marTop w:val="0"/>
      <w:marBottom w:val="0"/>
      <w:divBdr>
        <w:top w:val="none" w:sz="0" w:space="0" w:color="auto"/>
        <w:left w:val="none" w:sz="0" w:space="0" w:color="auto"/>
        <w:bottom w:val="none" w:sz="0" w:space="0" w:color="auto"/>
        <w:right w:val="none" w:sz="0" w:space="0" w:color="auto"/>
      </w:divBdr>
    </w:div>
    <w:div w:id="780033771">
      <w:bodyDiv w:val="1"/>
      <w:marLeft w:val="0"/>
      <w:marRight w:val="0"/>
      <w:marTop w:val="0"/>
      <w:marBottom w:val="0"/>
      <w:divBdr>
        <w:top w:val="none" w:sz="0" w:space="0" w:color="auto"/>
        <w:left w:val="none" w:sz="0" w:space="0" w:color="auto"/>
        <w:bottom w:val="none" w:sz="0" w:space="0" w:color="auto"/>
        <w:right w:val="none" w:sz="0" w:space="0" w:color="auto"/>
      </w:divBdr>
    </w:div>
    <w:div w:id="781388896">
      <w:bodyDiv w:val="1"/>
      <w:marLeft w:val="0"/>
      <w:marRight w:val="0"/>
      <w:marTop w:val="0"/>
      <w:marBottom w:val="0"/>
      <w:divBdr>
        <w:top w:val="none" w:sz="0" w:space="0" w:color="auto"/>
        <w:left w:val="none" w:sz="0" w:space="0" w:color="auto"/>
        <w:bottom w:val="none" w:sz="0" w:space="0" w:color="auto"/>
        <w:right w:val="none" w:sz="0" w:space="0" w:color="auto"/>
      </w:divBdr>
    </w:div>
    <w:div w:id="784471345">
      <w:bodyDiv w:val="1"/>
      <w:marLeft w:val="0"/>
      <w:marRight w:val="0"/>
      <w:marTop w:val="0"/>
      <w:marBottom w:val="0"/>
      <w:divBdr>
        <w:top w:val="none" w:sz="0" w:space="0" w:color="auto"/>
        <w:left w:val="none" w:sz="0" w:space="0" w:color="auto"/>
        <w:bottom w:val="none" w:sz="0" w:space="0" w:color="auto"/>
        <w:right w:val="none" w:sz="0" w:space="0" w:color="auto"/>
      </w:divBdr>
    </w:div>
    <w:div w:id="789519697">
      <w:bodyDiv w:val="1"/>
      <w:marLeft w:val="0"/>
      <w:marRight w:val="0"/>
      <w:marTop w:val="0"/>
      <w:marBottom w:val="0"/>
      <w:divBdr>
        <w:top w:val="none" w:sz="0" w:space="0" w:color="auto"/>
        <w:left w:val="none" w:sz="0" w:space="0" w:color="auto"/>
        <w:bottom w:val="none" w:sz="0" w:space="0" w:color="auto"/>
        <w:right w:val="none" w:sz="0" w:space="0" w:color="auto"/>
      </w:divBdr>
    </w:div>
    <w:div w:id="790367459">
      <w:bodyDiv w:val="1"/>
      <w:marLeft w:val="0"/>
      <w:marRight w:val="0"/>
      <w:marTop w:val="0"/>
      <w:marBottom w:val="0"/>
      <w:divBdr>
        <w:top w:val="none" w:sz="0" w:space="0" w:color="auto"/>
        <w:left w:val="none" w:sz="0" w:space="0" w:color="auto"/>
        <w:bottom w:val="none" w:sz="0" w:space="0" w:color="auto"/>
        <w:right w:val="none" w:sz="0" w:space="0" w:color="auto"/>
      </w:divBdr>
    </w:div>
    <w:div w:id="791636460">
      <w:bodyDiv w:val="1"/>
      <w:marLeft w:val="0"/>
      <w:marRight w:val="0"/>
      <w:marTop w:val="0"/>
      <w:marBottom w:val="0"/>
      <w:divBdr>
        <w:top w:val="none" w:sz="0" w:space="0" w:color="auto"/>
        <w:left w:val="none" w:sz="0" w:space="0" w:color="auto"/>
        <w:bottom w:val="none" w:sz="0" w:space="0" w:color="auto"/>
        <w:right w:val="none" w:sz="0" w:space="0" w:color="auto"/>
      </w:divBdr>
    </w:div>
    <w:div w:id="792089904">
      <w:bodyDiv w:val="1"/>
      <w:marLeft w:val="0"/>
      <w:marRight w:val="0"/>
      <w:marTop w:val="0"/>
      <w:marBottom w:val="0"/>
      <w:divBdr>
        <w:top w:val="none" w:sz="0" w:space="0" w:color="auto"/>
        <w:left w:val="none" w:sz="0" w:space="0" w:color="auto"/>
        <w:bottom w:val="none" w:sz="0" w:space="0" w:color="auto"/>
        <w:right w:val="none" w:sz="0" w:space="0" w:color="auto"/>
      </w:divBdr>
    </w:div>
    <w:div w:id="794644292">
      <w:bodyDiv w:val="1"/>
      <w:marLeft w:val="0"/>
      <w:marRight w:val="0"/>
      <w:marTop w:val="0"/>
      <w:marBottom w:val="0"/>
      <w:divBdr>
        <w:top w:val="none" w:sz="0" w:space="0" w:color="auto"/>
        <w:left w:val="none" w:sz="0" w:space="0" w:color="auto"/>
        <w:bottom w:val="none" w:sz="0" w:space="0" w:color="auto"/>
        <w:right w:val="none" w:sz="0" w:space="0" w:color="auto"/>
      </w:divBdr>
    </w:div>
    <w:div w:id="800540649">
      <w:bodyDiv w:val="1"/>
      <w:marLeft w:val="0"/>
      <w:marRight w:val="0"/>
      <w:marTop w:val="0"/>
      <w:marBottom w:val="0"/>
      <w:divBdr>
        <w:top w:val="none" w:sz="0" w:space="0" w:color="auto"/>
        <w:left w:val="none" w:sz="0" w:space="0" w:color="auto"/>
        <w:bottom w:val="none" w:sz="0" w:space="0" w:color="auto"/>
        <w:right w:val="none" w:sz="0" w:space="0" w:color="auto"/>
      </w:divBdr>
    </w:div>
    <w:div w:id="800810097">
      <w:bodyDiv w:val="1"/>
      <w:marLeft w:val="0"/>
      <w:marRight w:val="0"/>
      <w:marTop w:val="0"/>
      <w:marBottom w:val="0"/>
      <w:divBdr>
        <w:top w:val="none" w:sz="0" w:space="0" w:color="auto"/>
        <w:left w:val="none" w:sz="0" w:space="0" w:color="auto"/>
        <w:bottom w:val="none" w:sz="0" w:space="0" w:color="auto"/>
        <w:right w:val="none" w:sz="0" w:space="0" w:color="auto"/>
      </w:divBdr>
    </w:div>
    <w:div w:id="805508451">
      <w:bodyDiv w:val="1"/>
      <w:marLeft w:val="0"/>
      <w:marRight w:val="0"/>
      <w:marTop w:val="0"/>
      <w:marBottom w:val="0"/>
      <w:divBdr>
        <w:top w:val="none" w:sz="0" w:space="0" w:color="auto"/>
        <w:left w:val="none" w:sz="0" w:space="0" w:color="auto"/>
        <w:bottom w:val="none" w:sz="0" w:space="0" w:color="auto"/>
        <w:right w:val="none" w:sz="0" w:space="0" w:color="auto"/>
      </w:divBdr>
    </w:div>
    <w:div w:id="805970617">
      <w:bodyDiv w:val="1"/>
      <w:marLeft w:val="0"/>
      <w:marRight w:val="0"/>
      <w:marTop w:val="0"/>
      <w:marBottom w:val="0"/>
      <w:divBdr>
        <w:top w:val="none" w:sz="0" w:space="0" w:color="auto"/>
        <w:left w:val="none" w:sz="0" w:space="0" w:color="auto"/>
        <w:bottom w:val="none" w:sz="0" w:space="0" w:color="auto"/>
        <w:right w:val="none" w:sz="0" w:space="0" w:color="auto"/>
      </w:divBdr>
    </w:div>
    <w:div w:id="806623760">
      <w:bodyDiv w:val="1"/>
      <w:marLeft w:val="0"/>
      <w:marRight w:val="0"/>
      <w:marTop w:val="0"/>
      <w:marBottom w:val="0"/>
      <w:divBdr>
        <w:top w:val="none" w:sz="0" w:space="0" w:color="auto"/>
        <w:left w:val="none" w:sz="0" w:space="0" w:color="auto"/>
        <w:bottom w:val="none" w:sz="0" w:space="0" w:color="auto"/>
        <w:right w:val="none" w:sz="0" w:space="0" w:color="auto"/>
      </w:divBdr>
    </w:div>
    <w:div w:id="810095516">
      <w:bodyDiv w:val="1"/>
      <w:marLeft w:val="0"/>
      <w:marRight w:val="0"/>
      <w:marTop w:val="0"/>
      <w:marBottom w:val="0"/>
      <w:divBdr>
        <w:top w:val="none" w:sz="0" w:space="0" w:color="auto"/>
        <w:left w:val="none" w:sz="0" w:space="0" w:color="auto"/>
        <w:bottom w:val="none" w:sz="0" w:space="0" w:color="auto"/>
        <w:right w:val="none" w:sz="0" w:space="0" w:color="auto"/>
      </w:divBdr>
    </w:div>
    <w:div w:id="816146614">
      <w:bodyDiv w:val="1"/>
      <w:marLeft w:val="0"/>
      <w:marRight w:val="0"/>
      <w:marTop w:val="0"/>
      <w:marBottom w:val="0"/>
      <w:divBdr>
        <w:top w:val="none" w:sz="0" w:space="0" w:color="auto"/>
        <w:left w:val="none" w:sz="0" w:space="0" w:color="auto"/>
        <w:bottom w:val="none" w:sz="0" w:space="0" w:color="auto"/>
        <w:right w:val="none" w:sz="0" w:space="0" w:color="auto"/>
      </w:divBdr>
    </w:div>
    <w:div w:id="818306725">
      <w:bodyDiv w:val="1"/>
      <w:marLeft w:val="0"/>
      <w:marRight w:val="0"/>
      <w:marTop w:val="0"/>
      <w:marBottom w:val="0"/>
      <w:divBdr>
        <w:top w:val="none" w:sz="0" w:space="0" w:color="auto"/>
        <w:left w:val="none" w:sz="0" w:space="0" w:color="auto"/>
        <w:bottom w:val="none" w:sz="0" w:space="0" w:color="auto"/>
        <w:right w:val="none" w:sz="0" w:space="0" w:color="auto"/>
      </w:divBdr>
    </w:div>
    <w:div w:id="819542135">
      <w:bodyDiv w:val="1"/>
      <w:marLeft w:val="0"/>
      <w:marRight w:val="0"/>
      <w:marTop w:val="0"/>
      <w:marBottom w:val="0"/>
      <w:divBdr>
        <w:top w:val="none" w:sz="0" w:space="0" w:color="auto"/>
        <w:left w:val="none" w:sz="0" w:space="0" w:color="auto"/>
        <w:bottom w:val="none" w:sz="0" w:space="0" w:color="auto"/>
        <w:right w:val="none" w:sz="0" w:space="0" w:color="auto"/>
      </w:divBdr>
    </w:div>
    <w:div w:id="819620184">
      <w:bodyDiv w:val="1"/>
      <w:marLeft w:val="0"/>
      <w:marRight w:val="0"/>
      <w:marTop w:val="0"/>
      <w:marBottom w:val="0"/>
      <w:divBdr>
        <w:top w:val="none" w:sz="0" w:space="0" w:color="auto"/>
        <w:left w:val="none" w:sz="0" w:space="0" w:color="auto"/>
        <w:bottom w:val="none" w:sz="0" w:space="0" w:color="auto"/>
        <w:right w:val="none" w:sz="0" w:space="0" w:color="auto"/>
      </w:divBdr>
    </w:div>
    <w:div w:id="820344651">
      <w:bodyDiv w:val="1"/>
      <w:marLeft w:val="0"/>
      <w:marRight w:val="0"/>
      <w:marTop w:val="0"/>
      <w:marBottom w:val="0"/>
      <w:divBdr>
        <w:top w:val="none" w:sz="0" w:space="0" w:color="auto"/>
        <w:left w:val="none" w:sz="0" w:space="0" w:color="auto"/>
        <w:bottom w:val="none" w:sz="0" w:space="0" w:color="auto"/>
        <w:right w:val="none" w:sz="0" w:space="0" w:color="auto"/>
      </w:divBdr>
    </w:div>
    <w:div w:id="823930688">
      <w:bodyDiv w:val="1"/>
      <w:marLeft w:val="0"/>
      <w:marRight w:val="0"/>
      <w:marTop w:val="0"/>
      <w:marBottom w:val="0"/>
      <w:divBdr>
        <w:top w:val="none" w:sz="0" w:space="0" w:color="auto"/>
        <w:left w:val="none" w:sz="0" w:space="0" w:color="auto"/>
        <w:bottom w:val="none" w:sz="0" w:space="0" w:color="auto"/>
        <w:right w:val="none" w:sz="0" w:space="0" w:color="auto"/>
      </w:divBdr>
    </w:div>
    <w:div w:id="832911731">
      <w:bodyDiv w:val="1"/>
      <w:marLeft w:val="0"/>
      <w:marRight w:val="0"/>
      <w:marTop w:val="0"/>
      <w:marBottom w:val="0"/>
      <w:divBdr>
        <w:top w:val="none" w:sz="0" w:space="0" w:color="auto"/>
        <w:left w:val="none" w:sz="0" w:space="0" w:color="auto"/>
        <w:bottom w:val="none" w:sz="0" w:space="0" w:color="auto"/>
        <w:right w:val="none" w:sz="0" w:space="0" w:color="auto"/>
      </w:divBdr>
    </w:div>
    <w:div w:id="835270522">
      <w:bodyDiv w:val="1"/>
      <w:marLeft w:val="0"/>
      <w:marRight w:val="0"/>
      <w:marTop w:val="0"/>
      <w:marBottom w:val="0"/>
      <w:divBdr>
        <w:top w:val="none" w:sz="0" w:space="0" w:color="auto"/>
        <w:left w:val="none" w:sz="0" w:space="0" w:color="auto"/>
        <w:bottom w:val="none" w:sz="0" w:space="0" w:color="auto"/>
        <w:right w:val="none" w:sz="0" w:space="0" w:color="auto"/>
      </w:divBdr>
    </w:div>
    <w:div w:id="843786257">
      <w:bodyDiv w:val="1"/>
      <w:marLeft w:val="0"/>
      <w:marRight w:val="0"/>
      <w:marTop w:val="0"/>
      <w:marBottom w:val="0"/>
      <w:divBdr>
        <w:top w:val="none" w:sz="0" w:space="0" w:color="auto"/>
        <w:left w:val="none" w:sz="0" w:space="0" w:color="auto"/>
        <w:bottom w:val="none" w:sz="0" w:space="0" w:color="auto"/>
        <w:right w:val="none" w:sz="0" w:space="0" w:color="auto"/>
      </w:divBdr>
    </w:div>
    <w:div w:id="852954763">
      <w:bodyDiv w:val="1"/>
      <w:marLeft w:val="0"/>
      <w:marRight w:val="0"/>
      <w:marTop w:val="0"/>
      <w:marBottom w:val="0"/>
      <w:divBdr>
        <w:top w:val="none" w:sz="0" w:space="0" w:color="auto"/>
        <w:left w:val="none" w:sz="0" w:space="0" w:color="auto"/>
        <w:bottom w:val="none" w:sz="0" w:space="0" w:color="auto"/>
        <w:right w:val="none" w:sz="0" w:space="0" w:color="auto"/>
      </w:divBdr>
    </w:div>
    <w:div w:id="853610666">
      <w:bodyDiv w:val="1"/>
      <w:marLeft w:val="0"/>
      <w:marRight w:val="0"/>
      <w:marTop w:val="0"/>
      <w:marBottom w:val="0"/>
      <w:divBdr>
        <w:top w:val="none" w:sz="0" w:space="0" w:color="auto"/>
        <w:left w:val="none" w:sz="0" w:space="0" w:color="auto"/>
        <w:bottom w:val="none" w:sz="0" w:space="0" w:color="auto"/>
        <w:right w:val="none" w:sz="0" w:space="0" w:color="auto"/>
      </w:divBdr>
    </w:div>
    <w:div w:id="854804744">
      <w:bodyDiv w:val="1"/>
      <w:marLeft w:val="0"/>
      <w:marRight w:val="0"/>
      <w:marTop w:val="0"/>
      <w:marBottom w:val="0"/>
      <w:divBdr>
        <w:top w:val="none" w:sz="0" w:space="0" w:color="auto"/>
        <w:left w:val="none" w:sz="0" w:space="0" w:color="auto"/>
        <w:bottom w:val="none" w:sz="0" w:space="0" w:color="auto"/>
        <w:right w:val="none" w:sz="0" w:space="0" w:color="auto"/>
      </w:divBdr>
    </w:div>
    <w:div w:id="855849583">
      <w:bodyDiv w:val="1"/>
      <w:marLeft w:val="0"/>
      <w:marRight w:val="0"/>
      <w:marTop w:val="0"/>
      <w:marBottom w:val="0"/>
      <w:divBdr>
        <w:top w:val="none" w:sz="0" w:space="0" w:color="auto"/>
        <w:left w:val="none" w:sz="0" w:space="0" w:color="auto"/>
        <w:bottom w:val="none" w:sz="0" w:space="0" w:color="auto"/>
        <w:right w:val="none" w:sz="0" w:space="0" w:color="auto"/>
      </w:divBdr>
    </w:div>
    <w:div w:id="856308209">
      <w:bodyDiv w:val="1"/>
      <w:marLeft w:val="0"/>
      <w:marRight w:val="0"/>
      <w:marTop w:val="0"/>
      <w:marBottom w:val="0"/>
      <w:divBdr>
        <w:top w:val="none" w:sz="0" w:space="0" w:color="auto"/>
        <w:left w:val="none" w:sz="0" w:space="0" w:color="auto"/>
        <w:bottom w:val="none" w:sz="0" w:space="0" w:color="auto"/>
        <w:right w:val="none" w:sz="0" w:space="0" w:color="auto"/>
      </w:divBdr>
    </w:div>
    <w:div w:id="861894699">
      <w:bodyDiv w:val="1"/>
      <w:marLeft w:val="0"/>
      <w:marRight w:val="0"/>
      <w:marTop w:val="0"/>
      <w:marBottom w:val="0"/>
      <w:divBdr>
        <w:top w:val="none" w:sz="0" w:space="0" w:color="auto"/>
        <w:left w:val="none" w:sz="0" w:space="0" w:color="auto"/>
        <w:bottom w:val="none" w:sz="0" w:space="0" w:color="auto"/>
        <w:right w:val="none" w:sz="0" w:space="0" w:color="auto"/>
      </w:divBdr>
    </w:div>
    <w:div w:id="863984235">
      <w:bodyDiv w:val="1"/>
      <w:marLeft w:val="0"/>
      <w:marRight w:val="0"/>
      <w:marTop w:val="0"/>
      <w:marBottom w:val="0"/>
      <w:divBdr>
        <w:top w:val="none" w:sz="0" w:space="0" w:color="auto"/>
        <w:left w:val="none" w:sz="0" w:space="0" w:color="auto"/>
        <w:bottom w:val="none" w:sz="0" w:space="0" w:color="auto"/>
        <w:right w:val="none" w:sz="0" w:space="0" w:color="auto"/>
      </w:divBdr>
    </w:div>
    <w:div w:id="866915630">
      <w:bodyDiv w:val="1"/>
      <w:marLeft w:val="0"/>
      <w:marRight w:val="0"/>
      <w:marTop w:val="0"/>
      <w:marBottom w:val="0"/>
      <w:divBdr>
        <w:top w:val="none" w:sz="0" w:space="0" w:color="auto"/>
        <w:left w:val="none" w:sz="0" w:space="0" w:color="auto"/>
        <w:bottom w:val="none" w:sz="0" w:space="0" w:color="auto"/>
        <w:right w:val="none" w:sz="0" w:space="0" w:color="auto"/>
      </w:divBdr>
    </w:div>
    <w:div w:id="868952301">
      <w:bodyDiv w:val="1"/>
      <w:marLeft w:val="0"/>
      <w:marRight w:val="0"/>
      <w:marTop w:val="0"/>
      <w:marBottom w:val="0"/>
      <w:divBdr>
        <w:top w:val="none" w:sz="0" w:space="0" w:color="auto"/>
        <w:left w:val="none" w:sz="0" w:space="0" w:color="auto"/>
        <w:bottom w:val="none" w:sz="0" w:space="0" w:color="auto"/>
        <w:right w:val="none" w:sz="0" w:space="0" w:color="auto"/>
      </w:divBdr>
    </w:div>
    <w:div w:id="872692746">
      <w:bodyDiv w:val="1"/>
      <w:marLeft w:val="0"/>
      <w:marRight w:val="0"/>
      <w:marTop w:val="0"/>
      <w:marBottom w:val="0"/>
      <w:divBdr>
        <w:top w:val="none" w:sz="0" w:space="0" w:color="auto"/>
        <w:left w:val="none" w:sz="0" w:space="0" w:color="auto"/>
        <w:bottom w:val="none" w:sz="0" w:space="0" w:color="auto"/>
        <w:right w:val="none" w:sz="0" w:space="0" w:color="auto"/>
      </w:divBdr>
    </w:div>
    <w:div w:id="873662371">
      <w:bodyDiv w:val="1"/>
      <w:marLeft w:val="0"/>
      <w:marRight w:val="0"/>
      <w:marTop w:val="0"/>
      <w:marBottom w:val="0"/>
      <w:divBdr>
        <w:top w:val="none" w:sz="0" w:space="0" w:color="auto"/>
        <w:left w:val="none" w:sz="0" w:space="0" w:color="auto"/>
        <w:bottom w:val="none" w:sz="0" w:space="0" w:color="auto"/>
        <w:right w:val="none" w:sz="0" w:space="0" w:color="auto"/>
      </w:divBdr>
    </w:div>
    <w:div w:id="878977671">
      <w:bodyDiv w:val="1"/>
      <w:marLeft w:val="0"/>
      <w:marRight w:val="0"/>
      <w:marTop w:val="0"/>
      <w:marBottom w:val="0"/>
      <w:divBdr>
        <w:top w:val="none" w:sz="0" w:space="0" w:color="auto"/>
        <w:left w:val="none" w:sz="0" w:space="0" w:color="auto"/>
        <w:bottom w:val="none" w:sz="0" w:space="0" w:color="auto"/>
        <w:right w:val="none" w:sz="0" w:space="0" w:color="auto"/>
      </w:divBdr>
    </w:div>
    <w:div w:id="887765252">
      <w:bodyDiv w:val="1"/>
      <w:marLeft w:val="0"/>
      <w:marRight w:val="0"/>
      <w:marTop w:val="0"/>
      <w:marBottom w:val="0"/>
      <w:divBdr>
        <w:top w:val="none" w:sz="0" w:space="0" w:color="auto"/>
        <w:left w:val="none" w:sz="0" w:space="0" w:color="auto"/>
        <w:bottom w:val="none" w:sz="0" w:space="0" w:color="auto"/>
        <w:right w:val="none" w:sz="0" w:space="0" w:color="auto"/>
      </w:divBdr>
    </w:div>
    <w:div w:id="887954627">
      <w:bodyDiv w:val="1"/>
      <w:marLeft w:val="0"/>
      <w:marRight w:val="0"/>
      <w:marTop w:val="0"/>
      <w:marBottom w:val="0"/>
      <w:divBdr>
        <w:top w:val="none" w:sz="0" w:space="0" w:color="auto"/>
        <w:left w:val="none" w:sz="0" w:space="0" w:color="auto"/>
        <w:bottom w:val="none" w:sz="0" w:space="0" w:color="auto"/>
        <w:right w:val="none" w:sz="0" w:space="0" w:color="auto"/>
      </w:divBdr>
    </w:div>
    <w:div w:id="926381196">
      <w:bodyDiv w:val="1"/>
      <w:marLeft w:val="0"/>
      <w:marRight w:val="0"/>
      <w:marTop w:val="0"/>
      <w:marBottom w:val="0"/>
      <w:divBdr>
        <w:top w:val="none" w:sz="0" w:space="0" w:color="auto"/>
        <w:left w:val="none" w:sz="0" w:space="0" w:color="auto"/>
        <w:bottom w:val="none" w:sz="0" w:space="0" w:color="auto"/>
        <w:right w:val="none" w:sz="0" w:space="0" w:color="auto"/>
      </w:divBdr>
    </w:div>
    <w:div w:id="929315733">
      <w:bodyDiv w:val="1"/>
      <w:marLeft w:val="0"/>
      <w:marRight w:val="0"/>
      <w:marTop w:val="0"/>
      <w:marBottom w:val="0"/>
      <w:divBdr>
        <w:top w:val="none" w:sz="0" w:space="0" w:color="auto"/>
        <w:left w:val="none" w:sz="0" w:space="0" w:color="auto"/>
        <w:bottom w:val="none" w:sz="0" w:space="0" w:color="auto"/>
        <w:right w:val="none" w:sz="0" w:space="0" w:color="auto"/>
      </w:divBdr>
    </w:div>
    <w:div w:id="929700716">
      <w:bodyDiv w:val="1"/>
      <w:marLeft w:val="0"/>
      <w:marRight w:val="0"/>
      <w:marTop w:val="0"/>
      <w:marBottom w:val="0"/>
      <w:divBdr>
        <w:top w:val="none" w:sz="0" w:space="0" w:color="auto"/>
        <w:left w:val="none" w:sz="0" w:space="0" w:color="auto"/>
        <w:bottom w:val="none" w:sz="0" w:space="0" w:color="auto"/>
        <w:right w:val="none" w:sz="0" w:space="0" w:color="auto"/>
      </w:divBdr>
    </w:div>
    <w:div w:id="932513027">
      <w:bodyDiv w:val="1"/>
      <w:marLeft w:val="0"/>
      <w:marRight w:val="0"/>
      <w:marTop w:val="0"/>
      <w:marBottom w:val="0"/>
      <w:divBdr>
        <w:top w:val="none" w:sz="0" w:space="0" w:color="auto"/>
        <w:left w:val="none" w:sz="0" w:space="0" w:color="auto"/>
        <w:bottom w:val="none" w:sz="0" w:space="0" w:color="auto"/>
        <w:right w:val="none" w:sz="0" w:space="0" w:color="auto"/>
      </w:divBdr>
    </w:div>
    <w:div w:id="936063948">
      <w:bodyDiv w:val="1"/>
      <w:marLeft w:val="0"/>
      <w:marRight w:val="0"/>
      <w:marTop w:val="0"/>
      <w:marBottom w:val="0"/>
      <w:divBdr>
        <w:top w:val="none" w:sz="0" w:space="0" w:color="auto"/>
        <w:left w:val="none" w:sz="0" w:space="0" w:color="auto"/>
        <w:bottom w:val="none" w:sz="0" w:space="0" w:color="auto"/>
        <w:right w:val="none" w:sz="0" w:space="0" w:color="auto"/>
      </w:divBdr>
    </w:div>
    <w:div w:id="943652874">
      <w:bodyDiv w:val="1"/>
      <w:marLeft w:val="0"/>
      <w:marRight w:val="0"/>
      <w:marTop w:val="0"/>
      <w:marBottom w:val="0"/>
      <w:divBdr>
        <w:top w:val="none" w:sz="0" w:space="0" w:color="auto"/>
        <w:left w:val="none" w:sz="0" w:space="0" w:color="auto"/>
        <w:bottom w:val="none" w:sz="0" w:space="0" w:color="auto"/>
        <w:right w:val="none" w:sz="0" w:space="0" w:color="auto"/>
      </w:divBdr>
    </w:div>
    <w:div w:id="945230206">
      <w:bodyDiv w:val="1"/>
      <w:marLeft w:val="0"/>
      <w:marRight w:val="0"/>
      <w:marTop w:val="0"/>
      <w:marBottom w:val="0"/>
      <w:divBdr>
        <w:top w:val="none" w:sz="0" w:space="0" w:color="auto"/>
        <w:left w:val="none" w:sz="0" w:space="0" w:color="auto"/>
        <w:bottom w:val="none" w:sz="0" w:space="0" w:color="auto"/>
        <w:right w:val="none" w:sz="0" w:space="0" w:color="auto"/>
      </w:divBdr>
    </w:div>
    <w:div w:id="948203481">
      <w:bodyDiv w:val="1"/>
      <w:marLeft w:val="0"/>
      <w:marRight w:val="0"/>
      <w:marTop w:val="0"/>
      <w:marBottom w:val="0"/>
      <w:divBdr>
        <w:top w:val="none" w:sz="0" w:space="0" w:color="auto"/>
        <w:left w:val="none" w:sz="0" w:space="0" w:color="auto"/>
        <w:bottom w:val="none" w:sz="0" w:space="0" w:color="auto"/>
        <w:right w:val="none" w:sz="0" w:space="0" w:color="auto"/>
      </w:divBdr>
    </w:div>
    <w:div w:id="950403091">
      <w:bodyDiv w:val="1"/>
      <w:marLeft w:val="0"/>
      <w:marRight w:val="0"/>
      <w:marTop w:val="0"/>
      <w:marBottom w:val="0"/>
      <w:divBdr>
        <w:top w:val="none" w:sz="0" w:space="0" w:color="auto"/>
        <w:left w:val="none" w:sz="0" w:space="0" w:color="auto"/>
        <w:bottom w:val="none" w:sz="0" w:space="0" w:color="auto"/>
        <w:right w:val="none" w:sz="0" w:space="0" w:color="auto"/>
      </w:divBdr>
    </w:div>
    <w:div w:id="955480843">
      <w:bodyDiv w:val="1"/>
      <w:marLeft w:val="0"/>
      <w:marRight w:val="0"/>
      <w:marTop w:val="0"/>
      <w:marBottom w:val="0"/>
      <w:divBdr>
        <w:top w:val="none" w:sz="0" w:space="0" w:color="auto"/>
        <w:left w:val="none" w:sz="0" w:space="0" w:color="auto"/>
        <w:bottom w:val="none" w:sz="0" w:space="0" w:color="auto"/>
        <w:right w:val="none" w:sz="0" w:space="0" w:color="auto"/>
      </w:divBdr>
    </w:div>
    <w:div w:id="972175811">
      <w:bodyDiv w:val="1"/>
      <w:marLeft w:val="0"/>
      <w:marRight w:val="0"/>
      <w:marTop w:val="0"/>
      <w:marBottom w:val="0"/>
      <w:divBdr>
        <w:top w:val="none" w:sz="0" w:space="0" w:color="auto"/>
        <w:left w:val="none" w:sz="0" w:space="0" w:color="auto"/>
        <w:bottom w:val="none" w:sz="0" w:space="0" w:color="auto"/>
        <w:right w:val="none" w:sz="0" w:space="0" w:color="auto"/>
      </w:divBdr>
    </w:div>
    <w:div w:id="974137514">
      <w:bodyDiv w:val="1"/>
      <w:marLeft w:val="0"/>
      <w:marRight w:val="0"/>
      <w:marTop w:val="0"/>
      <w:marBottom w:val="0"/>
      <w:divBdr>
        <w:top w:val="none" w:sz="0" w:space="0" w:color="auto"/>
        <w:left w:val="none" w:sz="0" w:space="0" w:color="auto"/>
        <w:bottom w:val="none" w:sz="0" w:space="0" w:color="auto"/>
        <w:right w:val="none" w:sz="0" w:space="0" w:color="auto"/>
      </w:divBdr>
    </w:div>
    <w:div w:id="985863726">
      <w:bodyDiv w:val="1"/>
      <w:marLeft w:val="0"/>
      <w:marRight w:val="0"/>
      <w:marTop w:val="0"/>
      <w:marBottom w:val="0"/>
      <w:divBdr>
        <w:top w:val="none" w:sz="0" w:space="0" w:color="auto"/>
        <w:left w:val="none" w:sz="0" w:space="0" w:color="auto"/>
        <w:bottom w:val="none" w:sz="0" w:space="0" w:color="auto"/>
        <w:right w:val="none" w:sz="0" w:space="0" w:color="auto"/>
      </w:divBdr>
    </w:div>
    <w:div w:id="987133000">
      <w:bodyDiv w:val="1"/>
      <w:marLeft w:val="0"/>
      <w:marRight w:val="0"/>
      <w:marTop w:val="0"/>
      <w:marBottom w:val="0"/>
      <w:divBdr>
        <w:top w:val="none" w:sz="0" w:space="0" w:color="auto"/>
        <w:left w:val="none" w:sz="0" w:space="0" w:color="auto"/>
        <w:bottom w:val="none" w:sz="0" w:space="0" w:color="auto"/>
        <w:right w:val="none" w:sz="0" w:space="0" w:color="auto"/>
      </w:divBdr>
    </w:div>
    <w:div w:id="988439659">
      <w:bodyDiv w:val="1"/>
      <w:marLeft w:val="0"/>
      <w:marRight w:val="0"/>
      <w:marTop w:val="0"/>
      <w:marBottom w:val="0"/>
      <w:divBdr>
        <w:top w:val="none" w:sz="0" w:space="0" w:color="auto"/>
        <w:left w:val="none" w:sz="0" w:space="0" w:color="auto"/>
        <w:bottom w:val="none" w:sz="0" w:space="0" w:color="auto"/>
        <w:right w:val="none" w:sz="0" w:space="0" w:color="auto"/>
      </w:divBdr>
    </w:div>
    <w:div w:id="991562064">
      <w:bodyDiv w:val="1"/>
      <w:marLeft w:val="0"/>
      <w:marRight w:val="0"/>
      <w:marTop w:val="0"/>
      <w:marBottom w:val="0"/>
      <w:divBdr>
        <w:top w:val="none" w:sz="0" w:space="0" w:color="auto"/>
        <w:left w:val="none" w:sz="0" w:space="0" w:color="auto"/>
        <w:bottom w:val="none" w:sz="0" w:space="0" w:color="auto"/>
        <w:right w:val="none" w:sz="0" w:space="0" w:color="auto"/>
      </w:divBdr>
    </w:div>
    <w:div w:id="993069270">
      <w:bodyDiv w:val="1"/>
      <w:marLeft w:val="0"/>
      <w:marRight w:val="0"/>
      <w:marTop w:val="0"/>
      <w:marBottom w:val="0"/>
      <w:divBdr>
        <w:top w:val="none" w:sz="0" w:space="0" w:color="auto"/>
        <w:left w:val="none" w:sz="0" w:space="0" w:color="auto"/>
        <w:bottom w:val="none" w:sz="0" w:space="0" w:color="auto"/>
        <w:right w:val="none" w:sz="0" w:space="0" w:color="auto"/>
      </w:divBdr>
    </w:div>
    <w:div w:id="993604291">
      <w:bodyDiv w:val="1"/>
      <w:marLeft w:val="0"/>
      <w:marRight w:val="0"/>
      <w:marTop w:val="0"/>
      <w:marBottom w:val="0"/>
      <w:divBdr>
        <w:top w:val="none" w:sz="0" w:space="0" w:color="auto"/>
        <w:left w:val="none" w:sz="0" w:space="0" w:color="auto"/>
        <w:bottom w:val="none" w:sz="0" w:space="0" w:color="auto"/>
        <w:right w:val="none" w:sz="0" w:space="0" w:color="auto"/>
      </w:divBdr>
    </w:div>
    <w:div w:id="996156474">
      <w:bodyDiv w:val="1"/>
      <w:marLeft w:val="0"/>
      <w:marRight w:val="0"/>
      <w:marTop w:val="0"/>
      <w:marBottom w:val="0"/>
      <w:divBdr>
        <w:top w:val="none" w:sz="0" w:space="0" w:color="auto"/>
        <w:left w:val="none" w:sz="0" w:space="0" w:color="auto"/>
        <w:bottom w:val="none" w:sz="0" w:space="0" w:color="auto"/>
        <w:right w:val="none" w:sz="0" w:space="0" w:color="auto"/>
      </w:divBdr>
    </w:div>
    <w:div w:id="997927630">
      <w:bodyDiv w:val="1"/>
      <w:marLeft w:val="0"/>
      <w:marRight w:val="0"/>
      <w:marTop w:val="0"/>
      <w:marBottom w:val="0"/>
      <w:divBdr>
        <w:top w:val="none" w:sz="0" w:space="0" w:color="auto"/>
        <w:left w:val="none" w:sz="0" w:space="0" w:color="auto"/>
        <w:bottom w:val="none" w:sz="0" w:space="0" w:color="auto"/>
        <w:right w:val="none" w:sz="0" w:space="0" w:color="auto"/>
      </w:divBdr>
    </w:div>
    <w:div w:id="1003237974">
      <w:bodyDiv w:val="1"/>
      <w:marLeft w:val="0"/>
      <w:marRight w:val="0"/>
      <w:marTop w:val="0"/>
      <w:marBottom w:val="0"/>
      <w:divBdr>
        <w:top w:val="none" w:sz="0" w:space="0" w:color="auto"/>
        <w:left w:val="none" w:sz="0" w:space="0" w:color="auto"/>
        <w:bottom w:val="none" w:sz="0" w:space="0" w:color="auto"/>
        <w:right w:val="none" w:sz="0" w:space="0" w:color="auto"/>
      </w:divBdr>
    </w:div>
    <w:div w:id="1006594576">
      <w:bodyDiv w:val="1"/>
      <w:marLeft w:val="0"/>
      <w:marRight w:val="0"/>
      <w:marTop w:val="0"/>
      <w:marBottom w:val="0"/>
      <w:divBdr>
        <w:top w:val="none" w:sz="0" w:space="0" w:color="auto"/>
        <w:left w:val="none" w:sz="0" w:space="0" w:color="auto"/>
        <w:bottom w:val="none" w:sz="0" w:space="0" w:color="auto"/>
        <w:right w:val="none" w:sz="0" w:space="0" w:color="auto"/>
      </w:divBdr>
    </w:div>
    <w:div w:id="1008216860">
      <w:bodyDiv w:val="1"/>
      <w:marLeft w:val="0"/>
      <w:marRight w:val="0"/>
      <w:marTop w:val="0"/>
      <w:marBottom w:val="0"/>
      <w:divBdr>
        <w:top w:val="none" w:sz="0" w:space="0" w:color="auto"/>
        <w:left w:val="none" w:sz="0" w:space="0" w:color="auto"/>
        <w:bottom w:val="none" w:sz="0" w:space="0" w:color="auto"/>
        <w:right w:val="none" w:sz="0" w:space="0" w:color="auto"/>
      </w:divBdr>
    </w:div>
    <w:div w:id="1008408161">
      <w:bodyDiv w:val="1"/>
      <w:marLeft w:val="0"/>
      <w:marRight w:val="0"/>
      <w:marTop w:val="0"/>
      <w:marBottom w:val="0"/>
      <w:divBdr>
        <w:top w:val="none" w:sz="0" w:space="0" w:color="auto"/>
        <w:left w:val="none" w:sz="0" w:space="0" w:color="auto"/>
        <w:bottom w:val="none" w:sz="0" w:space="0" w:color="auto"/>
        <w:right w:val="none" w:sz="0" w:space="0" w:color="auto"/>
      </w:divBdr>
    </w:div>
    <w:div w:id="1012535352">
      <w:bodyDiv w:val="1"/>
      <w:marLeft w:val="0"/>
      <w:marRight w:val="0"/>
      <w:marTop w:val="0"/>
      <w:marBottom w:val="0"/>
      <w:divBdr>
        <w:top w:val="none" w:sz="0" w:space="0" w:color="auto"/>
        <w:left w:val="none" w:sz="0" w:space="0" w:color="auto"/>
        <w:bottom w:val="none" w:sz="0" w:space="0" w:color="auto"/>
        <w:right w:val="none" w:sz="0" w:space="0" w:color="auto"/>
      </w:divBdr>
    </w:div>
    <w:div w:id="1015613195">
      <w:bodyDiv w:val="1"/>
      <w:marLeft w:val="0"/>
      <w:marRight w:val="0"/>
      <w:marTop w:val="0"/>
      <w:marBottom w:val="0"/>
      <w:divBdr>
        <w:top w:val="none" w:sz="0" w:space="0" w:color="auto"/>
        <w:left w:val="none" w:sz="0" w:space="0" w:color="auto"/>
        <w:bottom w:val="none" w:sz="0" w:space="0" w:color="auto"/>
        <w:right w:val="none" w:sz="0" w:space="0" w:color="auto"/>
      </w:divBdr>
    </w:div>
    <w:div w:id="1018120466">
      <w:bodyDiv w:val="1"/>
      <w:marLeft w:val="0"/>
      <w:marRight w:val="0"/>
      <w:marTop w:val="0"/>
      <w:marBottom w:val="0"/>
      <w:divBdr>
        <w:top w:val="none" w:sz="0" w:space="0" w:color="auto"/>
        <w:left w:val="none" w:sz="0" w:space="0" w:color="auto"/>
        <w:bottom w:val="none" w:sz="0" w:space="0" w:color="auto"/>
        <w:right w:val="none" w:sz="0" w:space="0" w:color="auto"/>
      </w:divBdr>
    </w:div>
    <w:div w:id="1018503277">
      <w:bodyDiv w:val="1"/>
      <w:marLeft w:val="0"/>
      <w:marRight w:val="0"/>
      <w:marTop w:val="0"/>
      <w:marBottom w:val="0"/>
      <w:divBdr>
        <w:top w:val="none" w:sz="0" w:space="0" w:color="auto"/>
        <w:left w:val="none" w:sz="0" w:space="0" w:color="auto"/>
        <w:bottom w:val="none" w:sz="0" w:space="0" w:color="auto"/>
        <w:right w:val="none" w:sz="0" w:space="0" w:color="auto"/>
      </w:divBdr>
    </w:div>
    <w:div w:id="1021855378">
      <w:bodyDiv w:val="1"/>
      <w:marLeft w:val="0"/>
      <w:marRight w:val="0"/>
      <w:marTop w:val="0"/>
      <w:marBottom w:val="0"/>
      <w:divBdr>
        <w:top w:val="none" w:sz="0" w:space="0" w:color="auto"/>
        <w:left w:val="none" w:sz="0" w:space="0" w:color="auto"/>
        <w:bottom w:val="none" w:sz="0" w:space="0" w:color="auto"/>
        <w:right w:val="none" w:sz="0" w:space="0" w:color="auto"/>
      </w:divBdr>
    </w:div>
    <w:div w:id="1024094998">
      <w:bodyDiv w:val="1"/>
      <w:marLeft w:val="0"/>
      <w:marRight w:val="0"/>
      <w:marTop w:val="0"/>
      <w:marBottom w:val="0"/>
      <w:divBdr>
        <w:top w:val="none" w:sz="0" w:space="0" w:color="auto"/>
        <w:left w:val="none" w:sz="0" w:space="0" w:color="auto"/>
        <w:bottom w:val="none" w:sz="0" w:space="0" w:color="auto"/>
        <w:right w:val="none" w:sz="0" w:space="0" w:color="auto"/>
      </w:divBdr>
    </w:div>
    <w:div w:id="1029717934">
      <w:bodyDiv w:val="1"/>
      <w:marLeft w:val="0"/>
      <w:marRight w:val="0"/>
      <w:marTop w:val="0"/>
      <w:marBottom w:val="0"/>
      <w:divBdr>
        <w:top w:val="none" w:sz="0" w:space="0" w:color="auto"/>
        <w:left w:val="none" w:sz="0" w:space="0" w:color="auto"/>
        <w:bottom w:val="none" w:sz="0" w:space="0" w:color="auto"/>
        <w:right w:val="none" w:sz="0" w:space="0" w:color="auto"/>
      </w:divBdr>
    </w:div>
    <w:div w:id="1030687621">
      <w:bodyDiv w:val="1"/>
      <w:marLeft w:val="0"/>
      <w:marRight w:val="0"/>
      <w:marTop w:val="0"/>
      <w:marBottom w:val="0"/>
      <w:divBdr>
        <w:top w:val="none" w:sz="0" w:space="0" w:color="auto"/>
        <w:left w:val="none" w:sz="0" w:space="0" w:color="auto"/>
        <w:bottom w:val="none" w:sz="0" w:space="0" w:color="auto"/>
        <w:right w:val="none" w:sz="0" w:space="0" w:color="auto"/>
      </w:divBdr>
    </w:div>
    <w:div w:id="1032799968">
      <w:bodyDiv w:val="1"/>
      <w:marLeft w:val="0"/>
      <w:marRight w:val="0"/>
      <w:marTop w:val="0"/>
      <w:marBottom w:val="0"/>
      <w:divBdr>
        <w:top w:val="none" w:sz="0" w:space="0" w:color="auto"/>
        <w:left w:val="none" w:sz="0" w:space="0" w:color="auto"/>
        <w:bottom w:val="none" w:sz="0" w:space="0" w:color="auto"/>
        <w:right w:val="none" w:sz="0" w:space="0" w:color="auto"/>
      </w:divBdr>
    </w:div>
    <w:div w:id="1046025718">
      <w:bodyDiv w:val="1"/>
      <w:marLeft w:val="0"/>
      <w:marRight w:val="0"/>
      <w:marTop w:val="0"/>
      <w:marBottom w:val="0"/>
      <w:divBdr>
        <w:top w:val="none" w:sz="0" w:space="0" w:color="auto"/>
        <w:left w:val="none" w:sz="0" w:space="0" w:color="auto"/>
        <w:bottom w:val="none" w:sz="0" w:space="0" w:color="auto"/>
        <w:right w:val="none" w:sz="0" w:space="0" w:color="auto"/>
      </w:divBdr>
    </w:div>
    <w:div w:id="1050879035">
      <w:bodyDiv w:val="1"/>
      <w:marLeft w:val="0"/>
      <w:marRight w:val="0"/>
      <w:marTop w:val="0"/>
      <w:marBottom w:val="0"/>
      <w:divBdr>
        <w:top w:val="none" w:sz="0" w:space="0" w:color="auto"/>
        <w:left w:val="none" w:sz="0" w:space="0" w:color="auto"/>
        <w:bottom w:val="none" w:sz="0" w:space="0" w:color="auto"/>
        <w:right w:val="none" w:sz="0" w:space="0" w:color="auto"/>
      </w:divBdr>
    </w:div>
    <w:div w:id="1051002956">
      <w:bodyDiv w:val="1"/>
      <w:marLeft w:val="0"/>
      <w:marRight w:val="0"/>
      <w:marTop w:val="0"/>
      <w:marBottom w:val="0"/>
      <w:divBdr>
        <w:top w:val="none" w:sz="0" w:space="0" w:color="auto"/>
        <w:left w:val="none" w:sz="0" w:space="0" w:color="auto"/>
        <w:bottom w:val="none" w:sz="0" w:space="0" w:color="auto"/>
        <w:right w:val="none" w:sz="0" w:space="0" w:color="auto"/>
      </w:divBdr>
    </w:div>
    <w:div w:id="1052467223">
      <w:bodyDiv w:val="1"/>
      <w:marLeft w:val="0"/>
      <w:marRight w:val="0"/>
      <w:marTop w:val="0"/>
      <w:marBottom w:val="0"/>
      <w:divBdr>
        <w:top w:val="none" w:sz="0" w:space="0" w:color="auto"/>
        <w:left w:val="none" w:sz="0" w:space="0" w:color="auto"/>
        <w:bottom w:val="none" w:sz="0" w:space="0" w:color="auto"/>
        <w:right w:val="none" w:sz="0" w:space="0" w:color="auto"/>
      </w:divBdr>
    </w:div>
    <w:div w:id="1053041407">
      <w:bodyDiv w:val="1"/>
      <w:marLeft w:val="0"/>
      <w:marRight w:val="0"/>
      <w:marTop w:val="0"/>
      <w:marBottom w:val="0"/>
      <w:divBdr>
        <w:top w:val="none" w:sz="0" w:space="0" w:color="auto"/>
        <w:left w:val="none" w:sz="0" w:space="0" w:color="auto"/>
        <w:bottom w:val="none" w:sz="0" w:space="0" w:color="auto"/>
        <w:right w:val="none" w:sz="0" w:space="0" w:color="auto"/>
      </w:divBdr>
    </w:div>
    <w:div w:id="1057241143">
      <w:bodyDiv w:val="1"/>
      <w:marLeft w:val="0"/>
      <w:marRight w:val="0"/>
      <w:marTop w:val="0"/>
      <w:marBottom w:val="0"/>
      <w:divBdr>
        <w:top w:val="none" w:sz="0" w:space="0" w:color="auto"/>
        <w:left w:val="none" w:sz="0" w:space="0" w:color="auto"/>
        <w:bottom w:val="none" w:sz="0" w:space="0" w:color="auto"/>
        <w:right w:val="none" w:sz="0" w:space="0" w:color="auto"/>
      </w:divBdr>
    </w:div>
    <w:div w:id="1077049749">
      <w:bodyDiv w:val="1"/>
      <w:marLeft w:val="0"/>
      <w:marRight w:val="0"/>
      <w:marTop w:val="0"/>
      <w:marBottom w:val="0"/>
      <w:divBdr>
        <w:top w:val="none" w:sz="0" w:space="0" w:color="auto"/>
        <w:left w:val="none" w:sz="0" w:space="0" w:color="auto"/>
        <w:bottom w:val="none" w:sz="0" w:space="0" w:color="auto"/>
        <w:right w:val="none" w:sz="0" w:space="0" w:color="auto"/>
      </w:divBdr>
    </w:div>
    <w:div w:id="1081564487">
      <w:bodyDiv w:val="1"/>
      <w:marLeft w:val="0"/>
      <w:marRight w:val="0"/>
      <w:marTop w:val="0"/>
      <w:marBottom w:val="0"/>
      <w:divBdr>
        <w:top w:val="none" w:sz="0" w:space="0" w:color="auto"/>
        <w:left w:val="none" w:sz="0" w:space="0" w:color="auto"/>
        <w:bottom w:val="none" w:sz="0" w:space="0" w:color="auto"/>
        <w:right w:val="none" w:sz="0" w:space="0" w:color="auto"/>
      </w:divBdr>
    </w:div>
    <w:div w:id="1083140198">
      <w:bodyDiv w:val="1"/>
      <w:marLeft w:val="0"/>
      <w:marRight w:val="0"/>
      <w:marTop w:val="0"/>
      <w:marBottom w:val="0"/>
      <w:divBdr>
        <w:top w:val="none" w:sz="0" w:space="0" w:color="auto"/>
        <w:left w:val="none" w:sz="0" w:space="0" w:color="auto"/>
        <w:bottom w:val="none" w:sz="0" w:space="0" w:color="auto"/>
        <w:right w:val="none" w:sz="0" w:space="0" w:color="auto"/>
      </w:divBdr>
    </w:div>
    <w:div w:id="1088504316">
      <w:bodyDiv w:val="1"/>
      <w:marLeft w:val="0"/>
      <w:marRight w:val="0"/>
      <w:marTop w:val="0"/>
      <w:marBottom w:val="0"/>
      <w:divBdr>
        <w:top w:val="none" w:sz="0" w:space="0" w:color="auto"/>
        <w:left w:val="none" w:sz="0" w:space="0" w:color="auto"/>
        <w:bottom w:val="none" w:sz="0" w:space="0" w:color="auto"/>
        <w:right w:val="none" w:sz="0" w:space="0" w:color="auto"/>
      </w:divBdr>
    </w:div>
    <w:div w:id="1089278402">
      <w:bodyDiv w:val="1"/>
      <w:marLeft w:val="0"/>
      <w:marRight w:val="0"/>
      <w:marTop w:val="0"/>
      <w:marBottom w:val="0"/>
      <w:divBdr>
        <w:top w:val="none" w:sz="0" w:space="0" w:color="auto"/>
        <w:left w:val="none" w:sz="0" w:space="0" w:color="auto"/>
        <w:bottom w:val="none" w:sz="0" w:space="0" w:color="auto"/>
        <w:right w:val="none" w:sz="0" w:space="0" w:color="auto"/>
      </w:divBdr>
    </w:div>
    <w:div w:id="1092778434">
      <w:bodyDiv w:val="1"/>
      <w:marLeft w:val="0"/>
      <w:marRight w:val="0"/>
      <w:marTop w:val="0"/>
      <w:marBottom w:val="0"/>
      <w:divBdr>
        <w:top w:val="none" w:sz="0" w:space="0" w:color="auto"/>
        <w:left w:val="none" w:sz="0" w:space="0" w:color="auto"/>
        <w:bottom w:val="none" w:sz="0" w:space="0" w:color="auto"/>
        <w:right w:val="none" w:sz="0" w:space="0" w:color="auto"/>
      </w:divBdr>
    </w:div>
    <w:div w:id="1094671432">
      <w:bodyDiv w:val="1"/>
      <w:marLeft w:val="0"/>
      <w:marRight w:val="0"/>
      <w:marTop w:val="0"/>
      <w:marBottom w:val="0"/>
      <w:divBdr>
        <w:top w:val="none" w:sz="0" w:space="0" w:color="auto"/>
        <w:left w:val="none" w:sz="0" w:space="0" w:color="auto"/>
        <w:bottom w:val="none" w:sz="0" w:space="0" w:color="auto"/>
        <w:right w:val="none" w:sz="0" w:space="0" w:color="auto"/>
      </w:divBdr>
    </w:div>
    <w:div w:id="1094861938">
      <w:bodyDiv w:val="1"/>
      <w:marLeft w:val="0"/>
      <w:marRight w:val="0"/>
      <w:marTop w:val="0"/>
      <w:marBottom w:val="0"/>
      <w:divBdr>
        <w:top w:val="none" w:sz="0" w:space="0" w:color="auto"/>
        <w:left w:val="none" w:sz="0" w:space="0" w:color="auto"/>
        <w:bottom w:val="none" w:sz="0" w:space="0" w:color="auto"/>
        <w:right w:val="none" w:sz="0" w:space="0" w:color="auto"/>
      </w:divBdr>
    </w:div>
    <w:div w:id="1098252809">
      <w:bodyDiv w:val="1"/>
      <w:marLeft w:val="0"/>
      <w:marRight w:val="0"/>
      <w:marTop w:val="0"/>
      <w:marBottom w:val="0"/>
      <w:divBdr>
        <w:top w:val="none" w:sz="0" w:space="0" w:color="auto"/>
        <w:left w:val="none" w:sz="0" w:space="0" w:color="auto"/>
        <w:bottom w:val="none" w:sz="0" w:space="0" w:color="auto"/>
        <w:right w:val="none" w:sz="0" w:space="0" w:color="auto"/>
      </w:divBdr>
    </w:div>
    <w:div w:id="1100176488">
      <w:bodyDiv w:val="1"/>
      <w:marLeft w:val="0"/>
      <w:marRight w:val="0"/>
      <w:marTop w:val="0"/>
      <w:marBottom w:val="0"/>
      <w:divBdr>
        <w:top w:val="none" w:sz="0" w:space="0" w:color="auto"/>
        <w:left w:val="none" w:sz="0" w:space="0" w:color="auto"/>
        <w:bottom w:val="none" w:sz="0" w:space="0" w:color="auto"/>
        <w:right w:val="none" w:sz="0" w:space="0" w:color="auto"/>
      </w:divBdr>
    </w:div>
    <w:div w:id="1110246576">
      <w:bodyDiv w:val="1"/>
      <w:marLeft w:val="0"/>
      <w:marRight w:val="0"/>
      <w:marTop w:val="0"/>
      <w:marBottom w:val="0"/>
      <w:divBdr>
        <w:top w:val="none" w:sz="0" w:space="0" w:color="auto"/>
        <w:left w:val="none" w:sz="0" w:space="0" w:color="auto"/>
        <w:bottom w:val="none" w:sz="0" w:space="0" w:color="auto"/>
        <w:right w:val="none" w:sz="0" w:space="0" w:color="auto"/>
      </w:divBdr>
    </w:div>
    <w:div w:id="1119253691">
      <w:bodyDiv w:val="1"/>
      <w:marLeft w:val="0"/>
      <w:marRight w:val="0"/>
      <w:marTop w:val="0"/>
      <w:marBottom w:val="0"/>
      <w:divBdr>
        <w:top w:val="none" w:sz="0" w:space="0" w:color="auto"/>
        <w:left w:val="none" w:sz="0" w:space="0" w:color="auto"/>
        <w:bottom w:val="none" w:sz="0" w:space="0" w:color="auto"/>
        <w:right w:val="none" w:sz="0" w:space="0" w:color="auto"/>
      </w:divBdr>
    </w:div>
    <w:div w:id="1121654549">
      <w:bodyDiv w:val="1"/>
      <w:marLeft w:val="0"/>
      <w:marRight w:val="0"/>
      <w:marTop w:val="0"/>
      <w:marBottom w:val="0"/>
      <w:divBdr>
        <w:top w:val="none" w:sz="0" w:space="0" w:color="auto"/>
        <w:left w:val="none" w:sz="0" w:space="0" w:color="auto"/>
        <w:bottom w:val="none" w:sz="0" w:space="0" w:color="auto"/>
        <w:right w:val="none" w:sz="0" w:space="0" w:color="auto"/>
      </w:divBdr>
    </w:div>
    <w:div w:id="1122650256">
      <w:bodyDiv w:val="1"/>
      <w:marLeft w:val="0"/>
      <w:marRight w:val="0"/>
      <w:marTop w:val="0"/>
      <w:marBottom w:val="0"/>
      <w:divBdr>
        <w:top w:val="none" w:sz="0" w:space="0" w:color="auto"/>
        <w:left w:val="none" w:sz="0" w:space="0" w:color="auto"/>
        <w:bottom w:val="none" w:sz="0" w:space="0" w:color="auto"/>
        <w:right w:val="none" w:sz="0" w:space="0" w:color="auto"/>
      </w:divBdr>
    </w:div>
    <w:div w:id="1129322477">
      <w:bodyDiv w:val="1"/>
      <w:marLeft w:val="0"/>
      <w:marRight w:val="0"/>
      <w:marTop w:val="0"/>
      <w:marBottom w:val="0"/>
      <w:divBdr>
        <w:top w:val="none" w:sz="0" w:space="0" w:color="auto"/>
        <w:left w:val="none" w:sz="0" w:space="0" w:color="auto"/>
        <w:bottom w:val="none" w:sz="0" w:space="0" w:color="auto"/>
        <w:right w:val="none" w:sz="0" w:space="0" w:color="auto"/>
      </w:divBdr>
    </w:div>
    <w:div w:id="1133599390">
      <w:bodyDiv w:val="1"/>
      <w:marLeft w:val="0"/>
      <w:marRight w:val="0"/>
      <w:marTop w:val="0"/>
      <w:marBottom w:val="0"/>
      <w:divBdr>
        <w:top w:val="none" w:sz="0" w:space="0" w:color="auto"/>
        <w:left w:val="none" w:sz="0" w:space="0" w:color="auto"/>
        <w:bottom w:val="none" w:sz="0" w:space="0" w:color="auto"/>
        <w:right w:val="none" w:sz="0" w:space="0" w:color="auto"/>
      </w:divBdr>
    </w:div>
    <w:div w:id="1134371658">
      <w:bodyDiv w:val="1"/>
      <w:marLeft w:val="0"/>
      <w:marRight w:val="0"/>
      <w:marTop w:val="0"/>
      <w:marBottom w:val="0"/>
      <w:divBdr>
        <w:top w:val="none" w:sz="0" w:space="0" w:color="auto"/>
        <w:left w:val="none" w:sz="0" w:space="0" w:color="auto"/>
        <w:bottom w:val="none" w:sz="0" w:space="0" w:color="auto"/>
        <w:right w:val="none" w:sz="0" w:space="0" w:color="auto"/>
      </w:divBdr>
    </w:div>
    <w:div w:id="1143429819">
      <w:bodyDiv w:val="1"/>
      <w:marLeft w:val="0"/>
      <w:marRight w:val="0"/>
      <w:marTop w:val="0"/>
      <w:marBottom w:val="0"/>
      <w:divBdr>
        <w:top w:val="none" w:sz="0" w:space="0" w:color="auto"/>
        <w:left w:val="none" w:sz="0" w:space="0" w:color="auto"/>
        <w:bottom w:val="none" w:sz="0" w:space="0" w:color="auto"/>
        <w:right w:val="none" w:sz="0" w:space="0" w:color="auto"/>
      </w:divBdr>
    </w:div>
    <w:div w:id="1145656497">
      <w:bodyDiv w:val="1"/>
      <w:marLeft w:val="0"/>
      <w:marRight w:val="0"/>
      <w:marTop w:val="0"/>
      <w:marBottom w:val="0"/>
      <w:divBdr>
        <w:top w:val="none" w:sz="0" w:space="0" w:color="auto"/>
        <w:left w:val="none" w:sz="0" w:space="0" w:color="auto"/>
        <w:bottom w:val="none" w:sz="0" w:space="0" w:color="auto"/>
        <w:right w:val="none" w:sz="0" w:space="0" w:color="auto"/>
      </w:divBdr>
    </w:div>
    <w:div w:id="1148132313">
      <w:bodyDiv w:val="1"/>
      <w:marLeft w:val="0"/>
      <w:marRight w:val="0"/>
      <w:marTop w:val="0"/>
      <w:marBottom w:val="0"/>
      <w:divBdr>
        <w:top w:val="none" w:sz="0" w:space="0" w:color="auto"/>
        <w:left w:val="none" w:sz="0" w:space="0" w:color="auto"/>
        <w:bottom w:val="none" w:sz="0" w:space="0" w:color="auto"/>
        <w:right w:val="none" w:sz="0" w:space="0" w:color="auto"/>
      </w:divBdr>
    </w:div>
    <w:div w:id="1162696862">
      <w:bodyDiv w:val="1"/>
      <w:marLeft w:val="0"/>
      <w:marRight w:val="0"/>
      <w:marTop w:val="0"/>
      <w:marBottom w:val="0"/>
      <w:divBdr>
        <w:top w:val="none" w:sz="0" w:space="0" w:color="auto"/>
        <w:left w:val="none" w:sz="0" w:space="0" w:color="auto"/>
        <w:bottom w:val="none" w:sz="0" w:space="0" w:color="auto"/>
        <w:right w:val="none" w:sz="0" w:space="0" w:color="auto"/>
      </w:divBdr>
    </w:div>
    <w:div w:id="1172378748">
      <w:bodyDiv w:val="1"/>
      <w:marLeft w:val="0"/>
      <w:marRight w:val="0"/>
      <w:marTop w:val="0"/>
      <w:marBottom w:val="0"/>
      <w:divBdr>
        <w:top w:val="none" w:sz="0" w:space="0" w:color="auto"/>
        <w:left w:val="none" w:sz="0" w:space="0" w:color="auto"/>
        <w:bottom w:val="none" w:sz="0" w:space="0" w:color="auto"/>
        <w:right w:val="none" w:sz="0" w:space="0" w:color="auto"/>
      </w:divBdr>
    </w:div>
    <w:div w:id="1177421912">
      <w:bodyDiv w:val="1"/>
      <w:marLeft w:val="0"/>
      <w:marRight w:val="0"/>
      <w:marTop w:val="0"/>
      <w:marBottom w:val="0"/>
      <w:divBdr>
        <w:top w:val="none" w:sz="0" w:space="0" w:color="auto"/>
        <w:left w:val="none" w:sz="0" w:space="0" w:color="auto"/>
        <w:bottom w:val="none" w:sz="0" w:space="0" w:color="auto"/>
        <w:right w:val="none" w:sz="0" w:space="0" w:color="auto"/>
      </w:divBdr>
    </w:div>
    <w:div w:id="1178420742">
      <w:bodyDiv w:val="1"/>
      <w:marLeft w:val="0"/>
      <w:marRight w:val="0"/>
      <w:marTop w:val="0"/>
      <w:marBottom w:val="0"/>
      <w:divBdr>
        <w:top w:val="none" w:sz="0" w:space="0" w:color="auto"/>
        <w:left w:val="none" w:sz="0" w:space="0" w:color="auto"/>
        <w:bottom w:val="none" w:sz="0" w:space="0" w:color="auto"/>
        <w:right w:val="none" w:sz="0" w:space="0" w:color="auto"/>
      </w:divBdr>
    </w:div>
    <w:div w:id="1178538208">
      <w:bodyDiv w:val="1"/>
      <w:marLeft w:val="0"/>
      <w:marRight w:val="0"/>
      <w:marTop w:val="0"/>
      <w:marBottom w:val="0"/>
      <w:divBdr>
        <w:top w:val="none" w:sz="0" w:space="0" w:color="auto"/>
        <w:left w:val="none" w:sz="0" w:space="0" w:color="auto"/>
        <w:bottom w:val="none" w:sz="0" w:space="0" w:color="auto"/>
        <w:right w:val="none" w:sz="0" w:space="0" w:color="auto"/>
      </w:divBdr>
    </w:div>
    <w:div w:id="1186288562">
      <w:bodyDiv w:val="1"/>
      <w:marLeft w:val="0"/>
      <w:marRight w:val="0"/>
      <w:marTop w:val="0"/>
      <w:marBottom w:val="0"/>
      <w:divBdr>
        <w:top w:val="none" w:sz="0" w:space="0" w:color="auto"/>
        <w:left w:val="none" w:sz="0" w:space="0" w:color="auto"/>
        <w:bottom w:val="none" w:sz="0" w:space="0" w:color="auto"/>
        <w:right w:val="none" w:sz="0" w:space="0" w:color="auto"/>
      </w:divBdr>
    </w:div>
    <w:div w:id="1187720281">
      <w:bodyDiv w:val="1"/>
      <w:marLeft w:val="0"/>
      <w:marRight w:val="0"/>
      <w:marTop w:val="0"/>
      <w:marBottom w:val="0"/>
      <w:divBdr>
        <w:top w:val="none" w:sz="0" w:space="0" w:color="auto"/>
        <w:left w:val="none" w:sz="0" w:space="0" w:color="auto"/>
        <w:bottom w:val="none" w:sz="0" w:space="0" w:color="auto"/>
        <w:right w:val="none" w:sz="0" w:space="0" w:color="auto"/>
      </w:divBdr>
    </w:div>
    <w:div w:id="1214543830">
      <w:bodyDiv w:val="1"/>
      <w:marLeft w:val="0"/>
      <w:marRight w:val="0"/>
      <w:marTop w:val="0"/>
      <w:marBottom w:val="0"/>
      <w:divBdr>
        <w:top w:val="none" w:sz="0" w:space="0" w:color="auto"/>
        <w:left w:val="none" w:sz="0" w:space="0" w:color="auto"/>
        <w:bottom w:val="none" w:sz="0" w:space="0" w:color="auto"/>
        <w:right w:val="none" w:sz="0" w:space="0" w:color="auto"/>
      </w:divBdr>
    </w:div>
    <w:div w:id="1221091542">
      <w:bodyDiv w:val="1"/>
      <w:marLeft w:val="0"/>
      <w:marRight w:val="0"/>
      <w:marTop w:val="0"/>
      <w:marBottom w:val="0"/>
      <w:divBdr>
        <w:top w:val="none" w:sz="0" w:space="0" w:color="auto"/>
        <w:left w:val="none" w:sz="0" w:space="0" w:color="auto"/>
        <w:bottom w:val="none" w:sz="0" w:space="0" w:color="auto"/>
        <w:right w:val="none" w:sz="0" w:space="0" w:color="auto"/>
      </w:divBdr>
    </w:div>
    <w:div w:id="1223178278">
      <w:bodyDiv w:val="1"/>
      <w:marLeft w:val="0"/>
      <w:marRight w:val="0"/>
      <w:marTop w:val="0"/>
      <w:marBottom w:val="0"/>
      <w:divBdr>
        <w:top w:val="none" w:sz="0" w:space="0" w:color="auto"/>
        <w:left w:val="none" w:sz="0" w:space="0" w:color="auto"/>
        <w:bottom w:val="none" w:sz="0" w:space="0" w:color="auto"/>
        <w:right w:val="none" w:sz="0" w:space="0" w:color="auto"/>
      </w:divBdr>
    </w:div>
    <w:div w:id="1225530802">
      <w:bodyDiv w:val="1"/>
      <w:marLeft w:val="0"/>
      <w:marRight w:val="0"/>
      <w:marTop w:val="0"/>
      <w:marBottom w:val="0"/>
      <w:divBdr>
        <w:top w:val="none" w:sz="0" w:space="0" w:color="auto"/>
        <w:left w:val="none" w:sz="0" w:space="0" w:color="auto"/>
        <w:bottom w:val="none" w:sz="0" w:space="0" w:color="auto"/>
        <w:right w:val="none" w:sz="0" w:space="0" w:color="auto"/>
      </w:divBdr>
    </w:div>
    <w:div w:id="1231116861">
      <w:bodyDiv w:val="1"/>
      <w:marLeft w:val="0"/>
      <w:marRight w:val="0"/>
      <w:marTop w:val="0"/>
      <w:marBottom w:val="0"/>
      <w:divBdr>
        <w:top w:val="none" w:sz="0" w:space="0" w:color="auto"/>
        <w:left w:val="none" w:sz="0" w:space="0" w:color="auto"/>
        <w:bottom w:val="none" w:sz="0" w:space="0" w:color="auto"/>
        <w:right w:val="none" w:sz="0" w:space="0" w:color="auto"/>
      </w:divBdr>
    </w:div>
    <w:div w:id="1238712767">
      <w:bodyDiv w:val="1"/>
      <w:marLeft w:val="0"/>
      <w:marRight w:val="0"/>
      <w:marTop w:val="0"/>
      <w:marBottom w:val="0"/>
      <w:divBdr>
        <w:top w:val="none" w:sz="0" w:space="0" w:color="auto"/>
        <w:left w:val="none" w:sz="0" w:space="0" w:color="auto"/>
        <w:bottom w:val="none" w:sz="0" w:space="0" w:color="auto"/>
        <w:right w:val="none" w:sz="0" w:space="0" w:color="auto"/>
      </w:divBdr>
    </w:div>
    <w:div w:id="1243299344">
      <w:bodyDiv w:val="1"/>
      <w:marLeft w:val="0"/>
      <w:marRight w:val="0"/>
      <w:marTop w:val="0"/>
      <w:marBottom w:val="0"/>
      <w:divBdr>
        <w:top w:val="none" w:sz="0" w:space="0" w:color="auto"/>
        <w:left w:val="none" w:sz="0" w:space="0" w:color="auto"/>
        <w:bottom w:val="none" w:sz="0" w:space="0" w:color="auto"/>
        <w:right w:val="none" w:sz="0" w:space="0" w:color="auto"/>
      </w:divBdr>
    </w:div>
    <w:div w:id="1244027645">
      <w:bodyDiv w:val="1"/>
      <w:marLeft w:val="0"/>
      <w:marRight w:val="0"/>
      <w:marTop w:val="0"/>
      <w:marBottom w:val="0"/>
      <w:divBdr>
        <w:top w:val="none" w:sz="0" w:space="0" w:color="auto"/>
        <w:left w:val="none" w:sz="0" w:space="0" w:color="auto"/>
        <w:bottom w:val="none" w:sz="0" w:space="0" w:color="auto"/>
        <w:right w:val="none" w:sz="0" w:space="0" w:color="auto"/>
      </w:divBdr>
    </w:div>
    <w:div w:id="1250576818">
      <w:bodyDiv w:val="1"/>
      <w:marLeft w:val="0"/>
      <w:marRight w:val="0"/>
      <w:marTop w:val="0"/>
      <w:marBottom w:val="0"/>
      <w:divBdr>
        <w:top w:val="none" w:sz="0" w:space="0" w:color="auto"/>
        <w:left w:val="none" w:sz="0" w:space="0" w:color="auto"/>
        <w:bottom w:val="none" w:sz="0" w:space="0" w:color="auto"/>
        <w:right w:val="none" w:sz="0" w:space="0" w:color="auto"/>
      </w:divBdr>
    </w:div>
    <w:div w:id="1252160556">
      <w:bodyDiv w:val="1"/>
      <w:marLeft w:val="0"/>
      <w:marRight w:val="0"/>
      <w:marTop w:val="0"/>
      <w:marBottom w:val="0"/>
      <w:divBdr>
        <w:top w:val="none" w:sz="0" w:space="0" w:color="auto"/>
        <w:left w:val="none" w:sz="0" w:space="0" w:color="auto"/>
        <w:bottom w:val="none" w:sz="0" w:space="0" w:color="auto"/>
        <w:right w:val="none" w:sz="0" w:space="0" w:color="auto"/>
      </w:divBdr>
    </w:div>
    <w:div w:id="1253272801">
      <w:bodyDiv w:val="1"/>
      <w:marLeft w:val="0"/>
      <w:marRight w:val="0"/>
      <w:marTop w:val="0"/>
      <w:marBottom w:val="0"/>
      <w:divBdr>
        <w:top w:val="none" w:sz="0" w:space="0" w:color="auto"/>
        <w:left w:val="none" w:sz="0" w:space="0" w:color="auto"/>
        <w:bottom w:val="none" w:sz="0" w:space="0" w:color="auto"/>
        <w:right w:val="none" w:sz="0" w:space="0" w:color="auto"/>
      </w:divBdr>
    </w:div>
    <w:div w:id="1261990560">
      <w:bodyDiv w:val="1"/>
      <w:marLeft w:val="0"/>
      <w:marRight w:val="0"/>
      <w:marTop w:val="0"/>
      <w:marBottom w:val="0"/>
      <w:divBdr>
        <w:top w:val="none" w:sz="0" w:space="0" w:color="auto"/>
        <w:left w:val="none" w:sz="0" w:space="0" w:color="auto"/>
        <w:bottom w:val="none" w:sz="0" w:space="0" w:color="auto"/>
        <w:right w:val="none" w:sz="0" w:space="0" w:color="auto"/>
      </w:divBdr>
    </w:div>
    <w:div w:id="1262181038">
      <w:bodyDiv w:val="1"/>
      <w:marLeft w:val="0"/>
      <w:marRight w:val="0"/>
      <w:marTop w:val="0"/>
      <w:marBottom w:val="0"/>
      <w:divBdr>
        <w:top w:val="none" w:sz="0" w:space="0" w:color="auto"/>
        <w:left w:val="none" w:sz="0" w:space="0" w:color="auto"/>
        <w:bottom w:val="none" w:sz="0" w:space="0" w:color="auto"/>
        <w:right w:val="none" w:sz="0" w:space="0" w:color="auto"/>
      </w:divBdr>
    </w:div>
    <w:div w:id="1272054153">
      <w:bodyDiv w:val="1"/>
      <w:marLeft w:val="0"/>
      <w:marRight w:val="0"/>
      <w:marTop w:val="0"/>
      <w:marBottom w:val="0"/>
      <w:divBdr>
        <w:top w:val="none" w:sz="0" w:space="0" w:color="auto"/>
        <w:left w:val="none" w:sz="0" w:space="0" w:color="auto"/>
        <w:bottom w:val="none" w:sz="0" w:space="0" w:color="auto"/>
        <w:right w:val="none" w:sz="0" w:space="0" w:color="auto"/>
      </w:divBdr>
    </w:div>
    <w:div w:id="1275672472">
      <w:bodyDiv w:val="1"/>
      <w:marLeft w:val="0"/>
      <w:marRight w:val="0"/>
      <w:marTop w:val="0"/>
      <w:marBottom w:val="0"/>
      <w:divBdr>
        <w:top w:val="none" w:sz="0" w:space="0" w:color="auto"/>
        <w:left w:val="none" w:sz="0" w:space="0" w:color="auto"/>
        <w:bottom w:val="none" w:sz="0" w:space="0" w:color="auto"/>
        <w:right w:val="none" w:sz="0" w:space="0" w:color="auto"/>
      </w:divBdr>
    </w:div>
    <w:div w:id="1277715914">
      <w:bodyDiv w:val="1"/>
      <w:marLeft w:val="0"/>
      <w:marRight w:val="0"/>
      <w:marTop w:val="0"/>
      <w:marBottom w:val="0"/>
      <w:divBdr>
        <w:top w:val="none" w:sz="0" w:space="0" w:color="auto"/>
        <w:left w:val="none" w:sz="0" w:space="0" w:color="auto"/>
        <w:bottom w:val="none" w:sz="0" w:space="0" w:color="auto"/>
        <w:right w:val="none" w:sz="0" w:space="0" w:color="auto"/>
      </w:divBdr>
    </w:div>
    <w:div w:id="1278174772">
      <w:bodyDiv w:val="1"/>
      <w:marLeft w:val="0"/>
      <w:marRight w:val="0"/>
      <w:marTop w:val="0"/>
      <w:marBottom w:val="0"/>
      <w:divBdr>
        <w:top w:val="none" w:sz="0" w:space="0" w:color="auto"/>
        <w:left w:val="none" w:sz="0" w:space="0" w:color="auto"/>
        <w:bottom w:val="none" w:sz="0" w:space="0" w:color="auto"/>
        <w:right w:val="none" w:sz="0" w:space="0" w:color="auto"/>
      </w:divBdr>
    </w:div>
    <w:div w:id="1284071859">
      <w:bodyDiv w:val="1"/>
      <w:marLeft w:val="0"/>
      <w:marRight w:val="0"/>
      <w:marTop w:val="0"/>
      <w:marBottom w:val="0"/>
      <w:divBdr>
        <w:top w:val="none" w:sz="0" w:space="0" w:color="auto"/>
        <w:left w:val="none" w:sz="0" w:space="0" w:color="auto"/>
        <w:bottom w:val="none" w:sz="0" w:space="0" w:color="auto"/>
        <w:right w:val="none" w:sz="0" w:space="0" w:color="auto"/>
      </w:divBdr>
    </w:div>
    <w:div w:id="1287395376">
      <w:bodyDiv w:val="1"/>
      <w:marLeft w:val="0"/>
      <w:marRight w:val="0"/>
      <w:marTop w:val="0"/>
      <w:marBottom w:val="0"/>
      <w:divBdr>
        <w:top w:val="none" w:sz="0" w:space="0" w:color="auto"/>
        <w:left w:val="none" w:sz="0" w:space="0" w:color="auto"/>
        <w:bottom w:val="none" w:sz="0" w:space="0" w:color="auto"/>
        <w:right w:val="none" w:sz="0" w:space="0" w:color="auto"/>
      </w:divBdr>
    </w:div>
    <w:div w:id="1290697536">
      <w:bodyDiv w:val="1"/>
      <w:marLeft w:val="0"/>
      <w:marRight w:val="0"/>
      <w:marTop w:val="0"/>
      <w:marBottom w:val="0"/>
      <w:divBdr>
        <w:top w:val="none" w:sz="0" w:space="0" w:color="auto"/>
        <w:left w:val="none" w:sz="0" w:space="0" w:color="auto"/>
        <w:bottom w:val="none" w:sz="0" w:space="0" w:color="auto"/>
        <w:right w:val="none" w:sz="0" w:space="0" w:color="auto"/>
      </w:divBdr>
    </w:div>
    <w:div w:id="1293245534">
      <w:bodyDiv w:val="1"/>
      <w:marLeft w:val="0"/>
      <w:marRight w:val="0"/>
      <w:marTop w:val="0"/>
      <w:marBottom w:val="0"/>
      <w:divBdr>
        <w:top w:val="none" w:sz="0" w:space="0" w:color="auto"/>
        <w:left w:val="none" w:sz="0" w:space="0" w:color="auto"/>
        <w:bottom w:val="none" w:sz="0" w:space="0" w:color="auto"/>
        <w:right w:val="none" w:sz="0" w:space="0" w:color="auto"/>
      </w:divBdr>
    </w:div>
    <w:div w:id="1297219998">
      <w:bodyDiv w:val="1"/>
      <w:marLeft w:val="0"/>
      <w:marRight w:val="0"/>
      <w:marTop w:val="0"/>
      <w:marBottom w:val="0"/>
      <w:divBdr>
        <w:top w:val="none" w:sz="0" w:space="0" w:color="auto"/>
        <w:left w:val="none" w:sz="0" w:space="0" w:color="auto"/>
        <w:bottom w:val="none" w:sz="0" w:space="0" w:color="auto"/>
        <w:right w:val="none" w:sz="0" w:space="0" w:color="auto"/>
      </w:divBdr>
    </w:div>
    <w:div w:id="1302347205">
      <w:bodyDiv w:val="1"/>
      <w:marLeft w:val="0"/>
      <w:marRight w:val="0"/>
      <w:marTop w:val="0"/>
      <w:marBottom w:val="0"/>
      <w:divBdr>
        <w:top w:val="none" w:sz="0" w:space="0" w:color="auto"/>
        <w:left w:val="none" w:sz="0" w:space="0" w:color="auto"/>
        <w:bottom w:val="none" w:sz="0" w:space="0" w:color="auto"/>
        <w:right w:val="none" w:sz="0" w:space="0" w:color="auto"/>
      </w:divBdr>
    </w:div>
    <w:div w:id="1303970411">
      <w:bodyDiv w:val="1"/>
      <w:marLeft w:val="0"/>
      <w:marRight w:val="0"/>
      <w:marTop w:val="0"/>
      <w:marBottom w:val="0"/>
      <w:divBdr>
        <w:top w:val="none" w:sz="0" w:space="0" w:color="auto"/>
        <w:left w:val="none" w:sz="0" w:space="0" w:color="auto"/>
        <w:bottom w:val="none" w:sz="0" w:space="0" w:color="auto"/>
        <w:right w:val="none" w:sz="0" w:space="0" w:color="auto"/>
      </w:divBdr>
    </w:div>
    <w:div w:id="1305810740">
      <w:bodyDiv w:val="1"/>
      <w:marLeft w:val="0"/>
      <w:marRight w:val="0"/>
      <w:marTop w:val="0"/>
      <w:marBottom w:val="0"/>
      <w:divBdr>
        <w:top w:val="none" w:sz="0" w:space="0" w:color="auto"/>
        <w:left w:val="none" w:sz="0" w:space="0" w:color="auto"/>
        <w:bottom w:val="none" w:sz="0" w:space="0" w:color="auto"/>
        <w:right w:val="none" w:sz="0" w:space="0" w:color="auto"/>
      </w:divBdr>
    </w:div>
    <w:div w:id="1308239231">
      <w:bodyDiv w:val="1"/>
      <w:marLeft w:val="0"/>
      <w:marRight w:val="0"/>
      <w:marTop w:val="0"/>
      <w:marBottom w:val="0"/>
      <w:divBdr>
        <w:top w:val="none" w:sz="0" w:space="0" w:color="auto"/>
        <w:left w:val="none" w:sz="0" w:space="0" w:color="auto"/>
        <w:bottom w:val="none" w:sz="0" w:space="0" w:color="auto"/>
        <w:right w:val="none" w:sz="0" w:space="0" w:color="auto"/>
      </w:divBdr>
    </w:div>
    <w:div w:id="1308247082">
      <w:bodyDiv w:val="1"/>
      <w:marLeft w:val="0"/>
      <w:marRight w:val="0"/>
      <w:marTop w:val="0"/>
      <w:marBottom w:val="0"/>
      <w:divBdr>
        <w:top w:val="none" w:sz="0" w:space="0" w:color="auto"/>
        <w:left w:val="none" w:sz="0" w:space="0" w:color="auto"/>
        <w:bottom w:val="none" w:sz="0" w:space="0" w:color="auto"/>
        <w:right w:val="none" w:sz="0" w:space="0" w:color="auto"/>
      </w:divBdr>
    </w:div>
    <w:div w:id="1317493866">
      <w:bodyDiv w:val="1"/>
      <w:marLeft w:val="0"/>
      <w:marRight w:val="0"/>
      <w:marTop w:val="0"/>
      <w:marBottom w:val="0"/>
      <w:divBdr>
        <w:top w:val="none" w:sz="0" w:space="0" w:color="auto"/>
        <w:left w:val="none" w:sz="0" w:space="0" w:color="auto"/>
        <w:bottom w:val="none" w:sz="0" w:space="0" w:color="auto"/>
        <w:right w:val="none" w:sz="0" w:space="0" w:color="auto"/>
      </w:divBdr>
    </w:div>
    <w:div w:id="1328093723">
      <w:bodyDiv w:val="1"/>
      <w:marLeft w:val="0"/>
      <w:marRight w:val="0"/>
      <w:marTop w:val="0"/>
      <w:marBottom w:val="0"/>
      <w:divBdr>
        <w:top w:val="none" w:sz="0" w:space="0" w:color="auto"/>
        <w:left w:val="none" w:sz="0" w:space="0" w:color="auto"/>
        <w:bottom w:val="none" w:sz="0" w:space="0" w:color="auto"/>
        <w:right w:val="none" w:sz="0" w:space="0" w:color="auto"/>
      </w:divBdr>
    </w:div>
    <w:div w:id="1329097717">
      <w:bodyDiv w:val="1"/>
      <w:marLeft w:val="0"/>
      <w:marRight w:val="0"/>
      <w:marTop w:val="0"/>
      <w:marBottom w:val="0"/>
      <w:divBdr>
        <w:top w:val="none" w:sz="0" w:space="0" w:color="auto"/>
        <w:left w:val="none" w:sz="0" w:space="0" w:color="auto"/>
        <w:bottom w:val="none" w:sz="0" w:space="0" w:color="auto"/>
        <w:right w:val="none" w:sz="0" w:space="0" w:color="auto"/>
      </w:divBdr>
    </w:div>
    <w:div w:id="1330403207">
      <w:bodyDiv w:val="1"/>
      <w:marLeft w:val="0"/>
      <w:marRight w:val="0"/>
      <w:marTop w:val="0"/>
      <w:marBottom w:val="0"/>
      <w:divBdr>
        <w:top w:val="none" w:sz="0" w:space="0" w:color="auto"/>
        <w:left w:val="none" w:sz="0" w:space="0" w:color="auto"/>
        <w:bottom w:val="none" w:sz="0" w:space="0" w:color="auto"/>
        <w:right w:val="none" w:sz="0" w:space="0" w:color="auto"/>
      </w:divBdr>
    </w:div>
    <w:div w:id="1333678875">
      <w:bodyDiv w:val="1"/>
      <w:marLeft w:val="0"/>
      <w:marRight w:val="0"/>
      <w:marTop w:val="0"/>
      <w:marBottom w:val="0"/>
      <w:divBdr>
        <w:top w:val="none" w:sz="0" w:space="0" w:color="auto"/>
        <w:left w:val="none" w:sz="0" w:space="0" w:color="auto"/>
        <w:bottom w:val="none" w:sz="0" w:space="0" w:color="auto"/>
        <w:right w:val="none" w:sz="0" w:space="0" w:color="auto"/>
      </w:divBdr>
    </w:div>
    <w:div w:id="1333995587">
      <w:bodyDiv w:val="1"/>
      <w:marLeft w:val="0"/>
      <w:marRight w:val="0"/>
      <w:marTop w:val="0"/>
      <w:marBottom w:val="0"/>
      <w:divBdr>
        <w:top w:val="none" w:sz="0" w:space="0" w:color="auto"/>
        <w:left w:val="none" w:sz="0" w:space="0" w:color="auto"/>
        <w:bottom w:val="none" w:sz="0" w:space="0" w:color="auto"/>
        <w:right w:val="none" w:sz="0" w:space="0" w:color="auto"/>
      </w:divBdr>
    </w:div>
    <w:div w:id="1338385936">
      <w:bodyDiv w:val="1"/>
      <w:marLeft w:val="0"/>
      <w:marRight w:val="0"/>
      <w:marTop w:val="0"/>
      <w:marBottom w:val="0"/>
      <w:divBdr>
        <w:top w:val="none" w:sz="0" w:space="0" w:color="auto"/>
        <w:left w:val="none" w:sz="0" w:space="0" w:color="auto"/>
        <w:bottom w:val="none" w:sz="0" w:space="0" w:color="auto"/>
        <w:right w:val="none" w:sz="0" w:space="0" w:color="auto"/>
      </w:divBdr>
    </w:div>
    <w:div w:id="1339456571">
      <w:bodyDiv w:val="1"/>
      <w:marLeft w:val="0"/>
      <w:marRight w:val="0"/>
      <w:marTop w:val="0"/>
      <w:marBottom w:val="0"/>
      <w:divBdr>
        <w:top w:val="none" w:sz="0" w:space="0" w:color="auto"/>
        <w:left w:val="none" w:sz="0" w:space="0" w:color="auto"/>
        <w:bottom w:val="none" w:sz="0" w:space="0" w:color="auto"/>
        <w:right w:val="none" w:sz="0" w:space="0" w:color="auto"/>
      </w:divBdr>
    </w:div>
    <w:div w:id="1341278042">
      <w:bodyDiv w:val="1"/>
      <w:marLeft w:val="0"/>
      <w:marRight w:val="0"/>
      <w:marTop w:val="0"/>
      <w:marBottom w:val="0"/>
      <w:divBdr>
        <w:top w:val="none" w:sz="0" w:space="0" w:color="auto"/>
        <w:left w:val="none" w:sz="0" w:space="0" w:color="auto"/>
        <w:bottom w:val="none" w:sz="0" w:space="0" w:color="auto"/>
        <w:right w:val="none" w:sz="0" w:space="0" w:color="auto"/>
      </w:divBdr>
    </w:div>
    <w:div w:id="1343360332">
      <w:bodyDiv w:val="1"/>
      <w:marLeft w:val="0"/>
      <w:marRight w:val="0"/>
      <w:marTop w:val="0"/>
      <w:marBottom w:val="0"/>
      <w:divBdr>
        <w:top w:val="none" w:sz="0" w:space="0" w:color="auto"/>
        <w:left w:val="none" w:sz="0" w:space="0" w:color="auto"/>
        <w:bottom w:val="none" w:sz="0" w:space="0" w:color="auto"/>
        <w:right w:val="none" w:sz="0" w:space="0" w:color="auto"/>
      </w:divBdr>
    </w:div>
    <w:div w:id="1345128194">
      <w:bodyDiv w:val="1"/>
      <w:marLeft w:val="0"/>
      <w:marRight w:val="0"/>
      <w:marTop w:val="0"/>
      <w:marBottom w:val="0"/>
      <w:divBdr>
        <w:top w:val="none" w:sz="0" w:space="0" w:color="auto"/>
        <w:left w:val="none" w:sz="0" w:space="0" w:color="auto"/>
        <w:bottom w:val="none" w:sz="0" w:space="0" w:color="auto"/>
        <w:right w:val="none" w:sz="0" w:space="0" w:color="auto"/>
      </w:divBdr>
    </w:div>
    <w:div w:id="1349988668">
      <w:bodyDiv w:val="1"/>
      <w:marLeft w:val="0"/>
      <w:marRight w:val="0"/>
      <w:marTop w:val="0"/>
      <w:marBottom w:val="0"/>
      <w:divBdr>
        <w:top w:val="none" w:sz="0" w:space="0" w:color="auto"/>
        <w:left w:val="none" w:sz="0" w:space="0" w:color="auto"/>
        <w:bottom w:val="none" w:sz="0" w:space="0" w:color="auto"/>
        <w:right w:val="none" w:sz="0" w:space="0" w:color="auto"/>
      </w:divBdr>
    </w:div>
    <w:div w:id="1353413241">
      <w:bodyDiv w:val="1"/>
      <w:marLeft w:val="0"/>
      <w:marRight w:val="0"/>
      <w:marTop w:val="0"/>
      <w:marBottom w:val="0"/>
      <w:divBdr>
        <w:top w:val="none" w:sz="0" w:space="0" w:color="auto"/>
        <w:left w:val="none" w:sz="0" w:space="0" w:color="auto"/>
        <w:bottom w:val="none" w:sz="0" w:space="0" w:color="auto"/>
        <w:right w:val="none" w:sz="0" w:space="0" w:color="auto"/>
      </w:divBdr>
    </w:div>
    <w:div w:id="1354528065">
      <w:bodyDiv w:val="1"/>
      <w:marLeft w:val="0"/>
      <w:marRight w:val="0"/>
      <w:marTop w:val="0"/>
      <w:marBottom w:val="0"/>
      <w:divBdr>
        <w:top w:val="none" w:sz="0" w:space="0" w:color="auto"/>
        <w:left w:val="none" w:sz="0" w:space="0" w:color="auto"/>
        <w:bottom w:val="none" w:sz="0" w:space="0" w:color="auto"/>
        <w:right w:val="none" w:sz="0" w:space="0" w:color="auto"/>
      </w:divBdr>
    </w:div>
    <w:div w:id="1355575140">
      <w:bodyDiv w:val="1"/>
      <w:marLeft w:val="0"/>
      <w:marRight w:val="0"/>
      <w:marTop w:val="0"/>
      <w:marBottom w:val="0"/>
      <w:divBdr>
        <w:top w:val="none" w:sz="0" w:space="0" w:color="auto"/>
        <w:left w:val="none" w:sz="0" w:space="0" w:color="auto"/>
        <w:bottom w:val="none" w:sz="0" w:space="0" w:color="auto"/>
        <w:right w:val="none" w:sz="0" w:space="0" w:color="auto"/>
      </w:divBdr>
    </w:div>
    <w:div w:id="1359352314">
      <w:bodyDiv w:val="1"/>
      <w:marLeft w:val="0"/>
      <w:marRight w:val="0"/>
      <w:marTop w:val="0"/>
      <w:marBottom w:val="0"/>
      <w:divBdr>
        <w:top w:val="none" w:sz="0" w:space="0" w:color="auto"/>
        <w:left w:val="none" w:sz="0" w:space="0" w:color="auto"/>
        <w:bottom w:val="none" w:sz="0" w:space="0" w:color="auto"/>
        <w:right w:val="none" w:sz="0" w:space="0" w:color="auto"/>
      </w:divBdr>
    </w:div>
    <w:div w:id="1372535804">
      <w:bodyDiv w:val="1"/>
      <w:marLeft w:val="0"/>
      <w:marRight w:val="0"/>
      <w:marTop w:val="0"/>
      <w:marBottom w:val="0"/>
      <w:divBdr>
        <w:top w:val="none" w:sz="0" w:space="0" w:color="auto"/>
        <w:left w:val="none" w:sz="0" w:space="0" w:color="auto"/>
        <w:bottom w:val="none" w:sz="0" w:space="0" w:color="auto"/>
        <w:right w:val="none" w:sz="0" w:space="0" w:color="auto"/>
      </w:divBdr>
    </w:div>
    <w:div w:id="1382435236">
      <w:bodyDiv w:val="1"/>
      <w:marLeft w:val="0"/>
      <w:marRight w:val="0"/>
      <w:marTop w:val="0"/>
      <w:marBottom w:val="0"/>
      <w:divBdr>
        <w:top w:val="none" w:sz="0" w:space="0" w:color="auto"/>
        <w:left w:val="none" w:sz="0" w:space="0" w:color="auto"/>
        <w:bottom w:val="none" w:sz="0" w:space="0" w:color="auto"/>
        <w:right w:val="none" w:sz="0" w:space="0" w:color="auto"/>
      </w:divBdr>
    </w:div>
    <w:div w:id="1383335130">
      <w:bodyDiv w:val="1"/>
      <w:marLeft w:val="0"/>
      <w:marRight w:val="0"/>
      <w:marTop w:val="0"/>
      <w:marBottom w:val="0"/>
      <w:divBdr>
        <w:top w:val="none" w:sz="0" w:space="0" w:color="auto"/>
        <w:left w:val="none" w:sz="0" w:space="0" w:color="auto"/>
        <w:bottom w:val="none" w:sz="0" w:space="0" w:color="auto"/>
        <w:right w:val="none" w:sz="0" w:space="0" w:color="auto"/>
      </w:divBdr>
    </w:div>
    <w:div w:id="1383754274">
      <w:bodyDiv w:val="1"/>
      <w:marLeft w:val="0"/>
      <w:marRight w:val="0"/>
      <w:marTop w:val="0"/>
      <w:marBottom w:val="0"/>
      <w:divBdr>
        <w:top w:val="none" w:sz="0" w:space="0" w:color="auto"/>
        <w:left w:val="none" w:sz="0" w:space="0" w:color="auto"/>
        <w:bottom w:val="none" w:sz="0" w:space="0" w:color="auto"/>
        <w:right w:val="none" w:sz="0" w:space="0" w:color="auto"/>
      </w:divBdr>
    </w:div>
    <w:div w:id="1384871657">
      <w:bodyDiv w:val="1"/>
      <w:marLeft w:val="0"/>
      <w:marRight w:val="0"/>
      <w:marTop w:val="0"/>
      <w:marBottom w:val="0"/>
      <w:divBdr>
        <w:top w:val="none" w:sz="0" w:space="0" w:color="auto"/>
        <w:left w:val="none" w:sz="0" w:space="0" w:color="auto"/>
        <w:bottom w:val="none" w:sz="0" w:space="0" w:color="auto"/>
        <w:right w:val="none" w:sz="0" w:space="0" w:color="auto"/>
      </w:divBdr>
    </w:div>
    <w:div w:id="1384982173">
      <w:bodyDiv w:val="1"/>
      <w:marLeft w:val="0"/>
      <w:marRight w:val="0"/>
      <w:marTop w:val="0"/>
      <w:marBottom w:val="0"/>
      <w:divBdr>
        <w:top w:val="none" w:sz="0" w:space="0" w:color="auto"/>
        <w:left w:val="none" w:sz="0" w:space="0" w:color="auto"/>
        <w:bottom w:val="none" w:sz="0" w:space="0" w:color="auto"/>
        <w:right w:val="none" w:sz="0" w:space="0" w:color="auto"/>
      </w:divBdr>
    </w:div>
    <w:div w:id="1389761319">
      <w:bodyDiv w:val="1"/>
      <w:marLeft w:val="0"/>
      <w:marRight w:val="0"/>
      <w:marTop w:val="0"/>
      <w:marBottom w:val="0"/>
      <w:divBdr>
        <w:top w:val="none" w:sz="0" w:space="0" w:color="auto"/>
        <w:left w:val="none" w:sz="0" w:space="0" w:color="auto"/>
        <w:bottom w:val="none" w:sz="0" w:space="0" w:color="auto"/>
        <w:right w:val="none" w:sz="0" w:space="0" w:color="auto"/>
      </w:divBdr>
    </w:div>
    <w:div w:id="1391072560">
      <w:bodyDiv w:val="1"/>
      <w:marLeft w:val="0"/>
      <w:marRight w:val="0"/>
      <w:marTop w:val="0"/>
      <w:marBottom w:val="0"/>
      <w:divBdr>
        <w:top w:val="none" w:sz="0" w:space="0" w:color="auto"/>
        <w:left w:val="none" w:sz="0" w:space="0" w:color="auto"/>
        <w:bottom w:val="none" w:sz="0" w:space="0" w:color="auto"/>
        <w:right w:val="none" w:sz="0" w:space="0" w:color="auto"/>
      </w:divBdr>
    </w:div>
    <w:div w:id="1406805676">
      <w:bodyDiv w:val="1"/>
      <w:marLeft w:val="0"/>
      <w:marRight w:val="0"/>
      <w:marTop w:val="0"/>
      <w:marBottom w:val="0"/>
      <w:divBdr>
        <w:top w:val="none" w:sz="0" w:space="0" w:color="auto"/>
        <w:left w:val="none" w:sz="0" w:space="0" w:color="auto"/>
        <w:bottom w:val="none" w:sz="0" w:space="0" w:color="auto"/>
        <w:right w:val="none" w:sz="0" w:space="0" w:color="auto"/>
      </w:divBdr>
    </w:div>
    <w:div w:id="1416627021">
      <w:bodyDiv w:val="1"/>
      <w:marLeft w:val="0"/>
      <w:marRight w:val="0"/>
      <w:marTop w:val="0"/>
      <w:marBottom w:val="0"/>
      <w:divBdr>
        <w:top w:val="none" w:sz="0" w:space="0" w:color="auto"/>
        <w:left w:val="none" w:sz="0" w:space="0" w:color="auto"/>
        <w:bottom w:val="none" w:sz="0" w:space="0" w:color="auto"/>
        <w:right w:val="none" w:sz="0" w:space="0" w:color="auto"/>
      </w:divBdr>
    </w:div>
    <w:div w:id="1421636133">
      <w:bodyDiv w:val="1"/>
      <w:marLeft w:val="0"/>
      <w:marRight w:val="0"/>
      <w:marTop w:val="0"/>
      <w:marBottom w:val="0"/>
      <w:divBdr>
        <w:top w:val="none" w:sz="0" w:space="0" w:color="auto"/>
        <w:left w:val="none" w:sz="0" w:space="0" w:color="auto"/>
        <w:bottom w:val="none" w:sz="0" w:space="0" w:color="auto"/>
        <w:right w:val="none" w:sz="0" w:space="0" w:color="auto"/>
      </w:divBdr>
    </w:div>
    <w:div w:id="1427338474">
      <w:bodyDiv w:val="1"/>
      <w:marLeft w:val="0"/>
      <w:marRight w:val="0"/>
      <w:marTop w:val="0"/>
      <w:marBottom w:val="0"/>
      <w:divBdr>
        <w:top w:val="none" w:sz="0" w:space="0" w:color="auto"/>
        <w:left w:val="none" w:sz="0" w:space="0" w:color="auto"/>
        <w:bottom w:val="none" w:sz="0" w:space="0" w:color="auto"/>
        <w:right w:val="none" w:sz="0" w:space="0" w:color="auto"/>
      </w:divBdr>
    </w:div>
    <w:div w:id="1428192307">
      <w:bodyDiv w:val="1"/>
      <w:marLeft w:val="0"/>
      <w:marRight w:val="0"/>
      <w:marTop w:val="0"/>
      <w:marBottom w:val="0"/>
      <w:divBdr>
        <w:top w:val="none" w:sz="0" w:space="0" w:color="auto"/>
        <w:left w:val="none" w:sz="0" w:space="0" w:color="auto"/>
        <w:bottom w:val="none" w:sz="0" w:space="0" w:color="auto"/>
        <w:right w:val="none" w:sz="0" w:space="0" w:color="auto"/>
      </w:divBdr>
    </w:div>
    <w:div w:id="1428841949">
      <w:bodyDiv w:val="1"/>
      <w:marLeft w:val="0"/>
      <w:marRight w:val="0"/>
      <w:marTop w:val="0"/>
      <w:marBottom w:val="0"/>
      <w:divBdr>
        <w:top w:val="none" w:sz="0" w:space="0" w:color="auto"/>
        <w:left w:val="none" w:sz="0" w:space="0" w:color="auto"/>
        <w:bottom w:val="none" w:sz="0" w:space="0" w:color="auto"/>
        <w:right w:val="none" w:sz="0" w:space="0" w:color="auto"/>
      </w:divBdr>
    </w:div>
    <w:div w:id="1430351513">
      <w:bodyDiv w:val="1"/>
      <w:marLeft w:val="0"/>
      <w:marRight w:val="0"/>
      <w:marTop w:val="0"/>
      <w:marBottom w:val="0"/>
      <w:divBdr>
        <w:top w:val="none" w:sz="0" w:space="0" w:color="auto"/>
        <w:left w:val="none" w:sz="0" w:space="0" w:color="auto"/>
        <w:bottom w:val="none" w:sz="0" w:space="0" w:color="auto"/>
        <w:right w:val="none" w:sz="0" w:space="0" w:color="auto"/>
      </w:divBdr>
    </w:div>
    <w:div w:id="1432700815">
      <w:bodyDiv w:val="1"/>
      <w:marLeft w:val="0"/>
      <w:marRight w:val="0"/>
      <w:marTop w:val="0"/>
      <w:marBottom w:val="0"/>
      <w:divBdr>
        <w:top w:val="none" w:sz="0" w:space="0" w:color="auto"/>
        <w:left w:val="none" w:sz="0" w:space="0" w:color="auto"/>
        <w:bottom w:val="none" w:sz="0" w:space="0" w:color="auto"/>
        <w:right w:val="none" w:sz="0" w:space="0" w:color="auto"/>
      </w:divBdr>
    </w:div>
    <w:div w:id="1447893125">
      <w:bodyDiv w:val="1"/>
      <w:marLeft w:val="0"/>
      <w:marRight w:val="0"/>
      <w:marTop w:val="0"/>
      <w:marBottom w:val="0"/>
      <w:divBdr>
        <w:top w:val="none" w:sz="0" w:space="0" w:color="auto"/>
        <w:left w:val="none" w:sz="0" w:space="0" w:color="auto"/>
        <w:bottom w:val="none" w:sz="0" w:space="0" w:color="auto"/>
        <w:right w:val="none" w:sz="0" w:space="0" w:color="auto"/>
      </w:divBdr>
    </w:div>
    <w:div w:id="1449472486">
      <w:bodyDiv w:val="1"/>
      <w:marLeft w:val="0"/>
      <w:marRight w:val="0"/>
      <w:marTop w:val="0"/>
      <w:marBottom w:val="0"/>
      <w:divBdr>
        <w:top w:val="none" w:sz="0" w:space="0" w:color="auto"/>
        <w:left w:val="none" w:sz="0" w:space="0" w:color="auto"/>
        <w:bottom w:val="none" w:sz="0" w:space="0" w:color="auto"/>
        <w:right w:val="none" w:sz="0" w:space="0" w:color="auto"/>
      </w:divBdr>
    </w:div>
    <w:div w:id="1458983796">
      <w:bodyDiv w:val="1"/>
      <w:marLeft w:val="0"/>
      <w:marRight w:val="0"/>
      <w:marTop w:val="0"/>
      <w:marBottom w:val="0"/>
      <w:divBdr>
        <w:top w:val="none" w:sz="0" w:space="0" w:color="auto"/>
        <w:left w:val="none" w:sz="0" w:space="0" w:color="auto"/>
        <w:bottom w:val="none" w:sz="0" w:space="0" w:color="auto"/>
        <w:right w:val="none" w:sz="0" w:space="0" w:color="auto"/>
      </w:divBdr>
    </w:div>
    <w:div w:id="1459564705">
      <w:bodyDiv w:val="1"/>
      <w:marLeft w:val="0"/>
      <w:marRight w:val="0"/>
      <w:marTop w:val="0"/>
      <w:marBottom w:val="0"/>
      <w:divBdr>
        <w:top w:val="none" w:sz="0" w:space="0" w:color="auto"/>
        <w:left w:val="none" w:sz="0" w:space="0" w:color="auto"/>
        <w:bottom w:val="none" w:sz="0" w:space="0" w:color="auto"/>
        <w:right w:val="none" w:sz="0" w:space="0" w:color="auto"/>
      </w:divBdr>
    </w:div>
    <w:div w:id="1465806926">
      <w:bodyDiv w:val="1"/>
      <w:marLeft w:val="0"/>
      <w:marRight w:val="0"/>
      <w:marTop w:val="0"/>
      <w:marBottom w:val="0"/>
      <w:divBdr>
        <w:top w:val="none" w:sz="0" w:space="0" w:color="auto"/>
        <w:left w:val="none" w:sz="0" w:space="0" w:color="auto"/>
        <w:bottom w:val="none" w:sz="0" w:space="0" w:color="auto"/>
        <w:right w:val="none" w:sz="0" w:space="0" w:color="auto"/>
      </w:divBdr>
    </w:div>
    <w:div w:id="1467968623">
      <w:bodyDiv w:val="1"/>
      <w:marLeft w:val="0"/>
      <w:marRight w:val="0"/>
      <w:marTop w:val="0"/>
      <w:marBottom w:val="0"/>
      <w:divBdr>
        <w:top w:val="none" w:sz="0" w:space="0" w:color="auto"/>
        <w:left w:val="none" w:sz="0" w:space="0" w:color="auto"/>
        <w:bottom w:val="none" w:sz="0" w:space="0" w:color="auto"/>
        <w:right w:val="none" w:sz="0" w:space="0" w:color="auto"/>
      </w:divBdr>
    </w:div>
    <w:div w:id="1470440359">
      <w:bodyDiv w:val="1"/>
      <w:marLeft w:val="0"/>
      <w:marRight w:val="0"/>
      <w:marTop w:val="0"/>
      <w:marBottom w:val="0"/>
      <w:divBdr>
        <w:top w:val="none" w:sz="0" w:space="0" w:color="auto"/>
        <w:left w:val="none" w:sz="0" w:space="0" w:color="auto"/>
        <w:bottom w:val="none" w:sz="0" w:space="0" w:color="auto"/>
        <w:right w:val="none" w:sz="0" w:space="0" w:color="auto"/>
      </w:divBdr>
    </w:div>
    <w:div w:id="1477452331">
      <w:bodyDiv w:val="1"/>
      <w:marLeft w:val="0"/>
      <w:marRight w:val="0"/>
      <w:marTop w:val="0"/>
      <w:marBottom w:val="0"/>
      <w:divBdr>
        <w:top w:val="none" w:sz="0" w:space="0" w:color="auto"/>
        <w:left w:val="none" w:sz="0" w:space="0" w:color="auto"/>
        <w:bottom w:val="none" w:sz="0" w:space="0" w:color="auto"/>
        <w:right w:val="none" w:sz="0" w:space="0" w:color="auto"/>
      </w:divBdr>
    </w:div>
    <w:div w:id="1482236980">
      <w:bodyDiv w:val="1"/>
      <w:marLeft w:val="0"/>
      <w:marRight w:val="0"/>
      <w:marTop w:val="0"/>
      <w:marBottom w:val="0"/>
      <w:divBdr>
        <w:top w:val="none" w:sz="0" w:space="0" w:color="auto"/>
        <w:left w:val="none" w:sz="0" w:space="0" w:color="auto"/>
        <w:bottom w:val="none" w:sz="0" w:space="0" w:color="auto"/>
        <w:right w:val="none" w:sz="0" w:space="0" w:color="auto"/>
      </w:divBdr>
    </w:div>
    <w:div w:id="1482579192">
      <w:bodyDiv w:val="1"/>
      <w:marLeft w:val="0"/>
      <w:marRight w:val="0"/>
      <w:marTop w:val="0"/>
      <w:marBottom w:val="0"/>
      <w:divBdr>
        <w:top w:val="none" w:sz="0" w:space="0" w:color="auto"/>
        <w:left w:val="none" w:sz="0" w:space="0" w:color="auto"/>
        <w:bottom w:val="none" w:sz="0" w:space="0" w:color="auto"/>
        <w:right w:val="none" w:sz="0" w:space="0" w:color="auto"/>
      </w:divBdr>
    </w:div>
    <w:div w:id="1484470228">
      <w:bodyDiv w:val="1"/>
      <w:marLeft w:val="0"/>
      <w:marRight w:val="0"/>
      <w:marTop w:val="0"/>
      <w:marBottom w:val="0"/>
      <w:divBdr>
        <w:top w:val="none" w:sz="0" w:space="0" w:color="auto"/>
        <w:left w:val="none" w:sz="0" w:space="0" w:color="auto"/>
        <w:bottom w:val="none" w:sz="0" w:space="0" w:color="auto"/>
        <w:right w:val="none" w:sz="0" w:space="0" w:color="auto"/>
      </w:divBdr>
    </w:div>
    <w:div w:id="1488128743">
      <w:bodyDiv w:val="1"/>
      <w:marLeft w:val="0"/>
      <w:marRight w:val="0"/>
      <w:marTop w:val="0"/>
      <w:marBottom w:val="0"/>
      <w:divBdr>
        <w:top w:val="none" w:sz="0" w:space="0" w:color="auto"/>
        <w:left w:val="none" w:sz="0" w:space="0" w:color="auto"/>
        <w:bottom w:val="none" w:sz="0" w:space="0" w:color="auto"/>
        <w:right w:val="none" w:sz="0" w:space="0" w:color="auto"/>
      </w:divBdr>
    </w:div>
    <w:div w:id="1488326030">
      <w:bodyDiv w:val="1"/>
      <w:marLeft w:val="0"/>
      <w:marRight w:val="0"/>
      <w:marTop w:val="0"/>
      <w:marBottom w:val="0"/>
      <w:divBdr>
        <w:top w:val="none" w:sz="0" w:space="0" w:color="auto"/>
        <w:left w:val="none" w:sz="0" w:space="0" w:color="auto"/>
        <w:bottom w:val="none" w:sz="0" w:space="0" w:color="auto"/>
        <w:right w:val="none" w:sz="0" w:space="0" w:color="auto"/>
      </w:divBdr>
    </w:div>
    <w:div w:id="1493526674">
      <w:bodyDiv w:val="1"/>
      <w:marLeft w:val="0"/>
      <w:marRight w:val="0"/>
      <w:marTop w:val="0"/>
      <w:marBottom w:val="0"/>
      <w:divBdr>
        <w:top w:val="none" w:sz="0" w:space="0" w:color="auto"/>
        <w:left w:val="none" w:sz="0" w:space="0" w:color="auto"/>
        <w:bottom w:val="none" w:sz="0" w:space="0" w:color="auto"/>
        <w:right w:val="none" w:sz="0" w:space="0" w:color="auto"/>
      </w:divBdr>
    </w:div>
    <w:div w:id="1494376651">
      <w:bodyDiv w:val="1"/>
      <w:marLeft w:val="0"/>
      <w:marRight w:val="0"/>
      <w:marTop w:val="0"/>
      <w:marBottom w:val="0"/>
      <w:divBdr>
        <w:top w:val="none" w:sz="0" w:space="0" w:color="auto"/>
        <w:left w:val="none" w:sz="0" w:space="0" w:color="auto"/>
        <w:bottom w:val="none" w:sz="0" w:space="0" w:color="auto"/>
        <w:right w:val="none" w:sz="0" w:space="0" w:color="auto"/>
      </w:divBdr>
    </w:div>
    <w:div w:id="1505321786">
      <w:bodyDiv w:val="1"/>
      <w:marLeft w:val="0"/>
      <w:marRight w:val="0"/>
      <w:marTop w:val="0"/>
      <w:marBottom w:val="0"/>
      <w:divBdr>
        <w:top w:val="none" w:sz="0" w:space="0" w:color="auto"/>
        <w:left w:val="none" w:sz="0" w:space="0" w:color="auto"/>
        <w:bottom w:val="none" w:sz="0" w:space="0" w:color="auto"/>
        <w:right w:val="none" w:sz="0" w:space="0" w:color="auto"/>
      </w:divBdr>
    </w:div>
    <w:div w:id="1508059261">
      <w:bodyDiv w:val="1"/>
      <w:marLeft w:val="0"/>
      <w:marRight w:val="0"/>
      <w:marTop w:val="0"/>
      <w:marBottom w:val="0"/>
      <w:divBdr>
        <w:top w:val="none" w:sz="0" w:space="0" w:color="auto"/>
        <w:left w:val="none" w:sz="0" w:space="0" w:color="auto"/>
        <w:bottom w:val="none" w:sz="0" w:space="0" w:color="auto"/>
        <w:right w:val="none" w:sz="0" w:space="0" w:color="auto"/>
      </w:divBdr>
    </w:div>
    <w:div w:id="1508986072">
      <w:bodyDiv w:val="1"/>
      <w:marLeft w:val="0"/>
      <w:marRight w:val="0"/>
      <w:marTop w:val="0"/>
      <w:marBottom w:val="0"/>
      <w:divBdr>
        <w:top w:val="none" w:sz="0" w:space="0" w:color="auto"/>
        <w:left w:val="none" w:sz="0" w:space="0" w:color="auto"/>
        <w:bottom w:val="none" w:sz="0" w:space="0" w:color="auto"/>
        <w:right w:val="none" w:sz="0" w:space="0" w:color="auto"/>
      </w:divBdr>
    </w:div>
    <w:div w:id="1518615177">
      <w:bodyDiv w:val="1"/>
      <w:marLeft w:val="0"/>
      <w:marRight w:val="0"/>
      <w:marTop w:val="0"/>
      <w:marBottom w:val="0"/>
      <w:divBdr>
        <w:top w:val="none" w:sz="0" w:space="0" w:color="auto"/>
        <w:left w:val="none" w:sz="0" w:space="0" w:color="auto"/>
        <w:bottom w:val="none" w:sz="0" w:space="0" w:color="auto"/>
        <w:right w:val="none" w:sz="0" w:space="0" w:color="auto"/>
      </w:divBdr>
    </w:div>
    <w:div w:id="1518890844">
      <w:bodyDiv w:val="1"/>
      <w:marLeft w:val="0"/>
      <w:marRight w:val="0"/>
      <w:marTop w:val="0"/>
      <w:marBottom w:val="0"/>
      <w:divBdr>
        <w:top w:val="none" w:sz="0" w:space="0" w:color="auto"/>
        <w:left w:val="none" w:sz="0" w:space="0" w:color="auto"/>
        <w:bottom w:val="none" w:sz="0" w:space="0" w:color="auto"/>
        <w:right w:val="none" w:sz="0" w:space="0" w:color="auto"/>
      </w:divBdr>
    </w:div>
    <w:div w:id="1536380581">
      <w:bodyDiv w:val="1"/>
      <w:marLeft w:val="0"/>
      <w:marRight w:val="0"/>
      <w:marTop w:val="0"/>
      <w:marBottom w:val="0"/>
      <w:divBdr>
        <w:top w:val="none" w:sz="0" w:space="0" w:color="auto"/>
        <w:left w:val="none" w:sz="0" w:space="0" w:color="auto"/>
        <w:bottom w:val="none" w:sz="0" w:space="0" w:color="auto"/>
        <w:right w:val="none" w:sz="0" w:space="0" w:color="auto"/>
      </w:divBdr>
    </w:div>
    <w:div w:id="1541672161">
      <w:bodyDiv w:val="1"/>
      <w:marLeft w:val="0"/>
      <w:marRight w:val="0"/>
      <w:marTop w:val="0"/>
      <w:marBottom w:val="0"/>
      <w:divBdr>
        <w:top w:val="none" w:sz="0" w:space="0" w:color="auto"/>
        <w:left w:val="none" w:sz="0" w:space="0" w:color="auto"/>
        <w:bottom w:val="none" w:sz="0" w:space="0" w:color="auto"/>
        <w:right w:val="none" w:sz="0" w:space="0" w:color="auto"/>
      </w:divBdr>
    </w:div>
    <w:div w:id="1544751095">
      <w:bodyDiv w:val="1"/>
      <w:marLeft w:val="0"/>
      <w:marRight w:val="0"/>
      <w:marTop w:val="0"/>
      <w:marBottom w:val="0"/>
      <w:divBdr>
        <w:top w:val="none" w:sz="0" w:space="0" w:color="auto"/>
        <w:left w:val="none" w:sz="0" w:space="0" w:color="auto"/>
        <w:bottom w:val="none" w:sz="0" w:space="0" w:color="auto"/>
        <w:right w:val="none" w:sz="0" w:space="0" w:color="auto"/>
      </w:divBdr>
    </w:div>
    <w:div w:id="1544905807">
      <w:bodyDiv w:val="1"/>
      <w:marLeft w:val="0"/>
      <w:marRight w:val="0"/>
      <w:marTop w:val="0"/>
      <w:marBottom w:val="0"/>
      <w:divBdr>
        <w:top w:val="none" w:sz="0" w:space="0" w:color="auto"/>
        <w:left w:val="none" w:sz="0" w:space="0" w:color="auto"/>
        <w:bottom w:val="none" w:sz="0" w:space="0" w:color="auto"/>
        <w:right w:val="none" w:sz="0" w:space="0" w:color="auto"/>
      </w:divBdr>
    </w:div>
    <w:div w:id="1545405710">
      <w:bodyDiv w:val="1"/>
      <w:marLeft w:val="0"/>
      <w:marRight w:val="0"/>
      <w:marTop w:val="0"/>
      <w:marBottom w:val="0"/>
      <w:divBdr>
        <w:top w:val="none" w:sz="0" w:space="0" w:color="auto"/>
        <w:left w:val="none" w:sz="0" w:space="0" w:color="auto"/>
        <w:bottom w:val="none" w:sz="0" w:space="0" w:color="auto"/>
        <w:right w:val="none" w:sz="0" w:space="0" w:color="auto"/>
      </w:divBdr>
    </w:div>
    <w:div w:id="1547643997">
      <w:bodyDiv w:val="1"/>
      <w:marLeft w:val="0"/>
      <w:marRight w:val="0"/>
      <w:marTop w:val="0"/>
      <w:marBottom w:val="0"/>
      <w:divBdr>
        <w:top w:val="none" w:sz="0" w:space="0" w:color="auto"/>
        <w:left w:val="none" w:sz="0" w:space="0" w:color="auto"/>
        <w:bottom w:val="none" w:sz="0" w:space="0" w:color="auto"/>
        <w:right w:val="none" w:sz="0" w:space="0" w:color="auto"/>
      </w:divBdr>
    </w:div>
    <w:div w:id="1550652110">
      <w:bodyDiv w:val="1"/>
      <w:marLeft w:val="0"/>
      <w:marRight w:val="0"/>
      <w:marTop w:val="0"/>
      <w:marBottom w:val="0"/>
      <w:divBdr>
        <w:top w:val="none" w:sz="0" w:space="0" w:color="auto"/>
        <w:left w:val="none" w:sz="0" w:space="0" w:color="auto"/>
        <w:bottom w:val="none" w:sz="0" w:space="0" w:color="auto"/>
        <w:right w:val="none" w:sz="0" w:space="0" w:color="auto"/>
      </w:divBdr>
    </w:div>
    <w:div w:id="1552231651">
      <w:bodyDiv w:val="1"/>
      <w:marLeft w:val="0"/>
      <w:marRight w:val="0"/>
      <w:marTop w:val="0"/>
      <w:marBottom w:val="0"/>
      <w:divBdr>
        <w:top w:val="none" w:sz="0" w:space="0" w:color="auto"/>
        <w:left w:val="none" w:sz="0" w:space="0" w:color="auto"/>
        <w:bottom w:val="none" w:sz="0" w:space="0" w:color="auto"/>
        <w:right w:val="none" w:sz="0" w:space="0" w:color="auto"/>
      </w:divBdr>
    </w:div>
    <w:div w:id="1554466232">
      <w:bodyDiv w:val="1"/>
      <w:marLeft w:val="0"/>
      <w:marRight w:val="0"/>
      <w:marTop w:val="0"/>
      <w:marBottom w:val="0"/>
      <w:divBdr>
        <w:top w:val="none" w:sz="0" w:space="0" w:color="auto"/>
        <w:left w:val="none" w:sz="0" w:space="0" w:color="auto"/>
        <w:bottom w:val="none" w:sz="0" w:space="0" w:color="auto"/>
        <w:right w:val="none" w:sz="0" w:space="0" w:color="auto"/>
      </w:divBdr>
    </w:div>
    <w:div w:id="1558542491">
      <w:bodyDiv w:val="1"/>
      <w:marLeft w:val="0"/>
      <w:marRight w:val="0"/>
      <w:marTop w:val="0"/>
      <w:marBottom w:val="0"/>
      <w:divBdr>
        <w:top w:val="none" w:sz="0" w:space="0" w:color="auto"/>
        <w:left w:val="none" w:sz="0" w:space="0" w:color="auto"/>
        <w:bottom w:val="none" w:sz="0" w:space="0" w:color="auto"/>
        <w:right w:val="none" w:sz="0" w:space="0" w:color="auto"/>
      </w:divBdr>
    </w:div>
    <w:div w:id="1558740632">
      <w:bodyDiv w:val="1"/>
      <w:marLeft w:val="0"/>
      <w:marRight w:val="0"/>
      <w:marTop w:val="0"/>
      <w:marBottom w:val="0"/>
      <w:divBdr>
        <w:top w:val="none" w:sz="0" w:space="0" w:color="auto"/>
        <w:left w:val="none" w:sz="0" w:space="0" w:color="auto"/>
        <w:bottom w:val="none" w:sz="0" w:space="0" w:color="auto"/>
        <w:right w:val="none" w:sz="0" w:space="0" w:color="auto"/>
      </w:divBdr>
    </w:div>
    <w:div w:id="1561667795">
      <w:bodyDiv w:val="1"/>
      <w:marLeft w:val="0"/>
      <w:marRight w:val="0"/>
      <w:marTop w:val="0"/>
      <w:marBottom w:val="0"/>
      <w:divBdr>
        <w:top w:val="none" w:sz="0" w:space="0" w:color="auto"/>
        <w:left w:val="none" w:sz="0" w:space="0" w:color="auto"/>
        <w:bottom w:val="none" w:sz="0" w:space="0" w:color="auto"/>
        <w:right w:val="none" w:sz="0" w:space="0" w:color="auto"/>
      </w:divBdr>
    </w:div>
    <w:div w:id="1565919396">
      <w:bodyDiv w:val="1"/>
      <w:marLeft w:val="0"/>
      <w:marRight w:val="0"/>
      <w:marTop w:val="0"/>
      <w:marBottom w:val="0"/>
      <w:divBdr>
        <w:top w:val="none" w:sz="0" w:space="0" w:color="auto"/>
        <w:left w:val="none" w:sz="0" w:space="0" w:color="auto"/>
        <w:bottom w:val="none" w:sz="0" w:space="0" w:color="auto"/>
        <w:right w:val="none" w:sz="0" w:space="0" w:color="auto"/>
      </w:divBdr>
    </w:div>
    <w:div w:id="1575820743">
      <w:bodyDiv w:val="1"/>
      <w:marLeft w:val="0"/>
      <w:marRight w:val="0"/>
      <w:marTop w:val="0"/>
      <w:marBottom w:val="0"/>
      <w:divBdr>
        <w:top w:val="none" w:sz="0" w:space="0" w:color="auto"/>
        <w:left w:val="none" w:sz="0" w:space="0" w:color="auto"/>
        <w:bottom w:val="none" w:sz="0" w:space="0" w:color="auto"/>
        <w:right w:val="none" w:sz="0" w:space="0" w:color="auto"/>
      </w:divBdr>
    </w:div>
    <w:div w:id="1577128597">
      <w:bodyDiv w:val="1"/>
      <w:marLeft w:val="0"/>
      <w:marRight w:val="0"/>
      <w:marTop w:val="0"/>
      <w:marBottom w:val="0"/>
      <w:divBdr>
        <w:top w:val="none" w:sz="0" w:space="0" w:color="auto"/>
        <w:left w:val="none" w:sz="0" w:space="0" w:color="auto"/>
        <w:bottom w:val="none" w:sz="0" w:space="0" w:color="auto"/>
        <w:right w:val="none" w:sz="0" w:space="0" w:color="auto"/>
      </w:divBdr>
    </w:div>
    <w:div w:id="1584872360">
      <w:bodyDiv w:val="1"/>
      <w:marLeft w:val="0"/>
      <w:marRight w:val="0"/>
      <w:marTop w:val="0"/>
      <w:marBottom w:val="0"/>
      <w:divBdr>
        <w:top w:val="none" w:sz="0" w:space="0" w:color="auto"/>
        <w:left w:val="none" w:sz="0" w:space="0" w:color="auto"/>
        <w:bottom w:val="none" w:sz="0" w:space="0" w:color="auto"/>
        <w:right w:val="none" w:sz="0" w:space="0" w:color="auto"/>
      </w:divBdr>
    </w:div>
    <w:div w:id="1589077825">
      <w:bodyDiv w:val="1"/>
      <w:marLeft w:val="0"/>
      <w:marRight w:val="0"/>
      <w:marTop w:val="0"/>
      <w:marBottom w:val="0"/>
      <w:divBdr>
        <w:top w:val="none" w:sz="0" w:space="0" w:color="auto"/>
        <w:left w:val="none" w:sz="0" w:space="0" w:color="auto"/>
        <w:bottom w:val="none" w:sz="0" w:space="0" w:color="auto"/>
        <w:right w:val="none" w:sz="0" w:space="0" w:color="auto"/>
      </w:divBdr>
    </w:div>
    <w:div w:id="1591696574">
      <w:bodyDiv w:val="1"/>
      <w:marLeft w:val="0"/>
      <w:marRight w:val="0"/>
      <w:marTop w:val="0"/>
      <w:marBottom w:val="0"/>
      <w:divBdr>
        <w:top w:val="none" w:sz="0" w:space="0" w:color="auto"/>
        <w:left w:val="none" w:sz="0" w:space="0" w:color="auto"/>
        <w:bottom w:val="none" w:sz="0" w:space="0" w:color="auto"/>
        <w:right w:val="none" w:sz="0" w:space="0" w:color="auto"/>
      </w:divBdr>
    </w:div>
    <w:div w:id="1600992463">
      <w:bodyDiv w:val="1"/>
      <w:marLeft w:val="0"/>
      <w:marRight w:val="0"/>
      <w:marTop w:val="0"/>
      <w:marBottom w:val="0"/>
      <w:divBdr>
        <w:top w:val="none" w:sz="0" w:space="0" w:color="auto"/>
        <w:left w:val="none" w:sz="0" w:space="0" w:color="auto"/>
        <w:bottom w:val="none" w:sz="0" w:space="0" w:color="auto"/>
        <w:right w:val="none" w:sz="0" w:space="0" w:color="auto"/>
      </w:divBdr>
    </w:div>
    <w:div w:id="1606689940">
      <w:bodyDiv w:val="1"/>
      <w:marLeft w:val="0"/>
      <w:marRight w:val="0"/>
      <w:marTop w:val="0"/>
      <w:marBottom w:val="0"/>
      <w:divBdr>
        <w:top w:val="none" w:sz="0" w:space="0" w:color="auto"/>
        <w:left w:val="none" w:sz="0" w:space="0" w:color="auto"/>
        <w:bottom w:val="none" w:sz="0" w:space="0" w:color="auto"/>
        <w:right w:val="none" w:sz="0" w:space="0" w:color="auto"/>
      </w:divBdr>
    </w:div>
    <w:div w:id="1613198322">
      <w:bodyDiv w:val="1"/>
      <w:marLeft w:val="0"/>
      <w:marRight w:val="0"/>
      <w:marTop w:val="0"/>
      <w:marBottom w:val="0"/>
      <w:divBdr>
        <w:top w:val="none" w:sz="0" w:space="0" w:color="auto"/>
        <w:left w:val="none" w:sz="0" w:space="0" w:color="auto"/>
        <w:bottom w:val="none" w:sz="0" w:space="0" w:color="auto"/>
        <w:right w:val="none" w:sz="0" w:space="0" w:color="auto"/>
      </w:divBdr>
    </w:div>
    <w:div w:id="1615864284">
      <w:bodyDiv w:val="1"/>
      <w:marLeft w:val="0"/>
      <w:marRight w:val="0"/>
      <w:marTop w:val="0"/>
      <w:marBottom w:val="0"/>
      <w:divBdr>
        <w:top w:val="none" w:sz="0" w:space="0" w:color="auto"/>
        <w:left w:val="none" w:sz="0" w:space="0" w:color="auto"/>
        <w:bottom w:val="none" w:sz="0" w:space="0" w:color="auto"/>
        <w:right w:val="none" w:sz="0" w:space="0" w:color="auto"/>
      </w:divBdr>
    </w:div>
    <w:div w:id="1619069905">
      <w:bodyDiv w:val="1"/>
      <w:marLeft w:val="0"/>
      <w:marRight w:val="0"/>
      <w:marTop w:val="0"/>
      <w:marBottom w:val="0"/>
      <w:divBdr>
        <w:top w:val="none" w:sz="0" w:space="0" w:color="auto"/>
        <w:left w:val="none" w:sz="0" w:space="0" w:color="auto"/>
        <w:bottom w:val="none" w:sz="0" w:space="0" w:color="auto"/>
        <w:right w:val="none" w:sz="0" w:space="0" w:color="auto"/>
      </w:divBdr>
    </w:div>
    <w:div w:id="1619947148">
      <w:bodyDiv w:val="1"/>
      <w:marLeft w:val="0"/>
      <w:marRight w:val="0"/>
      <w:marTop w:val="0"/>
      <w:marBottom w:val="0"/>
      <w:divBdr>
        <w:top w:val="none" w:sz="0" w:space="0" w:color="auto"/>
        <w:left w:val="none" w:sz="0" w:space="0" w:color="auto"/>
        <w:bottom w:val="none" w:sz="0" w:space="0" w:color="auto"/>
        <w:right w:val="none" w:sz="0" w:space="0" w:color="auto"/>
      </w:divBdr>
    </w:div>
    <w:div w:id="1623686446">
      <w:bodyDiv w:val="1"/>
      <w:marLeft w:val="0"/>
      <w:marRight w:val="0"/>
      <w:marTop w:val="0"/>
      <w:marBottom w:val="0"/>
      <w:divBdr>
        <w:top w:val="none" w:sz="0" w:space="0" w:color="auto"/>
        <w:left w:val="none" w:sz="0" w:space="0" w:color="auto"/>
        <w:bottom w:val="none" w:sz="0" w:space="0" w:color="auto"/>
        <w:right w:val="none" w:sz="0" w:space="0" w:color="auto"/>
      </w:divBdr>
    </w:div>
    <w:div w:id="1628661761">
      <w:bodyDiv w:val="1"/>
      <w:marLeft w:val="0"/>
      <w:marRight w:val="0"/>
      <w:marTop w:val="0"/>
      <w:marBottom w:val="0"/>
      <w:divBdr>
        <w:top w:val="none" w:sz="0" w:space="0" w:color="auto"/>
        <w:left w:val="none" w:sz="0" w:space="0" w:color="auto"/>
        <w:bottom w:val="none" w:sz="0" w:space="0" w:color="auto"/>
        <w:right w:val="none" w:sz="0" w:space="0" w:color="auto"/>
      </w:divBdr>
    </w:div>
    <w:div w:id="1630893944">
      <w:bodyDiv w:val="1"/>
      <w:marLeft w:val="0"/>
      <w:marRight w:val="0"/>
      <w:marTop w:val="0"/>
      <w:marBottom w:val="0"/>
      <w:divBdr>
        <w:top w:val="none" w:sz="0" w:space="0" w:color="auto"/>
        <w:left w:val="none" w:sz="0" w:space="0" w:color="auto"/>
        <w:bottom w:val="none" w:sz="0" w:space="0" w:color="auto"/>
        <w:right w:val="none" w:sz="0" w:space="0" w:color="auto"/>
      </w:divBdr>
    </w:div>
    <w:div w:id="1632514043">
      <w:bodyDiv w:val="1"/>
      <w:marLeft w:val="0"/>
      <w:marRight w:val="0"/>
      <w:marTop w:val="0"/>
      <w:marBottom w:val="0"/>
      <w:divBdr>
        <w:top w:val="none" w:sz="0" w:space="0" w:color="auto"/>
        <w:left w:val="none" w:sz="0" w:space="0" w:color="auto"/>
        <w:bottom w:val="none" w:sz="0" w:space="0" w:color="auto"/>
        <w:right w:val="none" w:sz="0" w:space="0" w:color="auto"/>
      </w:divBdr>
    </w:div>
    <w:div w:id="1637486302">
      <w:bodyDiv w:val="1"/>
      <w:marLeft w:val="0"/>
      <w:marRight w:val="0"/>
      <w:marTop w:val="0"/>
      <w:marBottom w:val="0"/>
      <w:divBdr>
        <w:top w:val="none" w:sz="0" w:space="0" w:color="auto"/>
        <w:left w:val="none" w:sz="0" w:space="0" w:color="auto"/>
        <w:bottom w:val="none" w:sz="0" w:space="0" w:color="auto"/>
        <w:right w:val="none" w:sz="0" w:space="0" w:color="auto"/>
      </w:divBdr>
    </w:div>
    <w:div w:id="1639455685">
      <w:bodyDiv w:val="1"/>
      <w:marLeft w:val="0"/>
      <w:marRight w:val="0"/>
      <w:marTop w:val="0"/>
      <w:marBottom w:val="0"/>
      <w:divBdr>
        <w:top w:val="none" w:sz="0" w:space="0" w:color="auto"/>
        <w:left w:val="none" w:sz="0" w:space="0" w:color="auto"/>
        <w:bottom w:val="none" w:sz="0" w:space="0" w:color="auto"/>
        <w:right w:val="none" w:sz="0" w:space="0" w:color="auto"/>
      </w:divBdr>
    </w:div>
    <w:div w:id="1640038668">
      <w:bodyDiv w:val="1"/>
      <w:marLeft w:val="0"/>
      <w:marRight w:val="0"/>
      <w:marTop w:val="0"/>
      <w:marBottom w:val="0"/>
      <w:divBdr>
        <w:top w:val="none" w:sz="0" w:space="0" w:color="auto"/>
        <w:left w:val="none" w:sz="0" w:space="0" w:color="auto"/>
        <w:bottom w:val="none" w:sz="0" w:space="0" w:color="auto"/>
        <w:right w:val="none" w:sz="0" w:space="0" w:color="auto"/>
      </w:divBdr>
    </w:div>
    <w:div w:id="1640039851">
      <w:bodyDiv w:val="1"/>
      <w:marLeft w:val="0"/>
      <w:marRight w:val="0"/>
      <w:marTop w:val="0"/>
      <w:marBottom w:val="0"/>
      <w:divBdr>
        <w:top w:val="none" w:sz="0" w:space="0" w:color="auto"/>
        <w:left w:val="none" w:sz="0" w:space="0" w:color="auto"/>
        <w:bottom w:val="none" w:sz="0" w:space="0" w:color="auto"/>
        <w:right w:val="none" w:sz="0" w:space="0" w:color="auto"/>
      </w:divBdr>
    </w:div>
    <w:div w:id="1640109374">
      <w:bodyDiv w:val="1"/>
      <w:marLeft w:val="0"/>
      <w:marRight w:val="0"/>
      <w:marTop w:val="0"/>
      <w:marBottom w:val="0"/>
      <w:divBdr>
        <w:top w:val="none" w:sz="0" w:space="0" w:color="auto"/>
        <w:left w:val="none" w:sz="0" w:space="0" w:color="auto"/>
        <w:bottom w:val="none" w:sz="0" w:space="0" w:color="auto"/>
        <w:right w:val="none" w:sz="0" w:space="0" w:color="auto"/>
      </w:divBdr>
    </w:div>
    <w:div w:id="1644507743">
      <w:bodyDiv w:val="1"/>
      <w:marLeft w:val="0"/>
      <w:marRight w:val="0"/>
      <w:marTop w:val="0"/>
      <w:marBottom w:val="0"/>
      <w:divBdr>
        <w:top w:val="none" w:sz="0" w:space="0" w:color="auto"/>
        <w:left w:val="none" w:sz="0" w:space="0" w:color="auto"/>
        <w:bottom w:val="none" w:sz="0" w:space="0" w:color="auto"/>
        <w:right w:val="none" w:sz="0" w:space="0" w:color="auto"/>
      </w:divBdr>
      <w:divsChild>
        <w:div w:id="1784305909">
          <w:marLeft w:val="0"/>
          <w:marRight w:val="0"/>
          <w:marTop w:val="0"/>
          <w:marBottom w:val="0"/>
          <w:divBdr>
            <w:top w:val="none" w:sz="0" w:space="0" w:color="auto"/>
            <w:left w:val="none" w:sz="0" w:space="0" w:color="auto"/>
            <w:bottom w:val="none" w:sz="0" w:space="0" w:color="auto"/>
            <w:right w:val="none" w:sz="0" w:space="0" w:color="auto"/>
          </w:divBdr>
        </w:div>
      </w:divsChild>
    </w:div>
    <w:div w:id="1649093287">
      <w:bodyDiv w:val="1"/>
      <w:marLeft w:val="0"/>
      <w:marRight w:val="0"/>
      <w:marTop w:val="0"/>
      <w:marBottom w:val="0"/>
      <w:divBdr>
        <w:top w:val="none" w:sz="0" w:space="0" w:color="auto"/>
        <w:left w:val="none" w:sz="0" w:space="0" w:color="auto"/>
        <w:bottom w:val="none" w:sz="0" w:space="0" w:color="auto"/>
        <w:right w:val="none" w:sz="0" w:space="0" w:color="auto"/>
      </w:divBdr>
    </w:div>
    <w:div w:id="1657685332">
      <w:bodyDiv w:val="1"/>
      <w:marLeft w:val="0"/>
      <w:marRight w:val="0"/>
      <w:marTop w:val="0"/>
      <w:marBottom w:val="0"/>
      <w:divBdr>
        <w:top w:val="none" w:sz="0" w:space="0" w:color="auto"/>
        <w:left w:val="none" w:sz="0" w:space="0" w:color="auto"/>
        <w:bottom w:val="none" w:sz="0" w:space="0" w:color="auto"/>
        <w:right w:val="none" w:sz="0" w:space="0" w:color="auto"/>
      </w:divBdr>
    </w:div>
    <w:div w:id="1659530554">
      <w:bodyDiv w:val="1"/>
      <w:marLeft w:val="0"/>
      <w:marRight w:val="0"/>
      <w:marTop w:val="0"/>
      <w:marBottom w:val="0"/>
      <w:divBdr>
        <w:top w:val="none" w:sz="0" w:space="0" w:color="auto"/>
        <w:left w:val="none" w:sz="0" w:space="0" w:color="auto"/>
        <w:bottom w:val="none" w:sz="0" w:space="0" w:color="auto"/>
        <w:right w:val="none" w:sz="0" w:space="0" w:color="auto"/>
      </w:divBdr>
    </w:div>
    <w:div w:id="1659573443">
      <w:bodyDiv w:val="1"/>
      <w:marLeft w:val="0"/>
      <w:marRight w:val="0"/>
      <w:marTop w:val="0"/>
      <w:marBottom w:val="0"/>
      <w:divBdr>
        <w:top w:val="none" w:sz="0" w:space="0" w:color="auto"/>
        <w:left w:val="none" w:sz="0" w:space="0" w:color="auto"/>
        <w:bottom w:val="none" w:sz="0" w:space="0" w:color="auto"/>
        <w:right w:val="none" w:sz="0" w:space="0" w:color="auto"/>
      </w:divBdr>
    </w:div>
    <w:div w:id="1661541922">
      <w:bodyDiv w:val="1"/>
      <w:marLeft w:val="0"/>
      <w:marRight w:val="0"/>
      <w:marTop w:val="0"/>
      <w:marBottom w:val="0"/>
      <w:divBdr>
        <w:top w:val="none" w:sz="0" w:space="0" w:color="auto"/>
        <w:left w:val="none" w:sz="0" w:space="0" w:color="auto"/>
        <w:bottom w:val="none" w:sz="0" w:space="0" w:color="auto"/>
        <w:right w:val="none" w:sz="0" w:space="0" w:color="auto"/>
      </w:divBdr>
    </w:div>
    <w:div w:id="1663268996">
      <w:bodyDiv w:val="1"/>
      <w:marLeft w:val="0"/>
      <w:marRight w:val="0"/>
      <w:marTop w:val="0"/>
      <w:marBottom w:val="0"/>
      <w:divBdr>
        <w:top w:val="none" w:sz="0" w:space="0" w:color="auto"/>
        <w:left w:val="none" w:sz="0" w:space="0" w:color="auto"/>
        <w:bottom w:val="none" w:sz="0" w:space="0" w:color="auto"/>
        <w:right w:val="none" w:sz="0" w:space="0" w:color="auto"/>
      </w:divBdr>
    </w:div>
    <w:div w:id="1666739290">
      <w:bodyDiv w:val="1"/>
      <w:marLeft w:val="0"/>
      <w:marRight w:val="0"/>
      <w:marTop w:val="0"/>
      <w:marBottom w:val="0"/>
      <w:divBdr>
        <w:top w:val="none" w:sz="0" w:space="0" w:color="auto"/>
        <w:left w:val="none" w:sz="0" w:space="0" w:color="auto"/>
        <w:bottom w:val="none" w:sz="0" w:space="0" w:color="auto"/>
        <w:right w:val="none" w:sz="0" w:space="0" w:color="auto"/>
      </w:divBdr>
    </w:div>
    <w:div w:id="1673020529">
      <w:bodyDiv w:val="1"/>
      <w:marLeft w:val="0"/>
      <w:marRight w:val="0"/>
      <w:marTop w:val="0"/>
      <w:marBottom w:val="0"/>
      <w:divBdr>
        <w:top w:val="none" w:sz="0" w:space="0" w:color="auto"/>
        <w:left w:val="none" w:sz="0" w:space="0" w:color="auto"/>
        <w:bottom w:val="none" w:sz="0" w:space="0" w:color="auto"/>
        <w:right w:val="none" w:sz="0" w:space="0" w:color="auto"/>
      </w:divBdr>
    </w:div>
    <w:div w:id="1674145197">
      <w:bodyDiv w:val="1"/>
      <w:marLeft w:val="0"/>
      <w:marRight w:val="0"/>
      <w:marTop w:val="0"/>
      <w:marBottom w:val="0"/>
      <w:divBdr>
        <w:top w:val="none" w:sz="0" w:space="0" w:color="auto"/>
        <w:left w:val="none" w:sz="0" w:space="0" w:color="auto"/>
        <w:bottom w:val="none" w:sz="0" w:space="0" w:color="auto"/>
        <w:right w:val="none" w:sz="0" w:space="0" w:color="auto"/>
      </w:divBdr>
    </w:div>
    <w:div w:id="1678657686">
      <w:bodyDiv w:val="1"/>
      <w:marLeft w:val="0"/>
      <w:marRight w:val="0"/>
      <w:marTop w:val="0"/>
      <w:marBottom w:val="0"/>
      <w:divBdr>
        <w:top w:val="none" w:sz="0" w:space="0" w:color="auto"/>
        <w:left w:val="none" w:sz="0" w:space="0" w:color="auto"/>
        <w:bottom w:val="none" w:sz="0" w:space="0" w:color="auto"/>
        <w:right w:val="none" w:sz="0" w:space="0" w:color="auto"/>
      </w:divBdr>
    </w:div>
    <w:div w:id="1680883475">
      <w:bodyDiv w:val="1"/>
      <w:marLeft w:val="0"/>
      <w:marRight w:val="0"/>
      <w:marTop w:val="0"/>
      <w:marBottom w:val="0"/>
      <w:divBdr>
        <w:top w:val="none" w:sz="0" w:space="0" w:color="auto"/>
        <w:left w:val="none" w:sz="0" w:space="0" w:color="auto"/>
        <w:bottom w:val="none" w:sz="0" w:space="0" w:color="auto"/>
        <w:right w:val="none" w:sz="0" w:space="0" w:color="auto"/>
      </w:divBdr>
    </w:div>
    <w:div w:id="1685857357">
      <w:bodyDiv w:val="1"/>
      <w:marLeft w:val="0"/>
      <w:marRight w:val="0"/>
      <w:marTop w:val="0"/>
      <w:marBottom w:val="0"/>
      <w:divBdr>
        <w:top w:val="none" w:sz="0" w:space="0" w:color="auto"/>
        <w:left w:val="none" w:sz="0" w:space="0" w:color="auto"/>
        <w:bottom w:val="none" w:sz="0" w:space="0" w:color="auto"/>
        <w:right w:val="none" w:sz="0" w:space="0" w:color="auto"/>
      </w:divBdr>
    </w:div>
    <w:div w:id="1686056004">
      <w:bodyDiv w:val="1"/>
      <w:marLeft w:val="0"/>
      <w:marRight w:val="0"/>
      <w:marTop w:val="0"/>
      <w:marBottom w:val="0"/>
      <w:divBdr>
        <w:top w:val="none" w:sz="0" w:space="0" w:color="auto"/>
        <w:left w:val="none" w:sz="0" w:space="0" w:color="auto"/>
        <w:bottom w:val="none" w:sz="0" w:space="0" w:color="auto"/>
        <w:right w:val="none" w:sz="0" w:space="0" w:color="auto"/>
      </w:divBdr>
    </w:div>
    <w:div w:id="1687826627">
      <w:bodyDiv w:val="1"/>
      <w:marLeft w:val="0"/>
      <w:marRight w:val="0"/>
      <w:marTop w:val="0"/>
      <w:marBottom w:val="0"/>
      <w:divBdr>
        <w:top w:val="none" w:sz="0" w:space="0" w:color="auto"/>
        <w:left w:val="none" w:sz="0" w:space="0" w:color="auto"/>
        <w:bottom w:val="none" w:sz="0" w:space="0" w:color="auto"/>
        <w:right w:val="none" w:sz="0" w:space="0" w:color="auto"/>
      </w:divBdr>
    </w:div>
    <w:div w:id="1690058855">
      <w:bodyDiv w:val="1"/>
      <w:marLeft w:val="0"/>
      <w:marRight w:val="0"/>
      <w:marTop w:val="0"/>
      <w:marBottom w:val="0"/>
      <w:divBdr>
        <w:top w:val="none" w:sz="0" w:space="0" w:color="auto"/>
        <w:left w:val="none" w:sz="0" w:space="0" w:color="auto"/>
        <w:bottom w:val="none" w:sz="0" w:space="0" w:color="auto"/>
        <w:right w:val="none" w:sz="0" w:space="0" w:color="auto"/>
      </w:divBdr>
    </w:div>
    <w:div w:id="1693870870">
      <w:bodyDiv w:val="1"/>
      <w:marLeft w:val="0"/>
      <w:marRight w:val="0"/>
      <w:marTop w:val="0"/>
      <w:marBottom w:val="0"/>
      <w:divBdr>
        <w:top w:val="none" w:sz="0" w:space="0" w:color="auto"/>
        <w:left w:val="none" w:sz="0" w:space="0" w:color="auto"/>
        <w:bottom w:val="none" w:sz="0" w:space="0" w:color="auto"/>
        <w:right w:val="none" w:sz="0" w:space="0" w:color="auto"/>
      </w:divBdr>
    </w:div>
    <w:div w:id="1695382144">
      <w:bodyDiv w:val="1"/>
      <w:marLeft w:val="0"/>
      <w:marRight w:val="0"/>
      <w:marTop w:val="0"/>
      <w:marBottom w:val="0"/>
      <w:divBdr>
        <w:top w:val="none" w:sz="0" w:space="0" w:color="auto"/>
        <w:left w:val="none" w:sz="0" w:space="0" w:color="auto"/>
        <w:bottom w:val="none" w:sz="0" w:space="0" w:color="auto"/>
        <w:right w:val="none" w:sz="0" w:space="0" w:color="auto"/>
      </w:divBdr>
    </w:div>
    <w:div w:id="1706250850">
      <w:bodyDiv w:val="1"/>
      <w:marLeft w:val="0"/>
      <w:marRight w:val="0"/>
      <w:marTop w:val="0"/>
      <w:marBottom w:val="0"/>
      <w:divBdr>
        <w:top w:val="none" w:sz="0" w:space="0" w:color="auto"/>
        <w:left w:val="none" w:sz="0" w:space="0" w:color="auto"/>
        <w:bottom w:val="none" w:sz="0" w:space="0" w:color="auto"/>
        <w:right w:val="none" w:sz="0" w:space="0" w:color="auto"/>
      </w:divBdr>
    </w:div>
    <w:div w:id="1706636702">
      <w:bodyDiv w:val="1"/>
      <w:marLeft w:val="0"/>
      <w:marRight w:val="0"/>
      <w:marTop w:val="0"/>
      <w:marBottom w:val="0"/>
      <w:divBdr>
        <w:top w:val="none" w:sz="0" w:space="0" w:color="auto"/>
        <w:left w:val="none" w:sz="0" w:space="0" w:color="auto"/>
        <w:bottom w:val="none" w:sz="0" w:space="0" w:color="auto"/>
        <w:right w:val="none" w:sz="0" w:space="0" w:color="auto"/>
      </w:divBdr>
    </w:div>
    <w:div w:id="1712222587">
      <w:bodyDiv w:val="1"/>
      <w:marLeft w:val="0"/>
      <w:marRight w:val="0"/>
      <w:marTop w:val="0"/>
      <w:marBottom w:val="0"/>
      <w:divBdr>
        <w:top w:val="none" w:sz="0" w:space="0" w:color="auto"/>
        <w:left w:val="none" w:sz="0" w:space="0" w:color="auto"/>
        <w:bottom w:val="none" w:sz="0" w:space="0" w:color="auto"/>
        <w:right w:val="none" w:sz="0" w:space="0" w:color="auto"/>
      </w:divBdr>
    </w:div>
    <w:div w:id="1713533776">
      <w:bodyDiv w:val="1"/>
      <w:marLeft w:val="0"/>
      <w:marRight w:val="0"/>
      <w:marTop w:val="0"/>
      <w:marBottom w:val="0"/>
      <w:divBdr>
        <w:top w:val="none" w:sz="0" w:space="0" w:color="auto"/>
        <w:left w:val="none" w:sz="0" w:space="0" w:color="auto"/>
        <w:bottom w:val="none" w:sz="0" w:space="0" w:color="auto"/>
        <w:right w:val="none" w:sz="0" w:space="0" w:color="auto"/>
      </w:divBdr>
    </w:div>
    <w:div w:id="1718118920">
      <w:bodyDiv w:val="1"/>
      <w:marLeft w:val="0"/>
      <w:marRight w:val="0"/>
      <w:marTop w:val="0"/>
      <w:marBottom w:val="0"/>
      <w:divBdr>
        <w:top w:val="none" w:sz="0" w:space="0" w:color="auto"/>
        <w:left w:val="none" w:sz="0" w:space="0" w:color="auto"/>
        <w:bottom w:val="none" w:sz="0" w:space="0" w:color="auto"/>
        <w:right w:val="none" w:sz="0" w:space="0" w:color="auto"/>
      </w:divBdr>
    </w:div>
    <w:div w:id="1718318343">
      <w:bodyDiv w:val="1"/>
      <w:marLeft w:val="0"/>
      <w:marRight w:val="0"/>
      <w:marTop w:val="0"/>
      <w:marBottom w:val="0"/>
      <w:divBdr>
        <w:top w:val="none" w:sz="0" w:space="0" w:color="auto"/>
        <w:left w:val="none" w:sz="0" w:space="0" w:color="auto"/>
        <w:bottom w:val="none" w:sz="0" w:space="0" w:color="auto"/>
        <w:right w:val="none" w:sz="0" w:space="0" w:color="auto"/>
      </w:divBdr>
      <w:divsChild>
        <w:div w:id="372652973">
          <w:marLeft w:val="0"/>
          <w:marRight w:val="0"/>
          <w:marTop w:val="0"/>
          <w:marBottom w:val="0"/>
          <w:divBdr>
            <w:top w:val="none" w:sz="0" w:space="0" w:color="auto"/>
            <w:left w:val="none" w:sz="0" w:space="0" w:color="auto"/>
            <w:bottom w:val="none" w:sz="0" w:space="0" w:color="auto"/>
            <w:right w:val="none" w:sz="0" w:space="0" w:color="auto"/>
          </w:divBdr>
        </w:div>
        <w:div w:id="1541939276">
          <w:marLeft w:val="0"/>
          <w:marRight w:val="0"/>
          <w:marTop w:val="75"/>
          <w:marBottom w:val="0"/>
          <w:divBdr>
            <w:top w:val="none" w:sz="0" w:space="0" w:color="auto"/>
            <w:left w:val="none" w:sz="0" w:space="0" w:color="auto"/>
            <w:bottom w:val="none" w:sz="0" w:space="0" w:color="auto"/>
            <w:right w:val="none" w:sz="0" w:space="0" w:color="auto"/>
          </w:divBdr>
        </w:div>
      </w:divsChild>
    </w:div>
    <w:div w:id="1718701892">
      <w:bodyDiv w:val="1"/>
      <w:marLeft w:val="0"/>
      <w:marRight w:val="0"/>
      <w:marTop w:val="0"/>
      <w:marBottom w:val="0"/>
      <w:divBdr>
        <w:top w:val="none" w:sz="0" w:space="0" w:color="auto"/>
        <w:left w:val="none" w:sz="0" w:space="0" w:color="auto"/>
        <w:bottom w:val="none" w:sz="0" w:space="0" w:color="auto"/>
        <w:right w:val="none" w:sz="0" w:space="0" w:color="auto"/>
      </w:divBdr>
    </w:div>
    <w:div w:id="1724910715">
      <w:bodyDiv w:val="1"/>
      <w:marLeft w:val="0"/>
      <w:marRight w:val="0"/>
      <w:marTop w:val="0"/>
      <w:marBottom w:val="0"/>
      <w:divBdr>
        <w:top w:val="none" w:sz="0" w:space="0" w:color="auto"/>
        <w:left w:val="none" w:sz="0" w:space="0" w:color="auto"/>
        <w:bottom w:val="none" w:sz="0" w:space="0" w:color="auto"/>
        <w:right w:val="none" w:sz="0" w:space="0" w:color="auto"/>
      </w:divBdr>
    </w:div>
    <w:div w:id="1726951822">
      <w:bodyDiv w:val="1"/>
      <w:marLeft w:val="0"/>
      <w:marRight w:val="0"/>
      <w:marTop w:val="0"/>
      <w:marBottom w:val="0"/>
      <w:divBdr>
        <w:top w:val="none" w:sz="0" w:space="0" w:color="auto"/>
        <w:left w:val="none" w:sz="0" w:space="0" w:color="auto"/>
        <w:bottom w:val="none" w:sz="0" w:space="0" w:color="auto"/>
        <w:right w:val="none" w:sz="0" w:space="0" w:color="auto"/>
      </w:divBdr>
    </w:div>
    <w:div w:id="1734693488">
      <w:bodyDiv w:val="1"/>
      <w:marLeft w:val="0"/>
      <w:marRight w:val="0"/>
      <w:marTop w:val="0"/>
      <w:marBottom w:val="0"/>
      <w:divBdr>
        <w:top w:val="none" w:sz="0" w:space="0" w:color="auto"/>
        <w:left w:val="none" w:sz="0" w:space="0" w:color="auto"/>
        <w:bottom w:val="none" w:sz="0" w:space="0" w:color="auto"/>
        <w:right w:val="none" w:sz="0" w:space="0" w:color="auto"/>
      </w:divBdr>
    </w:div>
    <w:div w:id="1737824661">
      <w:bodyDiv w:val="1"/>
      <w:marLeft w:val="0"/>
      <w:marRight w:val="0"/>
      <w:marTop w:val="0"/>
      <w:marBottom w:val="0"/>
      <w:divBdr>
        <w:top w:val="none" w:sz="0" w:space="0" w:color="auto"/>
        <w:left w:val="none" w:sz="0" w:space="0" w:color="auto"/>
        <w:bottom w:val="none" w:sz="0" w:space="0" w:color="auto"/>
        <w:right w:val="none" w:sz="0" w:space="0" w:color="auto"/>
      </w:divBdr>
    </w:div>
    <w:div w:id="1747219243">
      <w:bodyDiv w:val="1"/>
      <w:marLeft w:val="0"/>
      <w:marRight w:val="0"/>
      <w:marTop w:val="0"/>
      <w:marBottom w:val="0"/>
      <w:divBdr>
        <w:top w:val="none" w:sz="0" w:space="0" w:color="auto"/>
        <w:left w:val="none" w:sz="0" w:space="0" w:color="auto"/>
        <w:bottom w:val="none" w:sz="0" w:space="0" w:color="auto"/>
        <w:right w:val="none" w:sz="0" w:space="0" w:color="auto"/>
      </w:divBdr>
    </w:div>
    <w:div w:id="1748305614">
      <w:bodyDiv w:val="1"/>
      <w:marLeft w:val="0"/>
      <w:marRight w:val="0"/>
      <w:marTop w:val="0"/>
      <w:marBottom w:val="0"/>
      <w:divBdr>
        <w:top w:val="none" w:sz="0" w:space="0" w:color="auto"/>
        <w:left w:val="none" w:sz="0" w:space="0" w:color="auto"/>
        <w:bottom w:val="none" w:sz="0" w:space="0" w:color="auto"/>
        <w:right w:val="none" w:sz="0" w:space="0" w:color="auto"/>
      </w:divBdr>
    </w:div>
    <w:div w:id="1759591444">
      <w:bodyDiv w:val="1"/>
      <w:marLeft w:val="0"/>
      <w:marRight w:val="0"/>
      <w:marTop w:val="0"/>
      <w:marBottom w:val="0"/>
      <w:divBdr>
        <w:top w:val="none" w:sz="0" w:space="0" w:color="auto"/>
        <w:left w:val="none" w:sz="0" w:space="0" w:color="auto"/>
        <w:bottom w:val="none" w:sz="0" w:space="0" w:color="auto"/>
        <w:right w:val="none" w:sz="0" w:space="0" w:color="auto"/>
      </w:divBdr>
    </w:div>
    <w:div w:id="1766803307">
      <w:bodyDiv w:val="1"/>
      <w:marLeft w:val="0"/>
      <w:marRight w:val="0"/>
      <w:marTop w:val="0"/>
      <w:marBottom w:val="0"/>
      <w:divBdr>
        <w:top w:val="none" w:sz="0" w:space="0" w:color="auto"/>
        <w:left w:val="none" w:sz="0" w:space="0" w:color="auto"/>
        <w:bottom w:val="none" w:sz="0" w:space="0" w:color="auto"/>
        <w:right w:val="none" w:sz="0" w:space="0" w:color="auto"/>
      </w:divBdr>
    </w:div>
    <w:div w:id="1774940149">
      <w:bodyDiv w:val="1"/>
      <w:marLeft w:val="0"/>
      <w:marRight w:val="0"/>
      <w:marTop w:val="0"/>
      <w:marBottom w:val="0"/>
      <w:divBdr>
        <w:top w:val="none" w:sz="0" w:space="0" w:color="auto"/>
        <w:left w:val="none" w:sz="0" w:space="0" w:color="auto"/>
        <w:bottom w:val="none" w:sz="0" w:space="0" w:color="auto"/>
        <w:right w:val="none" w:sz="0" w:space="0" w:color="auto"/>
      </w:divBdr>
    </w:div>
    <w:div w:id="1776169984">
      <w:bodyDiv w:val="1"/>
      <w:marLeft w:val="0"/>
      <w:marRight w:val="0"/>
      <w:marTop w:val="0"/>
      <w:marBottom w:val="0"/>
      <w:divBdr>
        <w:top w:val="none" w:sz="0" w:space="0" w:color="auto"/>
        <w:left w:val="none" w:sz="0" w:space="0" w:color="auto"/>
        <w:bottom w:val="none" w:sz="0" w:space="0" w:color="auto"/>
        <w:right w:val="none" w:sz="0" w:space="0" w:color="auto"/>
      </w:divBdr>
    </w:div>
    <w:div w:id="1781487101">
      <w:bodyDiv w:val="1"/>
      <w:marLeft w:val="0"/>
      <w:marRight w:val="0"/>
      <w:marTop w:val="0"/>
      <w:marBottom w:val="0"/>
      <w:divBdr>
        <w:top w:val="none" w:sz="0" w:space="0" w:color="auto"/>
        <w:left w:val="none" w:sz="0" w:space="0" w:color="auto"/>
        <w:bottom w:val="none" w:sz="0" w:space="0" w:color="auto"/>
        <w:right w:val="none" w:sz="0" w:space="0" w:color="auto"/>
      </w:divBdr>
    </w:div>
    <w:div w:id="1791701884">
      <w:bodyDiv w:val="1"/>
      <w:marLeft w:val="0"/>
      <w:marRight w:val="0"/>
      <w:marTop w:val="0"/>
      <w:marBottom w:val="0"/>
      <w:divBdr>
        <w:top w:val="none" w:sz="0" w:space="0" w:color="auto"/>
        <w:left w:val="none" w:sz="0" w:space="0" w:color="auto"/>
        <w:bottom w:val="none" w:sz="0" w:space="0" w:color="auto"/>
        <w:right w:val="none" w:sz="0" w:space="0" w:color="auto"/>
      </w:divBdr>
    </w:div>
    <w:div w:id="1794135256">
      <w:bodyDiv w:val="1"/>
      <w:marLeft w:val="0"/>
      <w:marRight w:val="0"/>
      <w:marTop w:val="0"/>
      <w:marBottom w:val="0"/>
      <w:divBdr>
        <w:top w:val="none" w:sz="0" w:space="0" w:color="auto"/>
        <w:left w:val="none" w:sz="0" w:space="0" w:color="auto"/>
        <w:bottom w:val="none" w:sz="0" w:space="0" w:color="auto"/>
        <w:right w:val="none" w:sz="0" w:space="0" w:color="auto"/>
      </w:divBdr>
    </w:div>
    <w:div w:id="1794977550">
      <w:bodyDiv w:val="1"/>
      <w:marLeft w:val="0"/>
      <w:marRight w:val="0"/>
      <w:marTop w:val="0"/>
      <w:marBottom w:val="0"/>
      <w:divBdr>
        <w:top w:val="none" w:sz="0" w:space="0" w:color="auto"/>
        <w:left w:val="none" w:sz="0" w:space="0" w:color="auto"/>
        <w:bottom w:val="none" w:sz="0" w:space="0" w:color="auto"/>
        <w:right w:val="none" w:sz="0" w:space="0" w:color="auto"/>
      </w:divBdr>
    </w:div>
    <w:div w:id="1797943502">
      <w:bodyDiv w:val="1"/>
      <w:marLeft w:val="0"/>
      <w:marRight w:val="0"/>
      <w:marTop w:val="0"/>
      <w:marBottom w:val="0"/>
      <w:divBdr>
        <w:top w:val="none" w:sz="0" w:space="0" w:color="auto"/>
        <w:left w:val="none" w:sz="0" w:space="0" w:color="auto"/>
        <w:bottom w:val="none" w:sz="0" w:space="0" w:color="auto"/>
        <w:right w:val="none" w:sz="0" w:space="0" w:color="auto"/>
      </w:divBdr>
    </w:div>
    <w:div w:id="1805192067">
      <w:bodyDiv w:val="1"/>
      <w:marLeft w:val="0"/>
      <w:marRight w:val="0"/>
      <w:marTop w:val="0"/>
      <w:marBottom w:val="0"/>
      <w:divBdr>
        <w:top w:val="none" w:sz="0" w:space="0" w:color="auto"/>
        <w:left w:val="none" w:sz="0" w:space="0" w:color="auto"/>
        <w:bottom w:val="none" w:sz="0" w:space="0" w:color="auto"/>
        <w:right w:val="none" w:sz="0" w:space="0" w:color="auto"/>
      </w:divBdr>
    </w:div>
    <w:div w:id="1806655559">
      <w:bodyDiv w:val="1"/>
      <w:marLeft w:val="0"/>
      <w:marRight w:val="0"/>
      <w:marTop w:val="0"/>
      <w:marBottom w:val="0"/>
      <w:divBdr>
        <w:top w:val="none" w:sz="0" w:space="0" w:color="auto"/>
        <w:left w:val="none" w:sz="0" w:space="0" w:color="auto"/>
        <w:bottom w:val="none" w:sz="0" w:space="0" w:color="auto"/>
        <w:right w:val="none" w:sz="0" w:space="0" w:color="auto"/>
      </w:divBdr>
    </w:div>
    <w:div w:id="1813214629">
      <w:bodyDiv w:val="1"/>
      <w:marLeft w:val="0"/>
      <w:marRight w:val="0"/>
      <w:marTop w:val="0"/>
      <w:marBottom w:val="0"/>
      <w:divBdr>
        <w:top w:val="none" w:sz="0" w:space="0" w:color="auto"/>
        <w:left w:val="none" w:sz="0" w:space="0" w:color="auto"/>
        <w:bottom w:val="none" w:sz="0" w:space="0" w:color="auto"/>
        <w:right w:val="none" w:sz="0" w:space="0" w:color="auto"/>
      </w:divBdr>
    </w:div>
    <w:div w:id="1819571976">
      <w:bodyDiv w:val="1"/>
      <w:marLeft w:val="0"/>
      <w:marRight w:val="0"/>
      <w:marTop w:val="0"/>
      <w:marBottom w:val="0"/>
      <w:divBdr>
        <w:top w:val="none" w:sz="0" w:space="0" w:color="auto"/>
        <w:left w:val="none" w:sz="0" w:space="0" w:color="auto"/>
        <w:bottom w:val="none" w:sz="0" w:space="0" w:color="auto"/>
        <w:right w:val="none" w:sz="0" w:space="0" w:color="auto"/>
      </w:divBdr>
    </w:div>
    <w:div w:id="1821002244">
      <w:bodyDiv w:val="1"/>
      <w:marLeft w:val="0"/>
      <w:marRight w:val="0"/>
      <w:marTop w:val="0"/>
      <w:marBottom w:val="0"/>
      <w:divBdr>
        <w:top w:val="none" w:sz="0" w:space="0" w:color="auto"/>
        <w:left w:val="none" w:sz="0" w:space="0" w:color="auto"/>
        <w:bottom w:val="none" w:sz="0" w:space="0" w:color="auto"/>
        <w:right w:val="none" w:sz="0" w:space="0" w:color="auto"/>
      </w:divBdr>
    </w:div>
    <w:div w:id="1830518427">
      <w:bodyDiv w:val="1"/>
      <w:marLeft w:val="0"/>
      <w:marRight w:val="0"/>
      <w:marTop w:val="0"/>
      <w:marBottom w:val="0"/>
      <w:divBdr>
        <w:top w:val="none" w:sz="0" w:space="0" w:color="auto"/>
        <w:left w:val="none" w:sz="0" w:space="0" w:color="auto"/>
        <w:bottom w:val="none" w:sz="0" w:space="0" w:color="auto"/>
        <w:right w:val="none" w:sz="0" w:space="0" w:color="auto"/>
      </w:divBdr>
    </w:div>
    <w:div w:id="1830556258">
      <w:bodyDiv w:val="1"/>
      <w:marLeft w:val="0"/>
      <w:marRight w:val="0"/>
      <w:marTop w:val="0"/>
      <w:marBottom w:val="0"/>
      <w:divBdr>
        <w:top w:val="none" w:sz="0" w:space="0" w:color="auto"/>
        <w:left w:val="none" w:sz="0" w:space="0" w:color="auto"/>
        <w:bottom w:val="none" w:sz="0" w:space="0" w:color="auto"/>
        <w:right w:val="none" w:sz="0" w:space="0" w:color="auto"/>
      </w:divBdr>
    </w:div>
    <w:div w:id="1842041150">
      <w:bodyDiv w:val="1"/>
      <w:marLeft w:val="0"/>
      <w:marRight w:val="0"/>
      <w:marTop w:val="0"/>
      <w:marBottom w:val="0"/>
      <w:divBdr>
        <w:top w:val="none" w:sz="0" w:space="0" w:color="auto"/>
        <w:left w:val="none" w:sz="0" w:space="0" w:color="auto"/>
        <w:bottom w:val="none" w:sz="0" w:space="0" w:color="auto"/>
        <w:right w:val="none" w:sz="0" w:space="0" w:color="auto"/>
      </w:divBdr>
    </w:div>
    <w:div w:id="1842116638">
      <w:bodyDiv w:val="1"/>
      <w:marLeft w:val="0"/>
      <w:marRight w:val="0"/>
      <w:marTop w:val="0"/>
      <w:marBottom w:val="0"/>
      <w:divBdr>
        <w:top w:val="none" w:sz="0" w:space="0" w:color="auto"/>
        <w:left w:val="none" w:sz="0" w:space="0" w:color="auto"/>
        <w:bottom w:val="none" w:sz="0" w:space="0" w:color="auto"/>
        <w:right w:val="none" w:sz="0" w:space="0" w:color="auto"/>
      </w:divBdr>
    </w:div>
    <w:div w:id="1846019062">
      <w:bodyDiv w:val="1"/>
      <w:marLeft w:val="0"/>
      <w:marRight w:val="0"/>
      <w:marTop w:val="0"/>
      <w:marBottom w:val="0"/>
      <w:divBdr>
        <w:top w:val="none" w:sz="0" w:space="0" w:color="auto"/>
        <w:left w:val="none" w:sz="0" w:space="0" w:color="auto"/>
        <w:bottom w:val="none" w:sz="0" w:space="0" w:color="auto"/>
        <w:right w:val="none" w:sz="0" w:space="0" w:color="auto"/>
      </w:divBdr>
    </w:div>
    <w:div w:id="1847596551">
      <w:bodyDiv w:val="1"/>
      <w:marLeft w:val="0"/>
      <w:marRight w:val="0"/>
      <w:marTop w:val="0"/>
      <w:marBottom w:val="0"/>
      <w:divBdr>
        <w:top w:val="none" w:sz="0" w:space="0" w:color="auto"/>
        <w:left w:val="none" w:sz="0" w:space="0" w:color="auto"/>
        <w:bottom w:val="none" w:sz="0" w:space="0" w:color="auto"/>
        <w:right w:val="none" w:sz="0" w:space="0" w:color="auto"/>
      </w:divBdr>
    </w:div>
    <w:div w:id="1851868922">
      <w:bodyDiv w:val="1"/>
      <w:marLeft w:val="0"/>
      <w:marRight w:val="0"/>
      <w:marTop w:val="0"/>
      <w:marBottom w:val="0"/>
      <w:divBdr>
        <w:top w:val="none" w:sz="0" w:space="0" w:color="auto"/>
        <w:left w:val="none" w:sz="0" w:space="0" w:color="auto"/>
        <w:bottom w:val="none" w:sz="0" w:space="0" w:color="auto"/>
        <w:right w:val="none" w:sz="0" w:space="0" w:color="auto"/>
      </w:divBdr>
    </w:div>
    <w:div w:id="1863469507">
      <w:bodyDiv w:val="1"/>
      <w:marLeft w:val="0"/>
      <w:marRight w:val="0"/>
      <w:marTop w:val="0"/>
      <w:marBottom w:val="0"/>
      <w:divBdr>
        <w:top w:val="none" w:sz="0" w:space="0" w:color="auto"/>
        <w:left w:val="none" w:sz="0" w:space="0" w:color="auto"/>
        <w:bottom w:val="none" w:sz="0" w:space="0" w:color="auto"/>
        <w:right w:val="none" w:sz="0" w:space="0" w:color="auto"/>
      </w:divBdr>
    </w:div>
    <w:div w:id="1867133077">
      <w:bodyDiv w:val="1"/>
      <w:marLeft w:val="0"/>
      <w:marRight w:val="0"/>
      <w:marTop w:val="0"/>
      <w:marBottom w:val="0"/>
      <w:divBdr>
        <w:top w:val="none" w:sz="0" w:space="0" w:color="auto"/>
        <w:left w:val="none" w:sz="0" w:space="0" w:color="auto"/>
        <w:bottom w:val="none" w:sz="0" w:space="0" w:color="auto"/>
        <w:right w:val="none" w:sz="0" w:space="0" w:color="auto"/>
      </w:divBdr>
    </w:div>
    <w:div w:id="1876431590">
      <w:bodyDiv w:val="1"/>
      <w:marLeft w:val="0"/>
      <w:marRight w:val="0"/>
      <w:marTop w:val="0"/>
      <w:marBottom w:val="0"/>
      <w:divBdr>
        <w:top w:val="none" w:sz="0" w:space="0" w:color="auto"/>
        <w:left w:val="none" w:sz="0" w:space="0" w:color="auto"/>
        <w:bottom w:val="none" w:sz="0" w:space="0" w:color="auto"/>
        <w:right w:val="none" w:sz="0" w:space="0" w:color="auto"/>
      </w:divBdr>
    </w:div>
    <w:div w:id="1878856000">
      <w:bodyDiv w:val="1"/>
      <w:marLeft w:val="0"/>
      <w:marRight w:val="0"/>
      <w:marTop w:val="0"/>
      <w:marBottom w:val="0"/>
      <w:divBdr>
        <w:top w:val="none" w:sz="0" w:space="0" w:color="auto"/>
        <w:left w:val="none" w:sz="0" w:space="0" w:color="auto"/>
        <w:bottom w:val="none" w:sz="0" w:space="0" w:color="auto"/>
        <w:right w:val="none" w:sz="0" w:space="0" w:color="auto"/>
      </w:divBdr>
    </w:div>
    <w:div w:id="1880778489">
      <w:bodyDiv w:val="1"/>
      <w:marLeft w:val="0"/>
      <w:marRight w:val="0"/>
      <w:marTop w:val="0"/>
      <w:marBottom w:val="0"/>
      <w:divBdr>
        <w:top w:val="none" w:sz="0" w:space="0" w:color="auto"/>
        <w:left w:val="none" w:sz="0" w:space="0" w:color="auto"/>
        <w:bottom w:val="none" w:sz="0" w:space="0" w:color="auto"/>
        <w:right w:val="none" w:sz="0" w:space="0" w:color="auto"/>
      </w:divBdr>
    </w:div>
    <w:div w:id="1889411985">
      <w:bodyDiv w:val="1"/>
      <w:marLeft w:val="0"/>
      <w:marRight w:val="0"/>
      <w:marTop w:val="0"/>
      <w:marBottom w:val="0"/>
      <w:divBdr>
        <w:top w:val="none" w:sz="0" w:space="0" w:color="auto"/>
        <w:left w:val="none" w:sz="0" w:space="0" w:color="auto"/>
        <w:bottom w:val="none" w:sz="0" w:space="0" w:color="auto"/>
        <w:right w:val="none" w:sz="0" w:space="0" w:color="auto"/>
      </w:divBdr>
    </w:div>
    <w:div w:id="1899124471">
      <w:bodyDiv w:val="1"/>
      <w:marLeft w:val="0"/>
      <w:marRight w:val="0"/>
      <w:marTop w:val="0"/>
      <w:marBottom w:val="0"/>
      <w:divBdr>
        <w:top w:val="none" w:sz="0" w:space="0" w:color="auto"/>
        <w:left w:val="none" w:sz="0" w:space="0" w:color="auto"/>
        <w:bottom w:val="none" w:sz="0" w:space="0" w:color="auto"/>
        <w:right w:val="none" w:sz="0" w:space="0" w:color="auto"/>
      </w:divBdr>
    </w:div>
    <w:div w:id="1907181582">
      <w:bodyDiv w:val="1"/>
      <w:marLeft w:val="0"/>
      <w:marRight w:val="0"/>
      <w:marTop w:val="0"/>
      <w:marBottom w:val="0"/>
      <w:divBdr>
        <w:top w:val="none" w:sz="0" w:space="0" w:color="auto"/>
        <w:left w:val="none" w:sz="0" w:space="0" w:color="auto"/>
        <w:bottom w:val="none" w:sz="0" w:space="0" w:color="auto"/>
        <w:right w:val="none" w:sz="0" w:space="0" w:color="auto"/>
      </w:divBdr>
    </w:div>
    <w:div w:id="1916697746">
      <w:bodyDiv w:val="1"/>
      <w:marLeft w:val="0"/>
      <w:marRight w:val="0"/>
      <w:marTop w:val="0"/>
      <w:marBottom w:val="0"/>
      <w:divBdr>
        <w:top w:val="none" w:sz="0" w:space="0" w:color="auto"/>
        <w:left w:val="none" w:sz="0" w:space="0" w:color="auto"/>
        <w:bottom w:val="none" w:sz="0" w:space="0" w:color="auto"/>
        <w:right w:val="none" w:sz="0" w:space="0" w:color="auto"/>
      </w:divBdr>
    </w:div>
    <w:div w:id="1920019705">
      <w:bodyDiv w:val="1"/>
      <w:marLeft w:val="0"/>
      <w:marRight w:val="0"/>
      <w:marTop w:val="0"/>
      <w:marBottom w:val="0"/>
      <w:divBdr>
        <w:top w:val="none" w:sz="0" w:space="0" w:color="auto"/>
        <w:left w:val="none" w:sz="0" w:space="0" w:color="auto"/>
        <w:bottom w:val="none" w:sz="0" w:space="0" w:color="auto"/>
        <w:right w:val="none" w:sz="0" w:space="0" w:color="auto"/>
      </w:divBdr>
    </w:div>
    <w:div w:id="1938556254">
      <w:bodyDiv w:val="1"/>
      <w:marLeft w:val="0"/>
      <w:marRight w:val="0"/>
      <w:marTop w:val="0"/>
      <w:marBottom w:val="0"/>
      <w:divBdr>
        <w:top w:val="none" w:sz="0" w:space="0" w:color="auto"/>
        <w:left w:val="none" w:sz="0" w:space="0" w:color="auto"/>
        <w:bottom w:val="none" w:sz="0" w:space="0" w:color="auto"/>
        <w:right w:val="none" w:sz="0" w:space="0" w:color="auto"/>
      </w:divBdr>
    </w:div>
    <w:div w:id="1948004292">
      <w:bodyDiv w:val="1"/>
      <w:marLeft w:val="0"/>
      <w:marRight w:val="0"/>
      <w:marTop w:val="0"/>
      <w:marBottom w:val="0"/>
      <w:divBdr>
        <w:top w:val="none" w:sz="0" w:space="0" w:color="auto"/>
        <w:left w:val="none" w:sz="0" w:space="0" w:color="auto"/>
        <w:bottom w:val="none" w:sz="0" w:space="0" w:color="auto"/>
        <w:right w:val="none" w:sz="0" w:space="0" w:color="auto"/>
      </w:divBdr>
    </w:div>
    <w:div w:id="1950163173">
      <w:bodyDiv w:val="1"/>
      <w:marLeft w:val="0"/>
      <w:marRight w:val="0"/>
      <w:marTop w:val="0"/>
      <w:marBottom w:val="0"/>
      <w:divBdr>
        <w:top w:val="none" w:sz="0" w:space="0" w:color="auto"/>
        <w:left w:val="none" w:sz="0" w:space="0" w:color="auto"/>
        <w:bottom w:val="none" w:sz="0" w:space="0" w:color="auto"/>
        <w:right w:val="none" w:sz="0" w:space="0" w:color="auto"/>
      </w:divBdr>
    </w:div>
    <w:div w:id="1951157363">
      <w:bodyDiv w:val="1"/>
      <w:marLeft w:val="0"/>
      <w:marRight w:val="0"/>
      <w:marTop w:val="0"/>
      <w:marBottom w:val="0"/>
      <w:divBdr>
        <w:top w:val="none" w:sz="0" w:space="0" w:color="auto"/>
        <w:left w:val="none" w:sz="0" w:space="0" w:color="auto"/>
        <w:bottom w:val="none" w:sz="0" w:space="0" w:color="auto"/>
        <w:right w:val="none" w:sz="0" w:space="0" w:color="auto"/>
      </w:divBdr>
    </w:div>
    <w:div w:id="1964337893">
      <w:bodyDiv w:val="1"/>
      <w:marLeft w:val="0"/>
      <w:marRight w:val="0"/>
      <w:marTop w:val="0"/>
      <w:marBottom w:val="0"/>
      <w:divBdr>
        <w:top w:val="none" w:sz="0" w:space="0" w:color="auto"/>
        <w:left w:val="none" w:sz="0" w:space="0" w:color="auto"/>
        <w:bottom w:val="none" w:sz="0" w:space="0" w:color="auto"/>
        <w:right w:val="none" w:sz="0" w:space="0" w:color="auto"/>
      </w:divBdr>
    </w:div>
    <w:div w:id="1964998050">
      <w:bodyDiv w:val="1"/>
      <w:marLeft w:val="0"/>
      <w:marRight w:val="0"/>
      <w:marTop w:val="0"/>
      <w:marBottom w:val="0"/>
      <w:divBdr>
        <w:top w:val="none" w:sz="0" w:space="0" w:color="auto"/>
        <w:left w:val="none" w:sz="0" w:space="0" w:color="auto"/>
        <w:bottom w:val="none" w:sz="0" w:space="0" w:color="auto"/>
        <w:right w:val="none" w:sz="0" w:space="0" w:color="auto"/>
      </w:divBdr>
    </w:div>
    <w:div w:id="1965959141">
      <w:bodyDiv w:val="1"/>
      <w:marLeft w:val="0"/>
      <w:marRight w:val="0"/>
      <w:marTop w:val="0"/>
      <w:marBottom w:val="0"/>
      <w:divBdr>
        <w:top w:val="none" w:sz="0" w:space="0" w:color="auto"/>
        <w:left w:val="none" w:sz="0" w:space="0" w:color="auto"/>
        <w:bottom w:val="none" w:sz="0" w:space="0" w:color="auto"/>
        <w:right w:val="none" w:sz="0" w:space="0" w:color="auto"/>
      </w:divBdr>
    </w:div>
    <w:div w:id="1966934215">
      <w:bodyDiv w:val="1"/>
      <w:marLeft w:val="0"/>
      <w:marRight w:val="0"/>
      <w:marTop w:val="0"/>
      <w:marBottom w:val="0"/>
      <w:divBdr>
        <w:top w:val="none" w:sz="0" w:space="0" w:color="auto"/>
        <w:left w:val="none" w:sz="0" w:space="0" w:color="auto"/>
        <w:bottom w:val="none" w:sz="0" w:space="0" w:color="auto"/>
        <w:right w:val="none" w:sz="0" w:space="0" w:color="auto"/>
      </w:divBdr>
    </w:div>
    <w:div w:id="1975285026">
      <w:bodyDiv w:val="1"/>
      <w:marLeft w:val="0"/>
      <w:marRight w:val="0"/>
      <w:marTop w:val="0"/>
      <w:marBottom w:val="0"/>
      <w:divBdr>
        <w:top w:val="none" w:sz="0" w:space="0" w:color="auto"/>
        <w:left w:val="none" w:sz="0" w:space="0" w:color="auto"/>
        <w:bottom w:val="none" w:sz="0" w:space="0" w:color="auto"/>
        <w:right w:val="none" w:sz="0" w:space="0" w:color="auto"/>
      </w:divBdr>
    </w:div>
    <w:div w:id="1980452880">
      <w:bodyDiv w:val="1"/>
      <w:marLeft w:val="0"/>
      <w:marRight w:val="0"/>
      <w:marTop w:val="0"/>
      <w:marBottom w:val="0"/>
      <w:divBdr>
        <w:top w:val="none" w:sz="0" w:space="0" w:color="auto"/>
        <w:left w:val="none" w:sz="0" w:space="0" w:color="auto"/>
        <w:bottom w:val="none" w:sz="0" w:space="0" w:color="auto"/>
        <w:right w:val="none" w:sz="0" w:space="0" w:color="auto"/>
      </w:divBdr>
    </w:div>
    <w:div w:id="1989630758">
      <w:bodyDiv w:val="1"/>
      <w:marLeft w:val="0"/>
      <w:marRight w:val="0"/>
      <w:marTop w:val="0"/>
      <w:marBottom w:val="0"/>
      <w:divBdr>
        <w:top w:val="none" w:sz="0" w:space="0" w:color="auto"/>
        <w:left w:val="none" w:sz="0" w:space="0" w:color="auto"/>
        <w:bottom w:val="none" w:sz="0" w:space="0" w:color="auto"/>
        <w:right w:val="none" w:sz="0" w:space="0" w:color="auto"/>
      </w:divBdr>
    </w:div>
    <w:div w:id="1994599679">
      <w:bodyDiv w:val="1"/>
      <w:marLeft w:val="0"/>
      <w:marRight w:val="0"/>
      <w:marTop w:val="0"/>
      <w:marBottom w:val="0"/>
      <w:divBdr>
        <w:top w:val="none" w:sz="0" w:space="0" w:color="auto"/>
        <w:left w:val="none" w:sz="0" w:space="0" w:color="auto"/>
        <w:bottom w:val="none" w:sz="0" w:space="0" w:color="auto"/>
        <w:right w:val="none" w:sz="0" w:space="0" w:color="auto"/>
      </w:divBdr>
    </w:div>
    <w:div w:id="1995210009">
      <w:bodyDiv w:val="1"/>
      <w:marLeft w:val="0"/>
      <w:marRight w:val="0"/>
      <w:marTop w:val="0"/>
      <w:marBottom w:val="0"/>
      <w:divBdr>
        <w:top w:val="none" w:sz="0" w:space="0" w:color="auto"/>
        <w:left w:val="none" w:sz="0" w:space="0" w:color="auto"/>
        <w:bottom w:val="none" w:sz="0" w:space="0" w:color="auto"/>
        <w:right w:val="none" w:sz="0" w:space="0" w:color="auto"/>
      </w:divBdr>
    </w:div>
    <w:div w:id="1997218832">
      <w:bodyDiv w:val="1"/>
      <w:marLeft w:val="0"/>
      <w:marRight w:val="0"/>
      <w:marTop w:val="0"/>
      <w:marBottom w:val="0"/>
      <w:divBdr>
        <w:top w:val="none" w:sz="0" w:space="0" w:color="auto"/>
        <w:left w:val="none" w:sz="0" w:space="0" w:color="auto"/>
        <w:bottom w:val="none" w:sz="0" w:space="0" w:color="auto"/>
        <w:right w:val="none" w:sz="0" w:space="0" w:color="auto"/>
      </w:divBdr>
    </w:div>
    <w:div w:id="1998459892">
      <w:bodyDiv w:val="1"/>
      <w:marLeft w:val="0"/>
      <w:marRight w:val="0"/>
      <w:marTop w:val="0"/>
      <w:marBottom w:val="0"/>
      <w:divBdr>
        <w:top w:val="none" w:sz="0" w:space="0" w:color="auto"/>
        <w:left w:val="none" w:sz="0" w:space="0" w:color="auto"/>
        <w:bottom w:val="none" w:sz="0" w:space="0" w:color="auto"/>
        <w:right w:val="none" w:sz="0" w:space="0" w:color="auto"/>
      </w:divBdr>
    </w:div>
    <w:div w:id="2001763741">
      <w:bodyDiv w:val="1"/>
      <w:marLeft w:val="0"/>
      <w:marRight w:val="0"/>
      <w:marTop w:val="0"/>
      <w:marBottom w:val="0"/>
      <w:divBdr>
        <w:top w:val="none" w:sz="0" w:space="0" w:color="auto"/>
        <w:left w:val="none" w:sz="0" w:space="0" w:color="auto"/>
        <w:bottom w:val="none" w:sz="0" w:space="0" w:color="auto"/>
        <w:right w:val="none" w:sz="0" w:space="0" w:color="auto"/>
      </w:divBdr>
    </w:div>
    <w:div w:id="2015573007">
      <w:bodyDiv w:val="1"/>
      <w:marLeft w:val="0"/>
      <w:marRight w:val="0"/>
      <w:marTop w:val="0"/>
      <w:marBottom w:val="0"/>
      <w:divBdr>
        <w:top w:val="none" w:sz="0" w:space="0" w:color="auto"/>
        <w:left w:val="none" w:sz="0" w:space="0" w:color="auto"/>
        <w:bottom w:val="none" w:sz="0" w:space="0" w:color="auto"/>
        <w:right w:val="none" w:sz="0" w:space="0" w:color="auto"/>
      </w:divBdr>
    </w:div>
    <w:div w:id="2016805620">
      <w:bodyDiv w:val="1"/>
      <w:marLeft w:val="0"/>
      <w:marRight w:val="0"/>
      <w:marTop w:val="0"/>
      <w:marBottom w:val="0"/>
      <w:divBdr>
        <w:top w:val="none" w:sz="0" w:space="0" w:color="auto"/>
        <w:left w:val="none" w:sz="0" w:space="0" w:color="auto"/>
        <w:bottom w:val="none" w:sz="0" w:space="0" w:color="auto"/>
        <w:right w:val="none" w:sz="0" w:space="0" w:color="auto"/>
      </w:divBdr>
    </w:div>
    <w:div w:id="2017728063">
      <w:bodyDiv w:val="1"/>
      <w:marLeft w:val="0"/>
      <w:marRight w:val="0"/>
      <w:marTop w:val="0"/>
      <w:marBottom w:val="0"/>
      <w:divBdr>
        <w:top w:val="none" w:sz="0" w:space="0" w:color="auto"/>
        <w:left w:val="none" w:sz="0" w:space="0" w:color="auto"/>
        <w:bottom w:val="none" w:sz="0" w:space="0" w:color="auto"/>
        <w:right w:val="none" w:sz="0" w:space="0" w:color="auto"/>
      </w:divBdr>
    </w:div>
    <w:div w:id="2020348177">
      <w:bodyDiv w:val="1"/>
      <w:marLeft w:val="0"/>
      <w:marRight w:val="0"/>
      <w:marTop w:val="0"/>
      <w:marBottom w:val="0"/>
      <w:divBdr>
        <w:top w:val="none" w:sz="0" w:space="0" w:color="auto"/>
        <w:left w:val="none" w:sz="0" w:space="0" w:color="auto"/>
        <w:bottom w:val="none" w:sz="0" w:space="0" w:color="auto"/>
        <w:right w:val="none" w:sz="0" w:space="0" w:color="auto"/>
      </w:divBdr>
    </w:div>
    <w:div w:id="2020572703">
      <w:bodyDiv w:val="1"/>
      <w:marLeft w:val="0"/>
      <w:marRight w:val="0"/>
      <w:marTop w:val="0"/>
      <w:marBottom w:val="0"/>
      <w:divBdr>
        <w:top w:val="none" w:sz="0" w:space="0" w:color="auto"/>
        <w:left w:val="none" w:sz="0" w:space="0" w:color="auto"/>
        <w:bottom w:val="none" w:sz="0" w:space="0" w:color="auto"/>
        <w:right w:val="none" w:sz="0" w:space="0" w:color="auto"/>
      </w:divBdr>
    </w:div>
    <w:div w:id="2029940609">
      <w:bodyDiv w:val="1"/>
      <w:marLeft w:val="0"/>
      <w:marRight w:val="0"/>
      <w:marTop w:val="0"/>
      <w:marBottom w:val="0"/>
      <w:divBdr>
        <w:top w:val="none" w:sz="0" w:space="0" w:color="auto"/>
        <w:left w:val="none" w:sz="0" w:space="0" w:color="auto"/>
        <w:bottom w:val="none" w:sz="0" w:space="0" w:color="auto"/>
        <w:right w:val="none" w:sz="0" w:space="0" w:color="auto"/>
      </w:divBdr>
    </w:div>
    <w:div w:id="2032877516">
      <w:bodyDiv w:val="1"/>
      <w:marLeft w:val="0"/>
      <w:marRight w:val="0"/>
      <w:marTop w:val="0"/>
      <w:marBottom w:val="0"/>
      <w:divBdr>
        <w:top w:val="none" w:sz="0" w:space="0" w:color="auto"/>
        <w:left w:val="none" w:sz="0" w:space="0" w:color="auto"/>
        <w:bottom w:val="none" w:sz="0" w:space="0" w:color="auto"/>
        <w:right w:val="none" w:sz="0" w:space="0" w:color="auto"/>
      </w:divBdr>
    </w:div>
    <w:div w:id="2033139650">
      <w:bodyDiv w:val="1"/>
      <w:marLeft w:val="0"/>
      <w:marRight w:val="0"/>
      <w:marTop w:val="0"/>
      <w:marBottom w:val="0"/>
      <w:divBdr>
        <w:top w:val="none" w:sz="0" w:space="0" w:color="auto"/>
        <w:left w:val="none" w:sz="0" w:space="0" w:color="auto"/>
        <w:bottom w:val="none" w:sz="0" w:space="0" w:color="auto"/>
        <w:right w:val="none" w:sz="0" w:space="0" w:color="auto"/>
      </w:divBdr>
    </w:div>
    <w:div w:id="2037848918">
      <w:bodyDiv w:val="1"/>
      <w:marLeft w:val="0"/>
      <w:marRight w:val="0"/>
      <w:marTop w:val="0"/>
      <w:marBottom w:val="0"/>
      <w:divBdr>
        <w:top w:val="none" w:sz="0" w:space="0" w:color="auto"/>
        <w:left w:val="none" w:sz="0" w:space="0" w:color="auto"/>
        <w:bottom w:val="none" w:sz="0" w:space="0" w:color="auto"/>
        <w:right w:val="none" w:sz="0" w:space="0" w:color="auto"/>
      </w:divBdr>
    </w:div>
    <w:div w:id="2042969528">
      <w:bodyDiv w:val="1"/>
      <w:marLeft w:val="0"/>
      <w:marRight w:val="0"/>
      <w:marTop w:val="0"/>
      <w:marBottom w:val="0"/>
      <w:divBdr>
        <w:top w:val="none" w:sz="0" w:space="0" w:color="auto"/>
        <w:left w:val="none" w:sz="0" w:space="0" w:color="auto"/>
        <w:bottom w:val="none" w:sz="0" w:space="0" w:color="auto"/>
        <w:right w:val="none" w:sz="0" w:space="0" w:color="auto"/>
      </w:divBdr>
    </w:div>
    <w:div w:id="2045249754">
      <w:bodyDiv w:val="1"/>
      <w:marLeft w:val="0"/>
      <w:marRight w:val="0"/>
      <w:marTop w:val="0"/>
      <w:marBottom w:val="0"/>
      <w:divBdr>
        <w:top w:val="none" w:sz="0" w:space="0" w:color="auto"/>
        <w:left w:val="none" w:sz="0" w:space="0" w:color="auto"/>
        <w:bottom w:val="none" w:sz="0" w:space="0" w:color="auto"/>
        <w:right w:val="none" w:sz="0" w:space="0" w:color="auto"/>
      </w:divBdr>
    </w:div>
    <w:div w:id="2049331170">
      <w:bodyDiv w:val="1"/>
      <w:marLeft w:val="0"/>
      <w:marRight w:val="0"/>
      <w:marTop w:val="0"/>
      <w:marBottom w:val="0"/>
      <w:divBdr>
        <w:top w:val="none" w:sz="0" w:space="0" w:color="auto"/>
        <w:left w:val="none" w:sz="0" w:space="0" w:color="auto"/>
        <w:bottom w:val="none" w:sz="0" w:space="0" w:color="auto"/>
        <w:right w:val="none" w:sz="0" w:space="0" w:color="auto"/>
      </w:divBdr>
    </w:div>
    <w:div w:id="2056346914">
      <w:bodyDiv w:val="1"/>
      <w:marLeft w:val="0"/>
      <w:marRight w:val="0"/>
      <w:marTop w:val="0"/>
      <w:marBottom w:val="0"/>
      <w:divBdr>
        <w:top w:val="none" w:sz="0" w:space="0" w:color="auto"/>
        <w:left w:val="none" w:sz="0" w:space="0" w:color="auto"/>
        <w:bottom w:val="none" w:sz="0" w:space="0" w:color="auto"/>
        <w:right w:val="none" w:sz="0" w:space="0" w:color="auto"/>
      </w:divBdr>
    </w:div>
    <w:div w:id="2057268282">
      <w:bodyDiv w:val="1"/>
      <w:marLeft w:val="0"/>
      <w:marRight w:val="0"/>
      <w:marTop w:val="0"/>
      <w:marBottom w:val="0"/>
      <w:divBdr>
        <w:top w:val="none" w:sz="0" w:space="0" w:color="auto"/>
        <w:left w:val="none" w:sz="0" w:space="0" w:color="auto"/>
        <w:bottom w:val="none" w:sz="0" w:space="0" w:color="auto"/>
        <w:right w:val="none" w:sz="0" w:space="0" w:color="auto"/>
      </w:divBdr>
    </w:div>
    <w:div w:id="2057311773">
      <w:bodyDiv w:val="1"/>
      <w:marLeft w:val="0"/>
      <w:marRight w:val="0"/>
      <w:marTop w:val="0"/>
      <w:marBottom w:val="0"/>
      <w:divBdr>
        <w:top w:val="none" w:sz="0" w:space="0" w:color="auto"/>
        <w:left w:val="none" w:sz="0" w:space="0" w:color="auto"/>
        <w:bottom w:val="none" w:sz="0" w:space="0" w:color="auto"/>
        <w:right w:val="none" w:sz="0" w:space="0" w:color="auto"/>
      </w:divBdr>
    </w:div>
    <w:div w:id="2064863548">
      <w:bodyDiv w:val="1"/>
      <w:marLeft w:val="0"/>
      <w:marRight w:val="0"/>
      <w:marTop w:val="0"/>
      <w:marBottom w:val="0"/>
      <w:divBdr>
        <w:top w:val="none" w:sz="0" w:space="0" w:color="auto"/>
        <w:left w:val="none" w:sz="0" w:space="0" w:color="auto"/>
        <w:bottom w:val="none" w:sz="0" w:space="0" w:color="auto"/>
        <w:right w:val="none" w:sz="0" w:space="0" w:color="auto"/>
      </w:divBdr>
    </w:div>
    <w:div w:id="2066371639">
      <w:bodyDiv w:val="1"/>
      <w:marLeft w:val="0"/>
      <w:marRight w:val="0"/>
      <w:marTop w:val="0"/>
      <w:marBottom w:val="0"/>
      <w:divBdr>
        <w:top w:val="none" w:sz="0" w:space="0" w:color="auto"/>
        <w:left w:val="none" w:sz="0" w:space="0" w:color="auto"/>
        <w:bottom w:val="none" w:sz="0" w:space="0" w:color="auto"/>
        <w:right w:val="none" w:sz="0" w:space="0" w:color="auto"/>
      </w:divBdr>
    </w:div>
    <w:div w:id="2066487372">
      <w:bodyDiv w:val="1"/>
      <w:marLeft w:val="0"/>
      <w:marRight w:val="0"/>
      <w:marTop w:val="0"/>
      <w:marBottom w:val="0"/>
      <w:divBdr>
        <w:top w:val="none" w:sz="0" w:space="0" w:color="auto"/>
        <w:left w:val="none" w:sz="0" w:space="0" w:color="auto"/>
        <w:bottom w:val="none" w:sz="0" w:space="0" w:color="auto"/>
        <w:right w:val="none" w:sz="0" w:space="0" w:color="auto"/>
      </w:divBdr>
    </w:div>
    <w:div w:id="2066563720">
      <w:bodyDiv w:val="1"/>
      <w:marLeft w:val="0"/>
      <w:marRight w:val="0"/>
      <w:marTop w:val="0"/>
      <w:marBottom w:val="0"/>
      <w:divBdr>
        <w:top w:val="none" w:sz="0" w:space="0" w:color="auto"/>
        <w:left w:val="none" w:sz="0" w:space="0" w:color="auto"/>
        <w:bottom w:val="none" w:sz="0" w:space="0" w:color="auto"/>
        <w:right w:val="none" w:sz="0" w:space="0" w:color="auto"/>
      </w:divBdr>
    </w:div>
    <w:div w:id="2073850770">
      <w:bodyDiv w:val="1"/>
      <w:marLeft w:val="0"/>
      <w:marRight w:val="0"/>
      <w:marTop w:val="0"/>
      <w:marBottom w:val="0"/>
      <w:divBdr>
        <w:top w:val="none" w:sz="0" w:space="0" w:color="auto"/>
        <w:left w:val="none" w:sz="0" w:space="0" w:color="auto"/>
        <w:bottom w:val="none" w:sz="0" w:space="0" w:color="auto"/>
        <w:right w:val="none" w:sz="0" w:space="0" w:color="auto"/>
      </w:divBdr>
    </w:div>
    <w:div w:id="2081099617">
      <w:bodyDiv w:val="1"/>
      <w:marLeft w:val="0"/>
      <w:marRight w:val="0"/>
      <w:marTop w:val="0"/>
      <w:marBottom w:val="0"/>
      <w:divBdr>
        <w:top w:val="none" w:sz="0" w:space="0" w:color="auto"/>
        <w:left w:val="none" w:sz="0" w:space="0" w:color="auto"/>
        <w:bottom w:val="none" w:sz="0" w:space="0" w:color="auto"/>
        <w:right w:val="none" w:sz="0" w:space="0" w:color="auto"/>
      </w:divBdr>
    </w:div>
    <w:div w:id="2088382070">
      <w:bodyDiv w:val="1"/>
      <w:marLeft w:val="0"/>
      <w:marRight w:val="0"/>
      <w:marTop w:val="0"/>
      <w:marBottom w:val="0"/>
      <w:divBdr>
        <w:top w:val="none" w:sz="0" w:space="0" w:color="auto"/>
        <w:left w:val="none" w:sz="0" w:space="0" w:color="auto"/>
        <w:bottom w:val="none" w:sz="0" w:space="0" w:color="auto"/>
        <w:right w:val="none" w:sz="0" w:space="0" w:color="auto"/>
      </w:divBdr>
    </w:div>
    <w:div w:id="2094352140">
      <w:bodyDiv w:val="1"/>
      <w:marLeft w:val="0"/>
      <w:marRight w:val="0"/>
      <w:marTop w:val="0"/>
      <w:marBottom w:val="0"/>
      <w:divBdr>
        <w:top w:val="none" w:sz="0" w:space="0" w:color="auto"/>
        <w:left w:val="none" w:sz="0" w:space="0" w:color="auto"/>
        <w:bottom w:val="none" w:sz="0" w:space="0" w:color="auto"/>
        <w:right w:val="none" w:sz="0" w:space="0" w:color="auto"/>
      </w:divBdr>
    </w:div>
    <w:div w:id="2095013278">
      <w:bodyDiv w:val="1"/>
      <w:marLeft w:val="0"/>
      <w:marRight w:val="0"/>
      <w:marTop w:val="0"/>
      <w:marBottom w:val="0"/>
      <w:divBdr>
        <w:top w:val="none" w:sz="0" w:space="0" w:color="auto"/>
        <w:left w:val="none" w:sz="0" w:space="0" w:color="auto"/>
        <w:bottom w:val="none" w:sz="0" w:space="0" w:color="auto"/>
        <w:right w:val="none" w:sz="0" w:space="0" w:color="auto"/>
      </w:divBdr>
    </w:div>
    <w:div w:id="2096896634">
      <w:bodyDiv w:val="1"/>
      <w:marLeft w:val="0"/>
      <w:marRight w:val="0"/>
      <w:marTop w:val="0"/>
      <w:marBottom w:val="0"/>
      <w:divBdr>
        <w:top w:val="none" w:sz="0" w:space="0" w:color="auto"/>
        <w:left w:val="none" w:sz="0" w:space="0" w:color="auto"/>
        <w:bottom w:val="none" w:sz="0" w:space="0" w:color="auto"/>
        <w:right w:val="none" w:sz="0" w:space="0" w:color="auto"/>
      </w:divBdr>
    </w:div>
    <w:div w:id="2099866800">
      <w:bodyDiv w:val="1"/>
      <w:marLeft w:val="0"/>
      <w:marRight w:val="0"/>
      <w:marTop w:val="0"/>
      <w:marBottom w:val="0"/>
      <w:divBdr>
        <w:top w:val="none" w:sz="0" w:space="0" w:color="auto"/>
        <w:left w:val="none" w:sz="0" w:space="0" w:color="auto"/>
        <w:bottom w:val="none" w:sz="0" w:space="0" w:color="auto"/>
        <w:right w:val="none" w:sz="0" w:space="0" w:color="auto"/>
      </w:divBdr>
    </w:div>
    <w:div w:id="2116901313">
      <w:bodyDiv w:val="1"/>
      <w:marLeft w:val="0"/>
      <w:marRight w:val="0"/>
      <w:marTop w:val="0"/>
      <w:marBottom w:val="0"/>
      <w:divBdr>
        <w:top w:val="none" w:sz="0" w:space="0" w:color="auto"/>
        <w:left w:val="none" w:sz="0" w:space="0" w:color="auto"/>
        <w:bottom w:val="none" w:sz="0" w:space="0" w:color="auto"/>
        <w:right w:val="none" w:sz="0" w:space="0" w:color="auto"/>
      </w:divBdr>
    </w:div>
    <w:div w:id="2118477473">
      <w:bodyDiv w:val="1"/>
      <w:marLeft w:val="0"/>
      <w:marRight w:val="0"/>
      <w:marTop w:val="0"/>
      <w:marBottom w:val="0"/>
      <w:divBdr>
        <w:top w:val="none" w:sz="0" w:space="0" w:color="auto"/>
        <w:left w:val="none" w:sz="0" w:space="0" w:color="auto"/>
        <w:bottom w:val="none" w:sz="0" w:space="0" w:color="auto"/>
        <w:right w:val="none" w:sz="0" w:space="0" w:color="auto"/>
      </w:divBdr>
    </w:div>
    <w:div w:id="2119059903">
      <w:bodyDiv w:val="1"/>
      <w:marLeft w:val="0"/>
      <w:marRight w:val="0"/>
      <w:marTop w:val="0"/>
      <w:marBottom w:val="0"/>
      <w:divBdr>
        <w:top w:val="none" w:sz="0" w:space="0" w:color="auto"/>
        <w:left w:val="none" w:sz="0" w:space="0" w:color="auto"/>
        <w:bottom w:val="none" w:sz="0" w:space="0" w:color="auto"/>
        <w:right w:val="none" w:sz="0" w:space="0" w:color="auto"/>
      </w:divBdr>
    </w:div>
    <w:div w:id="2127042259">
      <w:bodyDiv w:val="1"/>
      <w:marLeft w:val="0"/>
      <w:marRight w:val="0"/>
      <w:marTop w:val="0"/>
      <w:marBottom w:val="0"/>
      <w:divBdr>
        <w:top w:val="none" w:sz="0" w:space="0" w:color="auto"/>
        <w:left w:val="none" w:sz="0" w:space="0" w:color="auto"/>
        <w:bottom w:val="none" w:sz="0" w:space="0" w:color="auto"/>
        <w:right w:val="none" w:sz="0" w:space="0" w:color="auto"/>
      </w:divBdr>
    </w:div>
    <w:div w:id="2136218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footer" Target="footer1.xml"/><Relationship Id="rId10" Type="http://schemas.openxmlformats.org/officeDocument/2006/relationships/chart" Target="charts/chart2.xml"/><Relationship Id="rId19" Type="http://schemas.openxmlformats.org/officeDocument/2006/relationships/chart" Target="charts/chart1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Users\snezhana\Documents\&#1056;&#1040;&#1041;&#1054;&#1058;&#1053;&#1040;%20-%20&#1055;&#1054;&#1042;&#1045;&#1056;&#1048;&#1058;&#1045;&#1051;&#1053;&#1054;\BSE%20report\2020\Q1\2020Q1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7.6899284701199014E-2"/>
          <c:y val="2.8252405949256338E-2"/>
          <c:w val="0.87909663062793164"/>
          <c:h val="0.61521536209327565"/>
        </c:manualLayout>
      </c:layout>
      <c:barChart>
        <c:barDir val="col"/>
        <c:grouping val="clustered"/>
        <c:ser>
          <c:idx val="0"/>
          <c:order val="0"/>
          <c:tx>
            <c:strRef>
              <c:f>'1.1'!$C$57</c:f>
              <c:strCache>
                <c:ptCount val="1"/>
                <c:pt idx="0">
                  <c:v>Q4 '19</c:v>
                </c:pt>
              </c:strCache>
            </c:strRef>
          </c:tx>
          <c:dLbls>
            <c:numFmt formatCode="#,##0.00" sourceLinked="0"/>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'1.1'!$B$59:$B$65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'1.1'!$C$59:$C$65</c:f>
              <c:numCache>
                <c:formatCode>#,##0</c:formatCode>
                <c:ptCount val="7"/>
                <c:pt idx="0">
                  <c:v>70388938.539000005</c:v>
                </c:pt>
                <c:pt idx="1">
                  <c:v>7899663.4710000064</c:v>
                </c:pt>
                <c:pt idx="2">
                  <c:v>14652624.378761116</c:v>
                </c:pt>
                <c:pt idx="3">
                  <c:v>459977.90779999999</c:v>
                </c:pt>
                <c:pt idx="4">
                  <c:v>3309031.4256055877</c:v>
                </c:pt>
                <c:pt idx="5">
                  <c:v>1034510.4580000004</c:v>
                </c:pt>
                <c:pt idx="6">
                  <c:v>6911.4699999999993</c:v>
                </c:pt>
              </c:numCache>
            </c:numRef>
          </c:val>
          <c:extLst xmlns:c16r2="http://schemas.microsoft.com/office/drawing/2015/06/chart">
            <c:ext xmlns:c16="http://schemas.microsoft.com/office/drawing/2014/chart" uri="{C3380CC4-5D6E-409C-BE32-E72D297353CC}">
              <c16:uniqueId val="{00000001-7659-443D-986D-5A29A6A443E8}"/>
            </c:ext>
          </c:extLst>
        </c:ser>
        <c:ser>
          <c:idx val="1"/>
          <c:order val="1"/>
          <c:tx>
            <c:strRef>
              <c:f>'1.1'!$D$57</c:f>
              <c:strCache>
                <c:ptCount val="1"/>
                <c:pt idx="0">
                  <c:v>Q1 '20</c:v>
                </c:pt>
              </c:strCache>
            </c:strRef>
          </c:tx>
          <c:spPr>
            <a:solidFill>
              <a:srgbClr val="FF0000"/>
            </a:solidFill>
          </c:spPr>
          <c:dLbls>
            <c:dLbl>
              <c:idx val="0"/>
              <c:layout>
                <c:manualLayout>
                  <c:x val="4.3454767166936123E-2"/>
                  <c:y val="0"/>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044F-4C3E-B262-4ACEDB85CD6D}"/>
                </c:ext>
              </c:extLst>
            </c:dLbl>
            <c:dLbl>
              <c:idx val="2"/>
              <c:layout>
                <c:manualLayout>
                  <c:x val="1.5284419580183941E-2"/>
                  <c:y val="3.8956636968621602E-3"/>
                </c:manualLayout>
              </c:layout>
              <c:showVal val="1"/>
            </c:dLbl>
            <c:dLbl>
              <c:idx val="3"/>
              <c:layout>
                <c:manualLayout>
                  <c:x val="1.1463314685138429E-2"/>
                  <c:y val="-7.1419676062954171E-17"/>
                </c:manualLayout>
              </c:layout>
              <c:showVal val="1"/>
            </c:dLbl>
            <c:dLbl>
              <c:idx val="5"/>
              <c:layout>
                <c:manualLayout>
                  <c:x val="1.6713371987283506E-2"/>
                  <c:y val="-4.0944126419986725E-3"/>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44F-4C3E-B262-4ACEDB85CD6D}"/>
                </c:ext>
              </c:extLst>
            </c:dLbl>
            <c:dLbl>
              <c:idx val="6"/>
              <c:layout>
                <c:manualLayout>
                  <c:x val="2.3398701305734727E-2"/>
                  <c:y val="3.9723499901075124E-4"/>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044F-4C3E-B262-4ACEDB85CD6D}"/>
                </c:ext>
              </c:extLst>
            </c:dLbl>
            <c:numFmt formatCode="#,##0.00" sourceLinked="0"/>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'1.1'!$B$59:$B$65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'1.1'!$D$59:$D$65</c:f>
              <c:numCache>
                <c:formatCode>#,##0</c:formatCode>
                <c:ptCount val="7"/>
                <c:pt idx="0">
                  <c:v>58909491.717</c:v>
                </c:pt>
                <c:pt idx="1">
                  <c:v>16996275.394000001</c:v>
                </c:pt>
                <c:pt idx="2">
                  <c:v>7710553.2165339598</c:v>
                </c:pt>
                <c:pt idx="3">
                  <c:v>1157138.5192</c:v>
                </c:pt>
                <c:pt idx="4">
                  <c:v>1001731.7222589583</c:v>
                </c:pt>
                <c:pt idx="5">
                  <c:v>2613837.0610000002</c:v>
                </c:pt>
                <c:pt idx="6">
                  <c:v>19435.361000000001</c:v>
                </c:pt>
              </c:numCache>
            </c:numRef>
          </c:val>
          <c:extLst xmlns:c16r2="http://schemas.microsoft.com/office/drawing/2015/06/chart">
            <c:ext xmlns:c16="http://schemas.microsoft.com/office/drawing/2014/chart" uri="{C3380CC4-5D6E-409C-BE32-E72D297353CC}">
              <c16:uniqueId val="{00000000-7659-443D-986D-5A29A6A443E8}"/>
            </c:ext>
          </c:extLst>
        </c:ser>
        <c:axId val="79298560"/>
        <c:axId val="79301632"/>
      </c:barChart>
      <c:catAx>
        <c:axId val="79298560"/>
        <c:scaling>
          <c:orientation val="minMax"/>
        </c:scaling>
        <c:axPos val="b"/>
        <c:numFmt formatCode="General" sourceLinked="0"/>
        <c:tickLblPos val="nextTo"/>
        <c:txPr>
          <a:bodyPr rot="-5400000" vert="horz"/>
          <a:lstStyle/>
          <a:p>
            <a:pPr>
              <a:defRPr/>
            </a:pPr>
            <a:endParaRPr lang="bg-BG"/>
          </a:p>
        </c:txPr>
        <c:crossAx val="79301632"/>
        <c:crosses val="autoZero"/>
        <c:auto val="1"/>
        <c:lblAlgn val="ctr"/>
        <c:lblOffset val="100"/>
      </c:catAx>
      <c:valAx>
        <c:axId val="79301632"/>
        <c:scaling>
          <c:orientation val="minMax"/>
        </c:scaling>
        <c:axPos val="l"/>
        <c:majorGridlines>
          <c:spPr>
            <a:ln>
              <a:solidFill>
                <a:schemeClr val="bg1">
                  <a:lumMod val="85000"/>
                </a:schemeClr>
              </a:solidFill>
            </a:ln>
          </c:spPr>
        </c:majorGridlines>
        <c:numFmt formatCode="#,##0" sourceLinked="1"/>
        <c:tickLblPos val="nextTo"/>
        <c:crossAx val="79298560"/>
        <c:crosses val="autoZero"/>
        <c:crossBetween val="between"/>
        <c:dispUnits>
          <c:builtInUnit val="millions"/>
          <c:dispUnitsLbl>
            <c:layout>
              <c:manualLayout>
                <c:xMode val="edge"/>
                <c:yMode val="edge"/>
                <c:x val="0"/>
                <c:y val="2.9805814968244883E-2"/>
              </c:manualLayout>
            </c:layout>
            <c:tx>
              <c:rich>
                <a:bodyPr/>
                <a:lstStyle/>
                <a:p>
                  <a:pPr>
                    <a:defRPr/>
                  </a:pPr>
                  <a:r>
                    <a:rPr lang="bg-BG"/>
                    <a:t>милиона </a:t>
                  </a:r>
                  <a:r>
                    <a:rPr lang="en-US"/>
                    <a:t>BGN</a:t>
                  </a:r>
                </a:p>
              </c:rich>
            </c:tx>
          </c:dispUnitsLbl>
        </c:dispUnits>
      </c:valAx>
    </c:plotArea>
    <c:legend>
      <c:legendPos val="r"/>
      <c:layout>
        <c:manualLayout>
          <c:xMode val="edge"/>
          <c:yMode val="edge"/>
          <c:x val="0.29825098416609452"/>
          <c:y val="8.8754009915434206E-3"/>
          <c:w val="0.41014784595214548"/>
          <c:h val="0.10790808398252878"/>
        </c:manualLayout>
      </c:layout>
    </c:legend>
    <c:plotVisOnly val="1"/>
    <c:dispBlanksAs val="gap"/>
  </c:chart>
  <c:spPr>
    <a:ln>
      <a:noFill/>
    </a:ln>
  </c:spPr>
  <c:txPr>
    <a:bodyPr/>
    <a:lstStyle/>
    <a:p>
      <a:pPr>
        <a:defRPr sz="600">
          <a:latin typeface="+mn-lt"/>
        </a:defRPr>
      </a:pPr>
      <a:endParaRPr lang="bg-BG"/>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0.11808853302700781"/>
          <c:y val="1.9561032460631247E-2"/>
          <c:w val="0.8749411268145163"/>
          <c:h val="0.65124850863612871"/>
        </c:manualLayout>
      </c:layout>
      <c:barChart>
        <c:barDir val="col"/>
        <c:grouping val="clustered"/>
        <c:ser>
          <c:idx val="0"/>
          <c:order val="0"/>
          <c:tx>
            <c:strRef>
              <c:f>'1.1'!$C$57</c:f>
              <c:strCache>
                <c:ptCount val="1"/>
                <c:pt idx="0">
                  <c:v>Q4 '19</c:v>
                </c:pt>
              </c:strCache>
            </c:strRef>
          </c:tx>
          <c:dLbls>
            <c:numFmt formatCode="#,##0" sourceLinked="0"/>
            <c:spPr>
              <a:noFill/>
              <a:ln>
                <a:noFill/>
              </a:ln>
              <a:effectLst/>
            </c:spPr>
            <c:txPr>
              <a:bodyPr/>
              <a:lstStyle/>
              <a:p>
                <a:pPr>
                  <a:defRPr sz="600"/>
                </a:pPr>
                <a:endParaRPr lang="bg-BG"/>
              </a:p>
            </c:txPr>
            <c:showVal val="1"/>
            <c:extLst xmlns:c16r2="http://schemas.microsoft.com/office/drawing/2015/06/chart">
              <c:ext xmlns:c15="http://schemas.microsoft.com/office/drawing/2012/chart" uri="{CE6537A1-D6FC-4f65-9D91-7224C49458BB}">
                <c15:showLeaderLines val="0"/>
              </c:ext>
            </c:extLst>
          </c:dLbls>
          <c:cat>
            <c:strRef>
              <c:f>'1.1'!$A$67:$A$73</c:f>
              <c:strCache>
                <c:ptCount val="7"/>
                <c:pt idx="0">
                  <c:v>Equity (REITs excluded)</c:v>
                </c:pt>
                <c:pt idx="1">
                  <c:v>Equity REITS</c:v>
                </c:pt>
                <c:pt idx="2">
                  <c:v>Bonds</c:v>
                </c:pt>
                <c:pt idx="3">
                  <c:v>Exchange Traded Products </c:v>
                </c:pt>
                <c:pt idx="4">
                  <c:v>Government Bonds Segment </c:v>
                </c:pt>
                <c:pt idx="5">
                  <c:v>Compensatory Instruments</c:v>
                </c:pt>
                <c:pt idx="6">
                  <c:v>Other</c:v>
                </c:pt>
              </c:strCache>
            </c:strRef>
          </c:cat>
          <c:val>
            <c:numRef>
              <c:f>'1.1'!$C$75:$C$81</c:f>
              <c:numCache>
                <c:formatCode>#,##0</c:formatCode>
                <c:ptCount val="7"/>
                <c:pt idx="0">
                  <c:v>8801</c:v>
                </c:pt>
                <c:pt idx="1">
                  <c:v>1251</c:v>
                </c:pt>
                <c:pt idx="2">
                  <c:v>87</c:v>
                </c:pt>
                <c:pt idx="3">
                  <c:v>137</c:v>
                </c:pt>
                <c:pt idx="4">
                  <c:v>7</c:v>
                </c:pt>
                <c:pt idx="5">
                  <c:v>353</c:v>
                </c:pt>
                <c:pt idx="6">
                  <c:v>16</c:v>
                </c:pt>
              </c:numCache>
            </c:numRef>
          </c:val>
          <c:extLst xmlns:c16r2="http://schemas.microsoft.com/office/drawing/2015/06/chart">
            <c:ext xmlns:c16="http://schemas.microsoft.com/office/drawing/2014/chart" uri="{C3380CC4-5D6E-409C-BE32-E72D297353CC}">
              <c16:uniqueId val="{00000001-EDA7-4A8C-8E45-6B7A66A1094A}"/>
            </c:ext>
          </c:extLst>
        </c:ser>
        <c:ser>
          <c:idx val="1"/>
          <c:order val="1"/>
          <c:tx>
            <c:strRef>
              <c:f>'1.1'!$D$57</c:f>
              <c:strCache>
                <c:ptCount val="1"/>
                <c:pt idx="0">
                  <c:v>Q1 '20</c:v>
                </c:pt>
              </c:strCache>
            </c:strRef>
          </c:tx>
          <c:spPr>
            <a:solidFill>
              <a:srgbClr val="FF0000"/>
            </a:solidFill>
          </c:spPr>
          <c:dLbls>
            <c:dLbl>
              <c:idx val="3"/>
              <c:layout>
                <c:manualLayout>
                  <c:x val="2.1318797606385914E-2"/>
                  <c:y val="-7.8294297930410264E-17"/>
                </c:manualLayout>
              </c:layout>
              <c:showVal val="1"/>
            </c:dLbl>
            <c:dLbl>
              <c:idx val="5"/>
              <c:layout>
                <c:manualLayout>
                  <c:x val="2.1318797606385834E-2"/>
                  <c:y val="0"/>
                </c:manualLayout>
              </c:layout>
              <c:showVal val="1"/>
            </c:dLbl>
            <c:numFmt formatCode="#,##0" sourceLinked="0"/>
            <c:spPr>
              <a:noFill/>
              <a:ln>
                <a:noFill/>
              </a:ln>
              <a:effectLst/>
            </c:spPr>
            <c:txPr>
              <a:bodyPr/>
              <a:lstStyle/>
              <a:p>
                <a:pPr>
                  <a:defRPr sz="600"/>
                </a:pPr>
                <a:endParaRPr lang="bg-BG"/>
              </a:p>
            </c:txPr>
            <c:showVal val="1"/>
            <c:extLst xmlns:c16r2="http://schemas.microsoft.com/office/drawing/2015/06/chart">
              <c:ext xmlns:c15="http://schemas.microsoft.com/office/drawing/2012/chart" uri="{CE6537A1-D6FC-4f65-9D91-7224C49458BB}">
                <c15:showLeaderLines val="0"/>
              </c:ext>
            </c:extLst>
          </c:dLbls>
          <c:cat>
            <c:strRef>
              <c:f>'1.1'!$A$67:$A$73</c:f>
              <c:strCache>
                <c:ptCount val="7"/>
                <c:pt idx="0">
                  <c:v>Equity (REITs excluded)</c:v>
                </c:pt>
                <c:pt idx="1">
                  <c:v>Equity REITS</c:v>
                </c:pt>
                <c:pt idx="2">
                  <c:v>Bonds</c:v>
                </c:pt>
                <c:pt idx="3">
                  <c:v>Exchange Traded Products </c:v>
                </c:pt>
                <c:pt idx="4">
                  <c:v>Government Bonds Segment </c:v>
                </c:pt>
                <c:pt idx="5">
                  <c:v>Compensatory Instruments</c:v>
                </c:pt>
                <c:pt idx="6">
                  <c:v>Other</c:v>
                </c:pt>
              </c:strCache>
            </c:strRef>
          </c:cat>
          <c:val>
            <c:numRef>
              <c:f>'1.1'!$D$75:$D$81</c:f>
              <c:numCache>
                <c:formatCode>#,##0</c:formatCode>
                <c:ptCount val="7"/>
                <c:pt idx="0">
                  <c:v>18043</c:v>
                </c:pt>
                <c:pt idx="1">
                  <c:v>2726</c:v>
                </c:pt>
                <c:pt idx="2">
                  <c:v>97</c:v>
                </c:pt>
                <c:pt idx="3">
                  <c:v>352</c:v>
                </c:pt>
                <c:pt idx="4">
                  <c:v>1</c:v>
                </c:pt>
                <c:pt idx="5">
                  <c:v>248</c:v>
                </c:pt>
                <c:pt idx="6">
                  <c:v>13</c:v>
                </c:pt>
              </c:numCache>
            </c:numRef>
          </c:val>
          <c:extLst xmlns:c16r2="http://schemas.microsoft.com/office/drawing/2015/06/chart">
            <c:ext xmlns:c16="http://schemas.microsoft.com/office/drawing/2014/chart" uri="{C3380CC4-5D6E-409C-BE32-E72D297353CC}">
              <c16:uniqueId val="{00000000-EDA7-4A8C-8E45-6B7A66A1094A}"/>
            </c:ext>
          </c:extLst>
        </c:ser>
        <c:axId val="89230720"/>
        <c:axId val="91191168"/>
      </c:barChart>
      <c:catAx>
        <c:axId val="89230720"/>
        <c:scaling>
          <c:orientation val="minMax"/>
        </c:scaling>
        <c:axPos val="b"/>
        <c:numFmt formatCode="General" sourceLinked="0"/>
        <c:tickLblPos val="nextTo"/>
        <c:txPr>
          <a:bodyPr rot="-5400000" vert="horz"/>
          <a:lstStyle/>
          <a:p>
            <a:pPr>
              <a:defRPr sz="600"/>
            </a:pPr>
            <a:endParaRPr lang="bg-BG"/>
          </a:p>
        </c:txPr>
        <c:crossAx val="91191168"/>
        <c:crosses val="autoZero"/>
        <c:auto val="1"/>
        <c:lblAlgn val="ctr"/>
        <c:lblOffset val="100"/>
      </c:catAx>
      <c:valAx>
        <c:axId val="91191168"/>
        <c:scaling>
          <c:orientation val="minMax"/>
        </c:scaling>
        <c:axPos val="l"/>
        <c:majorGridlines>
          <c:spPr>
            <a:ln>
              <a:solidFill>
                <a:schemeClr val="bg1">
                  <a:lumMod val="85000"/>
                </a:schemeClr>
              </a:solidFill>
            </a:ln>
          </c:spPr>
        </c:majorGridlines>
        <c:numFmt formatCode="#,##0" sourceLinked="1"/>
        <c:tickLblPos val="nextTo"/>
        <c:crossAx val="89230720"/>
        <c:crosses val="autoZero"/>
        <c:crossBetween val="between"/>
      </c:valAx>
    </c:plotArea>
    <c:legend>
      <c:legendPos val="r"/>
      <c:layout>
        <c:manualLayout>
          <c:xMode val="edge"/>
          <c:yMode val="edge"/>
          <c:x val="0.37390488138932026"/>
          <c:y val="8.8754009915431899E-3"/>
          <c:w val="0.42362459298750477"/>
          <c:h val="7.9675099418510364E-2"/>
        </c:manualLayout>
      </c:layout>
      <c:txPr>
        <a:bodyPr/>
        <a:lstStyle/>
        <a:p>
          <a:pPr>
            <a:defRPr sz="600"/>
          </a:pPr>
          <a:endParaRPr lang="bg-BG"/>
        </a:p>
      </c:txPr>
    </c:legend>
    <c:plotVisOnly val="1"/>
    <c:dispBlanksAs val="gap"/>
  </c:chart>
  <c:spPr>
    <a:ln>
      <a:noFill/>
    </a:ln>
  </c:spPr>
  <c:txPr>
    <a:bodyPr/>
    <a:lstStyle/>
    <a:p>
      <a:pPr>
        <a:defRPr sz="800">
          <a:latin typeface="Calibri" panose="020F0502020204030204" pitchFamily="34" charset="0"/>
        </a:defRPr>
      </a:pPr>
      <a:endParaRPr lang="bg-BG"/>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bg-BG"/>
  <c:chart>
    <c:autoTitleDeleted val="1"/>
    <c:view3D>
      <c:rotX val="30"/>
      <c:perspective val="30"/>
    </c:view3D>
    <c:plotArea>
      <c:layout>
        <c:manualLayout>
          <c:layoutTarget val="inner"/>
          <c:xMode val="edge"/>
          <c:yMode val="edge"/>
          <c:x val="8.5269898912190265E-2"/>
          <c:y val="0.10012175288607948"/>
          <c:w val="0.86258023294858188"/>
          <c:h val="0.83053807989154538"/>
        </c:manualLayout>
      </c:layout>
      <c:pie3DChart>
        <c:varyColors val="1"/>
        <c:ser>
          <c:idx val="0"/>
          <c:order val="0"/>
          <c:tx>
            <c:strRef>
              <c:f>'1.1 pie'!$C$2</c:f>
              <c:strCache>
                <c:ptCount val="1"/>
                <c:pt idx="0">
                  <c:v>NAME</c:v>
                </c:pt>
              </c:strCache>
            </c:strRef>
          </c:tx>
          <c:explosion val="25"/>
          <c:dLbls>
            <c:dLbl>
              <c:idx val="0"/>
              <c:spPr/>
              <c:txPr>
                <a:bodyPr/>
                <a:lstStyle/>
                <a:p>
                  <a:pPr>
                    <a:defRPr>
                      <a:solidFill>
                        <a:schemeClr val="bg1"/>
                      </a:solidFill>
                    </a:defRPr>
                  </a:pPr>
                  <a:endParaRPr lang="bg-BG"/>
                </a:p>
              </c:txPr>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0DD-4195-9CCC-811CB8407786}"/>
                </c:ext>
              </c:extLst>
            </c:dLbl>
            <c:dLbl>
              <c:idx val="1"/>
              <c:spPr/>
              <c:txPr>
                <a:bodyPr/>
                <a:lstStyle/>
                <a:p>
                  <a:pPr>
                    <a:defRPr>
                      <a:solidFill>
                        <a:schemeClr val="bg1"/>
                      </a:solidFill>
                    </a:defRPr>
                  </a:pPr>
                  <a:endParaRPr lang="bg-BG"/>
                </a:p>
              </c:txPr>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0DD-4195-9CCC-811CB8407786}"/>
                </c:ext>
              </c:extLst>
            </c:dLbl>
            <c:dLbl>
              <c:idx val="2"/>
              <c:spPr/>
              <c:txPr>
                <a:bodyPr/>
                <a:lstStyle/>
                <a:p>
                  <a:pPr>
                    <a:defRPr>
                      <a:solidFill>
                        <a:schemeClr val="bg1"/>
                      </a:solidFill>
                    </a:defRPr>
                  </a:pPr>
                  <a:endParaRPr lang="bg-BG"/>
                </a:p>
              </c:txPr>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0DD-4195-9CCC-811CB8407786}"/>
                </c:ext>
              </c:extLst>
            </c:dLbl>
            <c:dLbl>
              <c:idx val="3"/>
              <c:spPr/>
              <c:txPr>
                <a:bodyPr/>
                <a:lstStyle/>
                <a:p>
                  <a:pPr>
                    <a:defRPr sz="700">
                      <a:solidFill>
                        <a:schemeClr val="bg1"/>
                      </a:solidFill>
                    </a:defRPr>
                  </a:pPr>
                  <a:endParaRPr lang="bg-BG"/>
                </a:p>
              </c:txPr>
              <c:showVal val="1"/>
              <c:showCatNam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0DD-4195-9CCC-811CB8407786}"/>
                </c:ext>
              </c:extLst>
            </c:dLbl>
            <c:dLbl>
              <c:idx val="4"/>
              <c:spPr>
                <a:noFill/>
                <a:ln>
                  <a:noFill/>
                </a:ln>
                <a:effectLst/>
              </c:spPr>
              <c:txPr>
                <a:bodyPr/>
                <a:lstStyle/>
                <a:p>
                  <a:pPr>
                    <a:defRPr sz="700">
                      <a:solidFill>
                        <a:schemeClr val="bg1"/>
                      </a:solidFill>
                    </a:defRPr>
                  </a:pPr>
                  <a:endParaRPr lang="bg-BG"/>
                </a:p>
              </c:txPr>
            </c:dLbl>
            <c:dLbl>
              <c:idx val="5"/>
              <c:tx>
                <c:rich>
                  <a:bodyPr/>
                  <a:lstStyle/>
                  <a:p>
                    <a:pPr>
                      <a:defRPr>
                        <a:solidFill>
                          <a:schemeClr val="bg1"/>
                        </a:solidFill>
                      </a:defRPr>
                    </a:pPr>
                    <a:r>
                      <a:rPr lang="bg-BG" sz="700"/>
                      <a:t>Еврохолд България АД-София
3 401 168</a:t>
                    </a:r>
                  </a:p>
                </c:rich>
              </c:tx>
              <c:spPr>
                <a:noFill/>
                <a:ln>
                  <a:noFill/>
                </a:ln>
                <a:effectLst/>
              </c:spPr>
              <c:showVal val="1"/>
              <c:showCatName val="1"/>
              <c:separator>
</c:separator>
            </c:dLbl>
            <c:dLbl>
              <c:idx val="6"/>
              <c:spPr>
                <a:noFill/>
                <a:ln>
                  <a:noFill/>
                </a:ln>
                <a:effectLst/>
              </c:spPr>
              <c:txPr>
                <a:bodyPr/>
                <a:lstStyle/>
                <a:p>
                  <a:pPr>
                    <a:defRPr>
                      <a:solidFill>
                        <a:schemeClr val="bg1"/>
                      </a:solidFill>
                    </a:defRPr>
                  </a:pPr>
                  <a:endParaRPr lang="bg-BG"/>
                </a:p>
              </c:txPr>
            </c:dLbl>
            <c:dLbl>
              <c:idx val="7"/>
              <c:layout>
                <c:manualLayout>
                  <c:x val="4.2290139293200302E-2"/>
                  <c:y val="-1.0820414089079161E-2"/>
                </c:manualLayout>
              </c:layout>
              <c:showVal val="1"/>
              <c:showCatName val="1"/>
              <c:separator>
</c:separator>
            </c:dLbl>
            <c:spPr>
              <a:noFill/>
              <a:ln>
                <a:noFill/>
              </a:ln>
              <a:effectLst/>
            </c:spPr>
            <c:showVal val="1"/>
            <c:showCatName val="1"/>
            <c:separator>
</c:separator>
            <c:showLeaderLines val="1"/>
            <c:extLst xmlns:c16r2="http://schemas.microsoft.com/office/drawing/2015/06/chart">
              <c:ext xmlns:c15="http://schemas.microsoft.com/office/drawing/2012/chart" uri="{CE6537A1-D6FC-4f65-9D91-7224C49458BB}"/>
            </c:extLst>
          </c:dLbls>
          <c:cat>
            <c:strRef>
              <c:f>'1.1 pie'!$C$3:$C$12</c:f>
              <c:strCache>
                <c:ptCount val="10"/>
                <c:pt idx="0">
                  <c:v>Кепитъл Консепт Лимитед АД-София</c:v>
                </c:pt>
                <c:pt idx="1">
                  <c:v>Химимпорт АД-София</c:v>
                </c:pt>
                <c:pt idx="2">
                  <c:v>Болкан енд Сий Пропъртис АДСИЦ-Варна</c:v>
                </c:pt>
                <c:pt idx="3">
                  <c:v>Фонд за недвижими имоти България АДСИЦ-София</c:v>
                </c:pt>
                <c:pt idx="4">
                  <c:v>Доверие Обединен Холдинг АД-София</c:v>
                </c:pt>
                <c:pt idx="5">
                  <c:v>Еврохолд България АД-София</c:v>
                </c:pt>
                <c:pt idx="6">
                  <c:v>Софарма АД-София</c:v>
                </c:pt>
                <c:pt idx="7">
                  <c:v>Адванс Терафонд АДСИЦ-София</c:v>
                </c:pt>
                <c:pt idx="8">
                  <c:v>Холдинг Център АД-София</c:v>
                </c:pt>
                <c:pt idx="9">
                  <c:v>Родна Земя Холдинг АД-Добрич</c:v>
                </c:pt>
              </c:strCache>
            </c:strRef>
          </c:cat>
          <c:val>
            <c:numRef>
              <c:f>'1.1 pie'!$E$3:$E$12</c:f>
              <c:numCache>
                <c:formatCode>#,##0</c:formatCode>
                <c:ptCount val="10"/>
                <c:pt idx="0">
                  <c:v>8000062.8000000007</c:v>
                </c:pt>
                <c:pt idx="1">
                  <c:v>5447400.25</c:v>
                </c:pt>
                <c:pt idx="2">
                  <c:v>4082178.5</c:v>
                </c:pt>
                <c:pt idx="3">
                  <c:v>3692941.1</c:v>
                </c:pt>
                <c:pt idx="4">
                  <c:v>3405699.1</c:v>
                </c:pt>
                <c:pt idx="5">
                  <c:v>3401168.3899999997</c:v>
                </c:pt>
                <c:pt idx="6">
                  <c:v>3219910.7600000002</c:v>
                </c:pt>
                <c:pt idx="7">
                  <c:v>2568721.65</c:v>
                </c:pt>
                <c:pt idx="8">
                  <c:v>2492562</c:v>
                </c:pt>
                <c:pt idx="9">
                  <c:v>2459660</c:v>
                </c:pt>
              </c:numCache>
            </c:numRef>
          </c:val>
          <c:extLst xmlns:c16r2="http://schemas.microsoft.com/office/drawing/2015/06/chart">
            <c:ext xmlns:c16="http://schemas.microsoft.com/office/drawing/2014/chart" uri="{C3380CC4-5D6E-409C-BE32-E72D297353CC}">
              <c16:uniqueId val="{00000004-B0DD-4195-9CCC-811CB8407786}"/>
            </c:ext>
          </c:extLst>
        </c:ser>
      </c:pie3DChart>
    </c:plotArea>
    <c:plotVisOnly val="1"/>
    <c:dispBlanksAs val="zero"/>
  </c:chart>
  <c:spPr>
    <a:ln>
      <a:noFill/>
    </a:ln>
  </c:spPr>
  <c:txPr>
    <a:bodyPr/>
    <a:lstStyle/>
    <a:p>
      <a:pPr>
        <a:defRPr sz="800">
          <a:latin typeface="+mn-lt"/>
        </a:defRPr>
      </a:pPr>
      <a:endParaRPr lang="bg-BG"/>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bg-BG"/>
  <c:chart>
    <c:autoTitleDeleted val="1"/>
    <c:plotArea>
      <c:layout>
        <c:manualLayout>
          <c:layoutTarget val="inner"/>
          <c:xMode val="edge"/>
          <c:yMode val="edge"/>
          <c:x val="9.5858024141735228E-3"/>
          <c:y val="4.3439840845048434E-2"/>
          <c:w val="0.94555232131532818"/>
          <c:h val="0.89787237107980677"/>
        </c:manualLayout>
      </c:layout>
      <c:ofPieChart>
        <c:ofPieType val="pie"/>
        <c:varyColors val="1"/>
        <c:ser>
          <c:idx val="0"/>
          <c:order val="0"/>
          <c:tx>
            <c:strRef>
              <c:f>'1.2'!$C$17</c:f>
              <c:strCache>
                <c:ptCount val="1"/>
                <c:pt idx="0">
                  <c:v>Сектор</c:v>
                </c:pt>
              </c:strCache>
            </c:strRef>
          </c:tx>
          <c:dLbls>
            <c:dLbl>
              <c:idx val="0"/>
              <c:layout>
                <c:manualLayout>
                  <c:x val="0.11320193947422012"/>
                  <c:y val="-0.2318906614127284"/>
                </c:manualLayout>
              </c:layout>
              <c:numFmt formatCode="0.00%" sourceLinked="0"/>
              <c:spPr>
                <a:noFill/>
                <a:ln>
                  <a:noFill/>
                </a:ln>
                <a:effectLst/>
              </c:spPr>
              <c:txPr>
                <a:bodyPr wrap="square" lIns="38100" tIns="19050" rIns="38100" bIns="19050" anchor="ctr">
                  <a:spAutoFit/>
                </a:bodyPr>
                <a:lstStyle/>
                <a:p>
                  <a:pPr>
                    <a:defRPr>
                      <a:solidFill>
                        <a:schemeClr val="bg1"/>
                      </a:solidFill>
                      <a:latin typeface="Calibri" panose="020F0502020204030204" pitchFamily="34" charset="0"/>
                      <a:cs typeface="Calibri" panose="020F0502020204030204" pitchFamily="34" charset="0"/>
                    </a:defRPr>
                  </a:pPr>
                  <a:endParaRPr lang="bg-BG"/>
                </a:p>
              </c:txPr>
              <c:showCatName val="1"/>
              <c:showPercent val="1"/>
              <c:separator>
</c:separator>
            </c:dLbl>
            <c:dLbl>
              <c:idx val="1"/>
              <c:numFmt formatCode="0.00%" sourceLinked="0"/>
              <c:spPr>
                <a:noFill/>
                <a:ln>
                  <a:noFill/>
                </a:ln>
                <a:effectLst/>
              </c:spPr>
              <c:txPr>
                <a:bodyPr wrap="square" lIns="38100" tIns="19050" rIns="38100" bIns="19050" anchor="ctr">
                  <a:spAutoFit/>
                </a:bodyPr>
                <a:lstStyle/>
                <a:p>
                  <a:pPr>
                    <a:defRPr>
                      <a:solidFill>
                        <a:schemeClr val="bg1"/>
                      </a:solidFill>
                      <a:latin typeface="Calibri" panose="020F0502020204030204" pitchFamily="34" charset="0"/>
                      <a:cs typeface="Calibri" panose="020F0502020204030204" pitchFamily="34" charset="0"/>
                    </a:defRPr>
                  </a:pPr>
                  <a:endParaRPr lang="bg-BG"/>
                </a:p>
              </c:txPr>
            </c:dLbl>
            <c:dLbl>
              <c:idx val="2"/>
              <c:layout>
                <c:manualLayout>
                  <c:x val="-6.1841765976427376E-2"/>
                  <c:y val="-7.3292199894585103E-2"/>
                </c:manualLayout>
              </c:layout>
              <c:showCatName val="1"/>
              <c:showPercent val="1"/>
              <c:separator>
</c:separator>
            </c:dLbl>
            <c:dLbl>
              <c:idx val="3"/>
              <c:layout>
                <c:manualLayout>
                  <c:x val="0.11825617065101919"/>
                  <c:y val="-0.11271624770830579"/>
                </c:manualLayout>
              </c:layout>
              <c:showCatName val="1"/>
              <c:showPercent val="1"/>
              <c:separator>
</c:separator>
            </c:dLbl>
            <c:dLbl>
              <c:idx val="5"/>
              <c:layout>
                <c:manualLayout>
                  <c:x val="2.2101710210602612E-2"/>
                  <c:y val="5.2022514134367114E-2"/>
                </c:manualLayout>
              </c:layout>
              <c:showCatName val="1"/>
              <c:showPercent val="1"/>
              <c:separator>
</c:separator>
            </c:dLbl>
            <c:dLbl>
              <c:idx val="6"/>
              <c:layout>
                <c:manualLayout>
                  <c:x val="1.2618680610026091E-2"/>
                  <c:y val="0.36938512352638198"/>
                </c:manualLayout>
              </c:layout>
              <c:showCatName val="1"/>
              <c:showPercent val="1"/>
              <c:separator>
</c:separator>
            </c:dLbl>
            <c:dLbl>
              <c:idx val="7"/>
              <c:numFmt formatCode="0.00%" sourceLinked="0"/>
              <c:spPr>
                <a:noFill/>
                <a:ln>
                  <a:noFill/>
                </a:ln>
                <a:effectLst/>
              </c:spPr>
              <c:txPr>
                <a:bodyPr wrap="square" lIns="38100" tIns="19050" rIns="38100" bIns="19050" anchor="ctr">
                  <a:spAutoFit/>
                </a:bodyPr>
                <a:lstStyle/>
                <a:p>
                  <a:pPr>
                    <a:defRPr>
                      <a:solidFill>
                        <a:sysClr val="windowText" lastClr="000000"/>
                      </a:solidFill>
                      <a:latin typeface="Calibri" panose="020F0502020204030204" pitchFamily="34" charset="0"/>
                      <a:cs typeface="Calibri" panose="020F0502020204030204" pitchFamily="34" charset="0"/>
                    </a:defRPr>
                  </a:pPr>
                  <a:endParaRPr lang="bg-BG"/>
                </a:p>
              </c:txPr>
            </c:dLbl>
            <c:dLbl>
              <c:idx val="8"/>
              <c:layout>
                <c:manualLayout>
                  <c:x val="-9.43748396103707E-2"/>
                  <c:y val="0.16119481473744121"/>
                </c:manualLayout>
              </c:layout>
              <c:showCatName val="1"/>
              <c:showPercent val="1"/>
              <c:separator>
</c:separator>
            </c:dLbl>
            <c:dLbl>
              <c:idx val="10"/>
              <c:layout>
                <c:manualLayout>
                  <c:x val="-3.6910181323147217E-4"/>
                  <c:y val="0.35399237045887288"/>
                </c:manualLayout>
              </c:layout>
              <c:showCatName val="1"/>
              <c:showPercent val="1"/>
              <c:separator>
</c:separator>
            </c:dLbl>
            <c:dLbl>
              <c:idx val="1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BFE-4E5E-B4CF-54809E23A7B6}"/>
                </c:ext>
              </c:extLst>
            </c:dLbl>
            <c:numFmt formatCode="0.00%" sourceLinked="0"/>
            <c:spPr>
              <a:noFill/>
              <a:ln>
                <a:noFill/>
              </a:ln>
              <a:effectLst/>
            </c:spPr>
            <c:txPr>
              <a:bodyPr wrap="square" lIns="38100" tIns="19050" rIns="38100" bIns="19050" anchor="ctr">
                <a:spAutoFit/>
              </a:bodyPr>
              <a:lstStyle/>
              <a:p>
                <a:pPr>
                  <a:defRPr>
                    <a:latin typeface="Calibri" panose="020F0502020204030204" pitchFamily="34" charset="0"/>
                    <a:cs typeface="Calibri" panose="020F0502020204030204" pitchFamily="34" charset="0"/>
                  </a:defRPr>
                </a:pPr>
                <a:endParaRPr lang="bg-BG"/>
              </a:p>
            </c:txPr>
            <c:showCatName val="1"/>
            <c:showPercent val="1"/>
            <c:separator>
</c:separator>
            <c:showLeaderLines val="1"/>
            <c:extLst xmlns:c16r2="http://schemas.microsoft.com/office/drawing/2015/06/chart">
              <c:ext xmlns:c15="http://schemas.microsoft.com/office/drawing/2012/chart" uri="{CE6537A1-D6FC-4f65-9D91-7224C49458BB}"/>
            </c:extLst>
          </c:dLbls>
          <c:cat>
            <c:strRef>
              <c:f>'1.2'!$C$19:$C$29</c:f>
              <c:strCache>
                <c:ptCount val="11"/>
                <c:pt idx="0">
                  <c:v>Финансови и застрахователни дейности</c:v>
                </c:pt>
                <c:pt idx="1">
                  <c:v>Преработваща промишленост</c:v>
                </c:pt>
                <c:pt idx="2">
                  <c:v>Търговия; ремонт на автомобили и мотоциклети</c:v>
                </c:pt>
                <c:pt idx="3">
                  <c:v>Операции с недвижими имоти</c:v>
                </c:pt>
                <c:pt idx="4">
                  <c:v>Професионални дейности и научни изследвания</c:v>
                </c:pt>
                <c:pt idx="5">
                  <c:v>Транспорт, складиране и пощи</c:v>
                </c:pt>
                <c:pt idx="6">
                  <c:v>Производство и разпределение на електрическа и топлинна енергия и на газообразни горива</c:v>
                </c:pt>
                <c:pt idx="7">
                  <c:v>Хотелиерство и ресторантьорство</c:v>
                </c:pt>
                <c:pt idx="8">
                  <c:v>Строителство</c:v>
                </c:pt>
                <c:pt idx="9">
                  <c:v>Създаване и разпространение на информация и творчески продукти; далекосъобщения</c:v>
                </c:pt>
                <c:pt idx="10">
                  <c:v>Добивна промишленост</c:v>
                </c:pt>
              </c:strCache>
            </c:strRef>
          </c:cat>
          <c:val>
            <c:numRef>
              <c:f>'1.2'!$G$19:$G$29</c:f>
              <c:numCache>
                <c:formatCode>#,##0</c:formatCode>
                <c:ptCount val="11"/>
                <c:pt idx="0">
                  <c:v>53887677.751000002</c:v>
                </c:pt>
                <c:pt idx="1">
                  <c:v>12113356.844000002</c:v>
                </c:pt>
                <c:pt idx="2">
                  <c:v>2447313.0749999997</c:v>
                </c:pt>
                <c:pt idx="3">
                  <c:v>2365169.0499999998</c:v>
                </c:pt>
                <c:pt idx="4">
                  <c:v>1259608.061</c:v>
                </c:pt>
                <c:pt idx="5">
                  <c:v>1237989.6400000008</c:v>
                </c:pt>
                <c:pt idx="6">
                  <c:v>997490.75</c:v>
                </c:pt>
                <c:pt idx="7">
                  <c:v>985141.05</c:v>
                </c:pt>
                <c:pt idx="8">
                  <c:v>576544.48</c:v>
                </c:pt>
                <c:pt idx="9">
                  <c:v>19784.66</c:v>
                </c:pt>
                <c:pt idx="10">
                  <c:v>15691.75</c:v>
                </c:pt>
              </c:numCache>
            </c:numRef>
          </c:val>
          <c:extLst xmlns:c16r2="http://schemas.microsoft.com/office/drawing/2015/06/chart">
            <c:ext xmlns:c16="http://schemas.microsoft.com/office/drawing/2014/chart" uri="{C3380CC4-5D6E-409C-BE32-E72D297353CC}">
              <c16:uniqueId val="{00000000-FBFE-4E5E-B4CF-54809E23A7B6}"/>
            </c:ext>
          </c:extLst>
        </c:ser>
        <c:gapWidth val="100"/>
        <c:secondPieSize val="75"/>
        <c:serLines/>
      </c:ofPieChart>
    </c:plotArea>
    <c:plotVisOnly val="1"/>
    <c:dispBlanksAs val="zero"/>
  </c:chart>
  <c:spPr>
    <a:ln>
      <a:noFill/>
    </a:ln>
  </c:spPr>
  <c:txPr>
    <a:bodyPr/>
    <a:lstStyle/>
    <a:p>
      <a:pPr>
        <a:defRPr sz="800">
          <a:latin typeface="News Gothic Cyr" panose="020B0503020103020203" pitchFamily="34" charset="-52"/>
        </a:defRPr>
      </a:pPr>
      <a:endParaRPr lang="bg-BG"/>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4.9172259507829982E-2"/>
          <c:y val="0.15509223316047285"/>
          <c:w val="0.94038777032065557"/>
          <c:h val="0.80752962217435464"/>
        </c:manualLayout>
      </c:layout>
      <c:barChart>
        <c:barDir val="col"/>
        <c:grouping val="stacked"/>
        <c:ser>
          <c:idx val="3"/>
          <c:order val="0"/>
          <c:tx>
            <c:strRef>
              <c:f>'2'!$B$6</c:f>
              <c:strCache>
                <c:ptCount val="1"/>
                <c:pt idx="0">
                  <c:v>Сегмент за АДСИЦ,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'2'!$D$6:$E$6</c:f>
              <c:numCache>
                <c:formatCode>General</c:formatCode>
                <c:ptCount val="2"/>
                <c:pt idx="0">
                  <c:v>15</c:v>
                </c:pt>
                <c:pt idx="1">
                  <c:v>15</c:v>
                </c:pt>
              </c:numCache>
            </c:numRef>
          </c:val>
          <c:extLst xmlns:c16r2="http://schemas.microsoft.com/office/drawing/2015/06/chart">
            <c:ext xmlns:c16="http://schemas.microsoft.com/office/drawing/2014/chart" uri="{C3380CC4-5D6E-409C-BE32-E72D297353CC}">
              <c16:uniqueId val="{00000001-F50C-4234-A669-E75EC551A72B}"/>
            </c:ext>
          </c:extLst>
        </c:ser>
        <c:ser>
          <c:idx val="1"/>
          <c:order val="1"/>
          <c:tx>
            <c:strRef>
              <c:f>'2'!$B$4</c:f>
              <c:strCache>
                <c:ptCount val="1"/>
                <c:pt idx="0">
                  <c:v>Сегмент акции Standard,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'2'!$D$4:$E$4</c:f>
              <c:numCache>
                <c:formatCode>General</c:formatCode>
                <c:ptCount val="2"/>
                <c:pt idx="0">
                  <c:v>59</c:v>
                </c:pt>
                <c:pt idx="1">
                  <c:v>59</c:v>
                </c:pt>
              </c:numCache>
            </c:numRef>
          </c:val>
          <c:extLst xmlns:c16r2="http://schemas.microsoft.com/office/drawing/2015/06/chart">
            <c:ext xmlns:c16="http://schemas.microsoft.com/office/drawing/2014/chart" uri="{C3380CC4-5D6E-409C-BE32-E72D297353CC}">
              <c16:uniqueId val="{00000002-F50C-4234-A669-E75EC551A72B}"/>
            </c:ext>
          </c:extLst>
        </c:ser>
        <c:ser>
          <c:idx val="0"/>
          <c:order val="2"/>
          <c:tx>
            <c:strRef>
              <c:f>'2'!$B$3</c:f>
              <c:strCache>
                <c:ptCount val="1"/>
                <c:pt idx="0">
                  <c:v>Сегмент акции Premium,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'2'!$D$3:$E$3</c:f>
              <c:numCache>
                <c:formatCode>General</c:formatCode>
                <c:ptCount val="2"/>
                <c:pt idx="0">
                  <c:v>7</c:v>
                </c:pt>
                <c:pt idx="1">
                  <c:v>7</c:v>
                </c:pt>
              </c:numCache>
            </c:numRef>
          </c:val>
          <c:extLst xmlns:c16r2="http://schemas.microsoft.com/office/drawing/2015/06/chart">
            <c:ext xmlns:c16="http://schemas.microsoft.com/office/drawing/2014/chart" uri="{C3380CC4-5D6E-409C-BE32-E72D297353CC}">
              <c16:uniqueId val="{00000000-F50C-4234-A669-E75EC551A72B}"/>
            </c:ext>
          </c:extLst>
        </c:ser>
        <c:ser>
          <c:idx val="5"/>
          <c:order val="3"/>
          <c:tx>
            <c:strRef>
              <c:f>'2'!$B$9</c:f>
              <c:strCache>
                <c:ptCount val="1"/>
                <c:pt idx="0">
                  <c:v>Сегмент за облигации,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'2'!$D$9:$E$9</c:f>
              <c:numCache>
                <c:formatCode>General</c:formatCode>
                <c:ptCount val="2"/>
                <c:pt idx="0">
                  <c:v>69</c:v>
                </c:pt>
                <c:pt idx="1">
                  <c:v>70</c:v>
                </c:pt>
              </c:numCache>
            </c:numRef>
          </c:val>
          <c:extLst xmlns:c16r2="http://schemas.microsoft.com/office/drawing/2015/06/chart">
            <c:ext xmlns:c16="http://schemas.microsoft.com/office/drawing/2014/chart" uri="{C3380CC4-5D6E-409C-BE32-E72D297353CC}">
              <c16:uniqueId val="{00000004-F50C-4234-A669-E75EC551A72B}"/>
            </c:ext>
          </c:extLst>
        </c:ser>
        <c:ser>
          <c:idx val="2"/>
          <c:order val="4"/>
          <c:tx>
            <c:strRef>
              <c:f>'2'!$B$5</c:f>
              <c:strCache>
                <c:ptCount val="1"/>
                <c:pt idx="0">
                  <c:v>Сегмент за борсово търгувани продукти,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'2'!$D$5:$E$5</c:f>
              <c:numCache>
                <c:formatCode>General</c:formatCode>
                <c:ptCount val="2"/>
                <c:pt idx="0">
                  <c:v>13</c:v>
                </c:pt>
                <c:pt idx="1">
                  <c:v>14</c:v>
                </c:pt>
              </c:numCache>
            </c:numRef>
          </c:val>
          <c:extLst xmlns:c16r2="http://schemas.microsoft.com/office/drawing/2015/06/chart">
            <c:ext xmlns:c16="http://schemas.microsoft.com/office/drawing/2014/chart" uri="{C3380CC4-5D6E-409C-BE32-E72D297353CC}">
              <c16:uniqueId val="{00000005-F50C-4234-A669-E75EC551A72B}"/>
            </c:ext>
          </c:extLst>
        </c:ser>
        <c:ser>
          <c:idx val="7"/>
          <c:order val="5"/>
          <c:tx>
            <c:strRef>
              <c:f>'2'!$B$12</c:f>
              <c:strCache>
                <c:ptCount val="1"/>
                <c:pt idx="0">
                  <c:v>Сегмент акции, пазар BаSE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'2'!$D$12:$E$12</c:f>
              <c:numCache>
                <c:formatCode>General</c:formatCode>
                <c:ptCount val="2"/>
                <c:pt idx="0">
                  <c:v>143</c:v>
                </c:pt>
                <c:pt idx="1">
                  <c:v>142</c:v>
                </c:pt>
              </c:numCache>
            </c:numRef>
          </c:val>
          <c:extLst xmlns:c16r2="http://schemas.microsoft.com/office/drawing/2015/06/chart">
            <c:ext xmlns:c16="http://schemas.microsoft.com/office/drawing/2014/chart" uri="{C3380CC4-5D6E-409C-BE32-E72D297353CC}">
              <c16:uniqueId val="{00000006-F50C-4234-A669-E75EC551A72B}"/>
            </c:ext>
          </c:extLst>
        </c:ser>
        <c:ser>
          <c:idx val="4"/>
          <c:order val="6"/>
          <c:tx>
            <c:strRef>
              <c:f>'2'!$B$8</c:f>
              <c:strCache>
                <c:ptCount val="1"/>
                <c:pt idx="0">
                  <c:v>Сегмент за компенсаторни инструменти,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'2'!$D$8:$E$8</c:f>
              <c:numCache>
                <c:formatCode>General</c:formatCode>
                <c:ptCount val="2"/>
                <c:pt idx="0">
                  <c:v>3</c:v>
                </c:pt>
                <c:pt idx="1">
                  <c:v>3</c:v>
                </c:pt>
              </c:numCache>
            </c:numRef>
          </c:val>
          <c:extLst xmlns:c16r2="http://schemas.microsoft.com/office/drawing/2015/06/chart">
            <c:ext xmlns:c16="http://schemas.microsoft.com/office/drawing/2014/chart" uri="{C3380CC4-5D6E-409C-BE32-E72D297353CC}">
              <c16:uniqueId val="{00000003-F50C-4234-A669-E75EC551A72B}"/>
            </c:ext>
          </c:extLst>
        </c:ser>
        <c:ser>
          <c:idx val="6"/>
          <c:order val="7"/>
          <c:tx>
            <c:strRef>
              <c:f>'2'!$B$13</c:f>
              <c:strCache>
                <c:ptCount val="1"/>
                <c:pt idx="0">
                  <c:v>Сегмент за АДСИЦ, пазар BаSE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1"/>
              </c:ext>
            </c:extLst>
          </c:dLbls>
          <c:cat>
            <c:numRef>
              <c:f>'2'!$D$2:$E$2</c:f>
              <c:numCache>
                <c:formatCode>d/m/yyyy</c:formatCode>
                <c:ptCount val="2"/>
                <c:pt idx="0">
                  <c:v>43830</c:v>
                </c:pt>
                <c:pt idx="1">
                  <c:v>43921</c:v>
                </c:pt>
              </c:numCache>
            </c:numRef>
          </c:cat>
          <c:val>
            <c:numRef>
              <c:f>'2'!$D$13:$E$13</c:f>
              <c:numCache>
                <c:formatCode>General</c:formatCode>
                <c:ptCount val="2"/>
                <c:pt idx="0">
                  <c:v>43</c:v>
                </c:pt>
                <c:pt idx="1">
                  <c:v>43</c:v>
                </c:pt>
              </c:numCache>
            </c:numRef>
          </c:val>
          <c:extLst xmlns:c16r2="http://schemas.microsoft.com/office/drawing/2015/06/chart">
            <c:ext xmlns:c16="http://schemas.microsoft.com/office/drawing/2014/chart" uri="{C3380CC4-5D6E-409C-BE32-E72D297353CC}">
              <c16:uniqueId val="{00000000-AD09-4B7D-9D28-E15A18B3D5BA}"/>
            </c:ext>
          </c:extLst>
        </c:ser>
        <c:ser>
          <c:idx val="9"/>
          <c:order val="8"/>
          <c:tx>
            <c:strRef>
              <c:f>'2'!$B$11</c:f>
              <c:strCache>
                <c:ptCount val="1"/>
                <c:pt idx="0">
                  <c:v>Сегмент за права,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43830</c:v>
                </c:pt>
                <c:pt idx="1">
                  <c:v>43921</c:v>
                </c:pt>
              </c:numCache>
            </c:numRef>
          </c:cat>
          <c:val>
            <c:numRef>
              <c:f>'2'!$D$11:$E$11</c:f>
              <c:numCache>
                <c:formatCode>General</c:formatCode>
                <c:ptCount val="2"/>
                <c:pt idx="0">
                  <c:v>1</c:v>
                </c:pt>
                <c:pt idx="1">
                  <c:v>2</c:v>
                </c:pt>
              </c:numCache>
            </c:numRef>
          </c:val>
          <c:extLst xmlns:c16r2="http://schemas.microsoft.com/office/drawing/2015/06/chart">
            <c:ext xmlns:c16="http://schemas.microsoft.com/office/drawing/2014/chart" uri="{C3380CC4-5D6E-409C-BE32-E72D297353CC}">
              <c16:uniqueId val="{00000007-F50C-4234-A669-E75EC551A72B}"/>
            </c:ext>
          </c:extLst>
        </c:ser>
        <c:ser>
          <c:idx val="8"/>
          <c:order val="9"/>
          <c:tx>
            <c:strRef>
              <c:f>'2'!$B$7</c:f>
              <c:strCache>
                <c:ptCount val="1"/>
                <c:pt idx="0">
                  <c:v>Сегмент за ДЦК, пазар BSE</c:v>
                </c:pt>
              </c:strCache>
            </c:strRef>
          </c:tx>
          <c:dLbls>
            <c:spPr>
              <a:noFill/>
              <a:ln>
                <a:noFill/>
              </a:ln>
              <a:effectLst/>
            </c:spPr>
            <c:showVal val="1"/>
            <c:extLst xmlns:c16r2="http://schemas.microsoft.com/office/drawing/2015/06/chart">
              <c:ext xmlns:c15="http://schemas.microsoft.com/office/drawing/2012/chart" uri="{CE6537A1-D6FC-4f65-9D91-7224C49458BB}">
                <c15:showLeaderLines val="1"/>
              </c:ext>
            </c:extLst>
          </c:dLbls>
          <c:cat>
            <c:numRef>
              <c:f>'2'!$D$2:$E$2</c:f>
              <c:numCache>
                <c:formatCode>d/m/yyyy</c:formatCode>
                <c:ptCount val="2"/>
                <c:pt idx="0">
                  <c:v>43830</c:v>
                </c:pt>
                <c:pt idx="1">
                  <c:v>43921</c:v>
                </c:pt>
              </c:numCache>
            </c:numRef>
          </c:cat>
          <c:val>
            <c:numRef>
              <c:f>'2'!$D$7:$E$7</c:f>
              <c:numCache>
                <c:formatCode>General</c:formatCode>
                <c:ptCount val="2"/>
                <c:pt idx="0">
                  <c:v>17</c:v>
                </c:pt>
                <c:pt idx="1">
                  <c:v>16</c:v>
                </c:pt>
              </c:numCache>
            </c:numRef>
          </c:val>
          <c:extLst xmlns:c16r2="http://schemas.microsoft.com/office/drawing/2015/06/chart">
            <c:ext xmlns:c16="http://schemas.microsoft.com/office/drawing/2014/chart" uri="{C3380CC4-5D6E-409C-BE32-E72D297353CC}">
              <c16:uniqueId val="{00000001-AD09-4B7D-9D28-E15A18B3D5BA}"/>
            </c:ext>
          </c:extLst>
        </c:ser>
        <c:overlap val="100"/>
        <c:axId val="89146880"/>
        <c:axId val="89148416"/>
      </c:barChart>
      <c:catAx>
        <c:axId val="89146880"/>
        <c:scaling>
          <c:orientation val="minMax"/>
        </c:scaling>
        <c:axPos val="b"/>
        <c:numFmt formatCode="d/m/yyyy" sourceLinked="1"/>
        <c:tickLblPos val="nextTo"/>
        <c:crossAx val="89148416"/>
        <c:crosses val="autoZero"/>
        <c:lblAlgn val="ctr"/>
        <c:lblOffset val="100"/>
      </c:catAx>
      <c:valAx>
        <c:axId val="89148416"/>
        <c:scaling>
          <c:orientation val="minMax"/>
          <c:max val="420"/>
        </c:scaling>
        <c:axPos val="l"/>
        <c:majorGridlines/>
        <c:numFmt formatCode="General" sourceLinked="1"/>
        <c:tickLblPos val="nextTo"/>
        <c:crossAx val="89146880"/>
        <c:crosses val="autoZero"/>
        <c:crossBetween val="between"/>
        <c:majorUnit val="30"/>
      </c:valAx>
    </c:plotArea>
    <c:legend>
      <c:legendPos val="t"/>
    </c:legend>
    <c:plotVisOnly val="1"/>
    <c:dispBlanksAs val="gap"/>
  </c:chart>
  <c:spPr>
    <a:ln>
      <a:noFill/>
    </a:ln>
  </c:spPr>
  <c:txPr>
    <a:bodyPr/>
    <a:lstStyle/>
    <a:p>
      <a:pPr>
        <a:defRPr sz="600">
          <a:latin typeface="+mn-lt"/>
        </a:defRPr>
      </a:pPr>
      <a:endParaRPr lang="bg-BG"/>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8.0651338497133768E-2"/>
          <c:y val="2.5236565556365612E-2"/>
          <c:w val="0.88961282875404857"/>
          <c:h val="0.8407231814870495"/>
        </c:manualLayout>
      </c:layout>
      <c:areaChart>
        <c:grouping val="standard"/>
        <c:ser>
          <c:idx val="0"/>
          <c:order val="0"/>
          <c:spPr>
            <a:pattFill prst="pct70">
              <a:fgClr>
                <a:schemeClr val="accent1"/>
              </a:fgClr>
              <a:bgClr>
                <a:schemeClr val="bg1"/>
              </a:bgClr>
            </a:pattFill>
          </c:spPr>
          <c:cat>
            <c:numRef>
              <c:f>'5 index'!$D$18:$D$143</c:f>
              <c:numCache>
                <c:formatCode>d/m/yyyy</c:formatCode>
                <c:ptCount val="126"/>
                <c:pt idx="0">
                  <c:v>43739.71875</c:v>
                </c:pt>
                <c:pt idx="1">
                  <c:v>43740.71875</c:v>
                </c:pt>
                <c:pt idx="2">
                  <c:v>43741.71875</c:v>
                </c:pt>
                <c:pt idx="3">
                  <c:v>43742.71875</c:v>
                </c:pt>
                <c:pt idx="4">
                  <c:v>43745.71875</c:v>
                </c:pt>
                <c:pt idx="5">
                  <c:v>43746.71875</c:v>
                </c:pt>
                <c:pt idx="6">
                  <c:v>43747.71875</c:v>
                </c:pt>
                <c:pt idx="7">
                  <c:v>43748.71875</c:v>
                </c:pt>
                <c:pt idx="8">
                  <c:v>43749.71875</c:v>
                </c:pt>
                <c:pt idx="9">
                  <c:v>43752.71875</c:v>
                </c:pt>
                <c:pt idx="10">
                  <c:v>43753.71875</c:v>
                </c:pt>
                <c:pt idx="11">
                  <c:v>43754.71875</c:v>
                </c:pt>
                <c:pt idx="12">
                  <c:v>43755.71875</c:v>
                </c:pt>
                <c:pt idx="13">
                  <c:v>43756.71875</c:v>
                </c:pt>
                <c:pt idx="14">
                  <c:v>43759.71875</c:v>
                </c:pt>
                <c:pt idx="15">
                  <c:v>43760.71875</c:v>
                </c:pt>
                <c:pt idx="16">
                  <c:v>43761.71875</c:v>
                </c:pt>
                <c:pt idx="17">
                  <c:v>43762.71875</c:v>
                </c:pt>
                <c:pt idx="18">
                  <c:v>43763.71875</c:v>
                </c:pt>
                <c:pt idx="19">
                  <c:v>43766.71875</c:v>
                </c:pt>
                <c:pt idx="20">
                  <c:v>43767.71875</c:v>
                </c:pt>
                <c:pt idx="21">
                  <c:v>43768.71875</c:v>
                </c:pt>
                <c:pt idx="22">
                  <c:v>43769.71875</c:v>
                </c:pt>
                <c:pt idx="23">
                  <c:v>43770.71875</c:v>
                </c:pt>
                <c:pt idx="24">
                  <c:v>43773.71875</c:v>
                </c:pt>
                <c:pt idx="25">
                  <c:v>43774.71875</c:v>
                </c:pt>
                <c:pt idx="26">
                  <c:v>43775.71875</c:v>
                </c:pt>
                <c:pt idx="27">
                  <c:v>43776.71875</c:v>
                </c:pt>
                <c:pt idx="28">
                  <c:v>43777.71875</c:v>
                </c:pt>
                <c:pt idx="29">
                  <c:v>43780.71875</c:v>
                </c:pt>
                <c:pt idx="30">
                  <c:v>43781.71875</c:v>
                </c:pt>
                <c:pt idx="31">
                  <c:v>43782.71875</c:v>
                </c:pt>
                <c:pt idx="32">
                  <c:v>43783.71875</c:v>
                </c:pt>
                <c:pt idx="33">
                  <c:v>43784.71875</c:v>
                </c:pt>
                <c:pt idx="34">
                  <c:v>43787.71875</c:v>
                </c:pt>
                <c:pt idx="35">
                  <c:v>43788.71875</c:v>
                </c:pt>
                <c:pt idx="36">
                  <c:v>43789.71875</c:v>
                </c:pt>
                <c:pt idx="37">
                  <c:v>43790.71875</c:v>
                </c:pt>
                <c:pt idx="38">
                  <c:v>43791.71875</c:v>
                </c:pt>
                <c:pt idx="39">
                  <c:v>43794.71875</c:v>
                </c:pt>
                <c:pt idx="40">
                  <c:v>43795.71875</c:v>
                </c:pt>
                <c:pt idx="41">
                  <c:v>43796.71875</c:v>
                </c:pt>
                <c:pt idx="42">
                  <c:v>43797.71875</c:v>
                </c:pt>
                <c:pt idx="43">
                  <c:v>43798.71875</c:v>
                </c:pt>
                <c:pt idx="44">
                  <c:v>43801.71875</c:v>
                </c:pt>
                <c:pt idx="45">
                  <c:v>43802.71875</c:v>
                </c:pt>
                <c:pt idx="46">
                  <c:v>43803.71875</c:v>
                </c:pt>
                <c:pt idx="47">
                  <c:v>43804.71875</c:v>
                </c:pt>
                <c:pt idx="48">
                  <c:v>43805.71875</c:v>
                </c:pt>
                <c:pt idx="49">
                  <c:v>43808.71875</c:v>
                </c:pt>
                <c:pt idx="50">
                  <c:v>43809.71875</c:v>
                </c:pt>
                <c:pt idx="51">
                  <c:v>43810.71875</c:v>
                </c:pt>
                <c:pt idx="52">
                  <c:v>43811.71875</c:v>
                </c:pt>
                <c:pt idx="53">
                  <c:v>43812.71875</c:v>
                </c:pt>
                <c:pt idx="54">
                  <c:v>43815.71875</c:v>
                </c:pt>
                <c:pt idx="55">
                  <c:v>43816.71875</c:v>
                </c:pt>
                <c:pt idx="56">
                  <c:v>43817.71875</c:v>
                </c:pt>
                <c:pt idx="57">
                  <c:v>43818.71875</c:v>
                </c:pt>
                <c:pt idx="58">
                  <c:v>43819.71875</c:v>
                </c:pt>
                <c:pt idx="59">
                  <c:v>43822.71875</c:v>
                </c:pt>
                <c:pt idx="60">
                  <c:v>43826.71875</c:v>
                </c:pt>
                <c:pt idx="61">
                  <c:v>43829.71875</c:v>
                </c:pt>
                <c:pt idx="62">
                  <c:v>43832.71875</c:v>
                </c:pt>
                <c:pt idx="63">
                  <c:v>43833.71875</c:v>
                </c:pt>
                <c:pt idx="64">
                  <c:v>43836.71875</c:v>
                </c:pt>
                <c:pt idx="65">
                  <c:v>43837.71875</c:v>
                </c:pt>
                <c:pt idx="66">
                  <c:v>43838.71875</c:v>
                </c:pt>
                <c:pt idx="67">
                  <c:v>43839.71875</c:v>
                </c:pt>
                <c:pt idx="68">
                  <c:v>43840.71875</c:v>
                </c:pt>
                <c:pt idx="69">
                  <c:v>43843.71875</c:v>
                </c:pt>
                <c:pt idx="70">
                  <c:v>43844.71875</c:v>
                </c:pt>
                <c:pt idx="71">
                  <c:v>43845.71875</c:v>
                </c:pt>
                <c:pt idx="72">
                  <c:v>43846.71875</c:v>
                </c:pt>
                <c:pt idx="73">
                  <c:v>43847.71875</c:v>
                </c:pt>
                <c:pt idx="74">
                  <c:v>43850.71875</c:v>
                </c:pt>
                <c:pt idx="75">
                  <c:v>43851.71875</c:v>
                </c:pt>
                <c:pt idx="76">
                  <c:v>43852.71875</c:v>
                </c:pt>
                <c:pt idx="77">
                  <c:v>43853.71875</c:v>
                </c:pt>
                <c:pt idx="78">
                  <c:v>43854.71875</c:v>
                </c:pt>
                <c:pt idx="79">
                  <c:v>43857.71875</c:v>
                </c:pt>
                <c:pt idx="80">
                  <c:v>43858.71875</c:v>
                </c:pt>
                <c:pt idx="81">
                  <c:v>43859.71875</c:v>
                </c:pt>
                <c:pt idx="82">
                  <c:v>43860.71875</c:v>
                </c:pt>
                <c:pt idx="83">
                  <c:v>43861.71875</c:v>
                </c:pt>
                <c:pt idx="84">
                  <c:v>43864.71875</c:v>
                </c:pt>
                <c:pt idx="85">
                  <c:v>43865.71875</c:v>
                </c:pt>
                <c:pt idx="86">
                  <c:v>43866.71875</c:v>
                </c:pt>
                <c:pt idx="87">
                  <c:v>43867.71875</c:v>
                </c:pt>
                <c:pt idx="88">
                  <c:v>43868.71875</c:v>
                </c:pt>
                <c:pt idx="89">
                  <c:v>43871.71875</c:v>
                </c:pt>
                <c:pt idx="90">
                  <c:v>43872.71875</c:v>
                </c:pt>
                <c:pt idx="91">
                  <c:v>43873.71875</c:v>
                </c:pt>
                <c:pt idx="92">
                  <c:v>43874.71875</c:v>
                </c:pt>
                <c:pt idx="93">
                  <c:v>43875.71875</c:v>
                </c:pt>
                <c:pt idx="94">
                  <c:v>43878.71875</c:v>
                </c:pt>
                <c:pt idx="95">
                  <c:v>43879.71875</c:v>
                </c:pt>
                <c:pt idx="96">
                  <c:v>43880.71875</c:v>
                </c:pt>
                <c:pt idx="97">
                  <c:v>43881.71875</c:v>
                </c:pt>
                <c:pt idx="98">
                  <c:v>43882.71875</c:v>
                </c:pt>
                <c:pt idx="99">
                  <c:v>43885.71875</c:v>
                </c:pt>
                <c:pt idx="100">
                  <c:v>43886.71875</c:v>
                </c:pt>
                <c:pt idx="101">
                  <c:v>43887.71875</c:v>
                </c:pt>
                <c:pt idx="102">
                  <c:v>43888.71875</c:v>
                </c:pt>
                <c:pt idx="103">
                  <c:v>43889.71875</c:v>
                </c:pt>
                <c:pt idx="104">
                  <c:v>43892.71875</c:v>
                </c:pt>
                <c:pt idx="105">
                  <c:v>43894.71875</c:v>
                </c:pt>
                <c:pt idx="106">
                  <c:v>43895.71875</c:v>
                </c:pt>
                <c:pt idx="107">
                  <c:v>43896.71875</c:v>
                </c:pt>
                <c:pt idx="108">
                  <c:v>43899.71875</c:v>
                </c:pt>
                <c:pt idx="109">
                  <c:v>43900.71875</c:v>
                </c:pt>
                <c:pt idx="110">
                  <c:v>43901.71875</c:v>
                </c:pt>
                <c:pt idx="111">
                  <c:v>43902.71875</c:v>
                </c:pt>
                <c:pt idx="112">
                  <c:v>43903.71875</c:v>
                </c:pt>
                <c:pt idx="113">
                  <c:v>43906.71875</c:v>
                </c:pt>
                <c:pt idx="114">
                  <c:v>43907.71875</c:v>
                </c:pt>
                <c:pt idx="115">
                  <c:v>43908.71875</c:v>
                </c:pt>
                <c:pt idx="116">
                  <c:v>43909.71875</c:v>
                </c:pt>
                <c:pt idx="117">
                  <c:v>43910.71875</c:v>
                </c:pt>
                <c:pt idx="118">
                  <c:v>43913.71875</c:v>
                </c:pt>
                <c:pt idx="119">
                  <c:v>43914.71875</c:v>
                </c:pt>
                <c:pt idx="120">
                  <c:v>43915.71875</c:v>
                </c:pt>
                <c:pt idx="121">
                  <c:v>43916.71875</c:v>
                </c:pt>
                <c:pt idx="122">
                  <c:v>43917.71875</c:v>
                </c:pt>
                <c:pt idx="123">
                  <c:v>43920.71875</c:v>
                </c:pt>
                <c:pt idx="124">
                  <c:v>43921.71875</c:v>
                </c:pt>
              </c:numCache>
            </c:numRef>
          </c:cat>
          <c:val>
            <c:numRef>
              <c:f>'5 index'!$E$18:$E$143</c:f>
              <c:numCache>
                <c:formatCode>General</c:formatCode>
                <c:ptCount val="126"/>
                <c:pt idx="0">
                  <c:v>569.31999999999948</c:v>
                </c:pt>
                <c:pt idx="1">
                  <c:v>568.53</c:v>
                </c:pt>
                <c:pt idx="2">
                  <c:v>565.9</c:v>
                </c:pt>
                <c:pt idx="3">
                  <c:v>563.02</c:v>
                </c:pt>
                <c:pt idx="4">
                  <c:v>563.12</c:v>
                </c:pt>
                <c:pt idx="5">
                  <c:v>561.04999999999939</c:v>
                </c:pt>
                <c:pt idx="6">
                  <c:v>559.26</c:v>
                </c:pt>
                <c:pt idx="7">
                  <c:v>557.43999999999949</c:v>
                </c:pt>
                <c:pt idx="8">
                  <c:v>562.11</c:v>
                </c:pt>
                <c:pt idx="9">
                  <c:v>561.77000000000055</c:v>
                </c:pt>
                <c:pt idx="10">
                  <c:v>561.47</c:v>
                </c:pt>
                <c:pt idx="11">
                  <c:v>560.07000000000005</c:v>
                </c:pt>
                <c:pt idx="12">
                  <c:v>563.66999999999996</c:v>
                </c:pt>
                <c:pt idx="13">
                  <c:v>564.82999999999947</c:v>
                </c:pt>
                <c:pt idx="14">
                  <c:v>565.19000000000005</c:v>
                </c:pt>
                <c:pt idx="15">
                  <c:v>564.22</c:v>
                </c:pt>
                <c:pt idx="16">
                  <c:v>559.55999999999949</c:v>
                </c:pt>
                <c:pt idx="17">
                  <c:v>561</c:v>
                </c:pt>
                <c:pt idx="18">
                  <c:v>561.41</c:v>
                </c:pt>
                <c:pt idx="19">
                  <c:v>560.16</c:v>
                </c:pt>
                <c:pt idx="20">
                  <c:v>556.28000000000054</c:v>
                </c:pt>
                <c:pt idx="21">
                  <c:v>555.85999999999797</c:v>
                </c:pt>
                <c:pt idx="22">
                  <c:v>556.83999999999946</c:v>
                </c:pt>
                <c:pt idx="23">
                  <c:v>554.64</c:v>
                </c:pt>
                <c:pt idx="24">
                  <c:v>554.9</c:v>
                </c:pt>
                <c:pt idx="25">
                  <c:v>553.05999999999949</c:v>
                </c:pt>
                <c:pt idx="26">
                  <c:v>557.82999999999947</c:v>
                </c:pt>
                <c:pt idx="27">
                  <c:v>558.87</c:v>
                </c:pt>
                <c:pt idx="28">
                  <c:v>560.59</c:v>
                </c:pt>
                <c:pt idx="29">
                  <c:v>557.77000000000055</c:v>
                </c:pt>
                <c:pt idx="30">
                  <c:v>558.24</c:v>
                </c:pt>
                <c:pt idx="31">
                  <c:v>558.73</c:v>
                </c:pt>
                <c:pt idx="32">
                  <c:v>558.79999999999995</c:v>
                </c:pt>
                <c:pt idx="33">
                  <c:v>553.88</c:v>
                </c:pt>
                <c:pt idx="34">
                  <c:v>555.77000000000055</c:v>
                </c:pt>
                <c:pt idx="35">
                  <c:v>554.4</c:v>
                </c:pt>
                <c:pt idx="36">
                  <c:v>550.98</c:v>
                </c:pt>
                <c:pt idx="37">
                  <c:v>550</c:v>
                </c:pt>
                <c:pt idx="38">
                  <c:v>551.22</c:v>
                </c:pt>
                <c:pt idx="39">
                  <c:v>548.62</c:v>
                </c:pt>
                <c:pt idx="40">
                  <c:v>545.79000000000053</c:v>
                </c:pt>
                <c:pt idx="41">
                  <c:v>543.98</c:v>
                </c:pt>
                <c:pt idx="42">
                  <c:v>543.35999999999797</c:v>
                </c:pt>
                <c:pt idx="43">
                  <c:v>546.57000000000005</c:v>
                </c:pt>
                <c:pt idx="44">
                  <c:v>547.81999999999948</c:v>
                </c:pt>
                <c:pt idx="45">
                  <c:v>544.24</c:v>
                </c:pt>
                <c:pt idx="46">
                  <c:v>543.55999999999949</c:v>
                </c:pt>
                <c:pt idx="47">
                  <c:v>544.03</c:v>
                </c:pt>
                <c:pt idx="48">
                  <c:v>546.61</c:v>
                </c:pt>
                <c:pt idx="49">
                  <c:v>547.83999999999946</c:v>
                </c:pt>
                <c:pt idx="50">
                  <c:v>546.07000000000005</c:v>
                </c:pt>
                <c:pt idx="51">
                  <c:v>542.95999999999947</c:v>
                </c:pt>
                <c:pt idx="52">
                  <c:v>543.5</c:v>
                </c:pt>
                <c:pt idx="53">
                  <c:v>543.91999999999996</c:v>
                </c:pt>
                <c:pt idx="54">
                  <c:v>545.84999999999798</c:v>
                </c:pt>
                <c:pt idx="55">
                  <c:v>541.33999999999946</c:v>
                </c:pt>
                <c:pt idx="56">
                  <c:v>548.04</c:v>
                </c:pt>
                <c:pt idx="57">
                  <c:v>555.23</c:v>
                </c:pt>
                <c:pt idx="58">
                  <c:v>548.24</c:v>
                </c:pt>
                <c:pt idx="59">
                  <c:v>562.95999999999947</c:v>
                </c:pt>
                <c:pt idx="60">
                  <c:v>561.73</c:v>
                </c:pt>
                <c:pt idx="61">
                  <c:v>568.14</c:v>
                </c:pt>
                <c:pt idx="62">
                  <c:v>568.25</c:v>
                </c:pt>
                <c:pt idx="63">
                  <c:v>568.6</c:v>
                </c:pt>
                <c:pt idx="64">
                  <c:v>570.65</c:v>
                </c:pt>
                <c:pt idx="65">
                  <c:v>566.16999999999996</c:v>
                </c:pt>
                <c:pt idx="66">
                  <c:v>575.75</c:v>
                </c:pt>
                <c:pt idx="67">
                  <c:v>577.72</c:v>
                </c:pt>
                <c:pt idx="68">
                  <c:v>579.24</c:v>
                </c:pt>
                <c:pt idx="69">
                  <c:v>578.16</c:v>
                </c:pt>
                <c:pt idx="70">
                  <c:v>580.1</c:v>
                </c:pt>
                <c:pt idx="71">
                  <c:v>581.33999999999946</c:v>
                </c:pt>
                <c:pt idx="72">
                  <c:v>581.80999999999949</c:v>
                </c:pt>
                <c:pt idx="73">
                  <c:v>580.1</c:v>
                </c:pt>
                <c:pt idx="74">
                  <c:v>585.73</c:v>
                </c:pt>
                <c:pt idx="75">
                  <c:v>585.28000000000054</c:v>
                </c:pt>
                <c:pt idx="76">
                  <c:v>584.9</c:v>
                </c:pt>
                <c:pt idx="77">
                  <c:v>583.41</c:v>
                </c:pt>
                <c:pt idx="78">
                  <c:v>582.80999999999949</c:v>
                </c:pt>
                <c:pt idx="79">
                  <c:v>579.49</c:v>
                </c:pt>
                <c:pt idx="80">
                  <c:v>578.04999999999939</c:v>
                </c:pt>
                <c:pt idx="81">
                  <c:v>576.51</c:v>
                </c:pt>
                <c:pt idx="82">
                  <c:v>574.27000000000055</c:v>
                </c:pt>
                <c:pt idx="83">
                  <c:v>575.87</c:v>
                </c:pt>
                <c:pt idx="84">
                  <c:v>573.95999999999947</c:v>
                </c:pt>
                <c:pt idx="85">
                  <c:v>575.15</c:v>
                </c:pt>
                <c:pt idx="86">
                  <c:v>570.35999999999797</c:v>
                </c:pt>
                <c:pt idx="87">
                  <c:v>570.04999999999939</c:v>
                </c:pt>
                <c:pt idx="88">
                  <c:v>569.62</c:v>
                </c:pt>
                <c:pt idx="89">
                  <c:v>570.41999999999996</c:v>
                </c:pt>
                <c:pt idx="90">
                  <c:v>570.66999999999996</c:v>
                </c:pt>
                <c:pt idx="91">
                  <c:v>568.66999999999996</c:v>
                </c:pt>
                <c:pt idx="92">
                  <c:v>563.45999999999947</c:v>
                </c:pt>
                <c:pt idx="93">
                  <c:v>558.70000000000005</c:v>
                </c:pt>
                <c:pt idx="94">
                  <c:v>560.47</c:v>
                </c:pt>
                <c:pt idx="95">
                  <c:v>550.97</c:v>
                </c:pt>
                <c:pt idx="96">
                  <c:v>548.91</c:v>
                </c:pt>
                <c:pt idx="97">
                  <c:v>548.03</c:v>
                </c:pt>
                <c:pt idx="98">
                  <c:v>552.24</c:v>
                </c:pt>
                <c:pt idx="99">
                  <c:v>550.43999999999949</c:v>
                </c:pt>
                <c:pt idx="100">
                  <c:v>545.01</c:v>
                </c:pt>
                <c:pt idx="101">
                  <c:v>546.39</c:v>
                </c:pt>
                <c:pt idx="102">
                  <c:v>548.71</c:v>
                </c:pt>
                <c:pt idx="103">
                  <c:v>550.25</c:v>
                </c:pt>
                <c:pt idx="104">
                  <c:v>546.75</c:v>
                </c:pt>
                <c:pt idx="105">
                  <c:v>543.21</c:v>
                </c:pt>
                <c:pt idx="106">
                  <c:v>536.4</c:v>
                </c:pt>
                <c:pt idx="107">
                  <c:v>529.92999999999938</c:v>
                </c:pt>
                <c:pt idx="108">
                  <c:v>475.63</c:v>
                </c:pt>
                <c:pt idx="109">
                  <c:v>494.81</c:v>
                </c:pt>
                <c:pt idx="110">
                  <c:v>495.12</c:v>
                </c:pt>
                <c:pt idx="111">
                  <c:v>457.61</c:v>
                </c:pt>
                <c:pt idx="112">
                  <c:v>447.95</c:v>
                </c:pt>
                <c:pt idx="113">
                  <c:v>423.96</c:v>
                </c:pt>
                <c:pt idx="114">
                  <c:v>422.4</c:v>
                </c:pt>
                <c:pt idx="115">
                  <c:v>416.39</c:v>
                </c:pt>
                <c:pt idx="116">
                  <c:v>405.8</c:v>
                </c:pt>
                <c:pt idx="117">
                  <c:v>413.03</c:v>
                </c:pt>
                <c:pt idx="118">
                  <c:v>406.9</c:v>
                </c:pt>
                <c:pt idx="119">
                  <c:v>418.88</c:v>
                </c:pt>
                <c:pt idx="120">
                  <c:v>426.13</c:v>
                </c:pt>
                <c:pt idx="121" formatCode="#,##0.00">
                  <c:v>423.07</c:v>
                </c:pt>
                <c:pt idx="122" formatCode="#,##0.00">
                  <c:v>421.68</c:v>
                </c:pt>
                <c:pt idx="123" formatCode="#,##0.00">
                  <c:v>420.07</c:v>
                </c:pt>
                <c:pt idx="124" formatCode="#,##0.00">
                  <c:v>419.35</c:v>
                </c:pt>
              </c:numCache>
            </c:numRef>
          </c:val>
          <c:extLst xmlns:c16r2="http://schemas.microsoft.com/office/drawing/2015/06/chart">
            <c:ext xmlns:c16="http://schemas.microsoft.com/office/drawing/2014/chart" uri="{C3380CC4-5D6E-409C-BE32-E72D297353CC}">
              <c16:uniqueId val="{00000000-98C0-4B21-8FB5-1643A82395D2}"/>
            </c:ext>
          </c:extLst>
        </c:ser>
        <c:axId val="89193088"/>
        <c:axId val="89194880"/>
      </c:areaChart>
      <c:dateAx>
        <c:axId val="89193088"/>
        <c:scaling>
          <c:orientation val="minMax"/>
        </c:scaling>
        <c:axPos val="b"/>
        <c:numFmt formatCode="dd/mm" sourceLinked="0"/>
        <c:tickLblPos val="nextTo"/>
        <c:crossAx val="89194880"/>
        <c:crosses val="autoZero"/>
        <c:lblOffset val="100"/>
        <c:baseTimeUnit val="days"/>
        <c:majorUnit val="7"/>
        <c:majorTimeUnit val="days"/>
      </c:dateAx>
      <c:valAx>
        <c:axId val="89194880"/>
        <c:scaling>
          <c:orientation val="minMax"/>
          <c:max val="600"/>
          <c:min val="400"/>
        </c:scaling>
        <c:axPos val="l"/>
        <c:majorGridlines/>
        <c:numFmt formatCode="#,##0" sourceLinked="0"/>
        <c:tickLblPos val="nextTo"/>
        <c:crossAx val="89193088"/>
        <c:crosses val="autoZero"/>
        <c:crossBetween val="midCat"/>
      </c:valAx>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bg-BG"/>
  <c:chart>
    <c:autoTitleDeleted val="1"/>
    <c:plotArea>
      <c:layout>
        <c:manualLayout>
          <c:layoutTarget val="inner"/>
          <c:xMode val="edge"/>
          <c:yMode val="edge"/>
          <c:x val="8.0651338497133768E-2"/>
          <c:y val="2.5236565556365612E-2"/>
          <c:w val="0.88961282875404857"/>
          <c:h val="0.8407231814870495"/>
        </c:manualLayout>
      </c:layout>
      <c:areaChart>
        <c:grouping val="standard"/>
        <c:ser>
          <c:idx val="0"/>
          <c:order val="0"/>
          <c:tx>
            <c:strRef>
              <c:f>'5 index'!$M$17</c:f>
              <c:strCache>
                <c:ptCount val="1"/>
                <c:pt idx="0">
                  <c:v>BGTR30</c:v>
                </c:pt>
              </c:strCache>
            </c:strRef>
          </c:tx>
          <c:spPr>
            <a:pattFill prst="pct75">
              <a:fgClr>
                <a:schemeClr val="accent6"/>
              </a:fgClr>
              <a:bgClr>
                <a:schemeClr val="bg1"/>
              </a:bgClr>
            </a:pattFill>
          </c:spPr>
          <c:cat>
            <c:numRef>
              <c:f>'5 index'!$N$18:$N$143</c:f>
              <c:numCache>
                <c:formatCode>d/m/yyyy</c:formatCode>
                <c:ptCount val="126"/>
                <c:pt idx="0">
                  <c:v>43739.71875</c:v>
                </c:pt>
                <c:pt idx="1">
                  <c:v>43740.71875</c:v>
                </c:pt>
                <c:pt idx="2">
                  <c:v>43741.71875</c:v>
                </c:pt>
                <c:pt idx="3">
                  <c:v>43742.71875</c:v>
                </c:pt>
                <c:pt idx="4">
                  <c:v>43745.71875</c:v>
                </c:pt>
                <c:pt idx="5">
                  <c:v>43746.71875</c:v>
                </c:pt>
                <c:pt idx="6">
                  <c:v>43747.71875</c:v>
                </c:pt>
                <c:pt idx="7">
                  <c:v>43748.71875</c:v>
                </c:pt>
                <c:pt idx="8">
                  <c:v>43749.71875</c:v>
                </c:pt>
                <c:pt idx="9">
                  <c:v>43752.71875</c:v>
                </c:pt>
                <c:pt idx="10">
                  <c:v>43753.71875</c:v>
                </c:pt>
                <c:pt idx="11">
                  <c:v>43754.71875</c:v>
                </c:pt>
                <c:pt idx="12">
                  <c:v>43755.71875</c:v>
                </c:pt>
                <c:pt idx="13">
                  <c:v>43756.71875</c:v>
                </c:pt>
                <c:pt idx="14">
                  <c:v>43759.71875</c:v>
                </c:pt>
                <c:pt idx="15">
                  <c:v>43760.71875</c:v>
                </c:pt>
                <c:pt idx="16">
                  <c:v>43761.71875</c:v>
                </c:pt>
                <c:pt idx="17">
                  <c:v>43762.71875</c:v>
                </c:pt>
                <c:pt idx="18">
                  <c:v>43763.71875</c:v>
                </c:pt>
                <c:pt idx="19">
                  <c:v>43766.71875</c:v>
                </c:pt>
                <c:pt idx="20">
                  <c:v>43767.71875</c:v>
                </c:pt>
                <c:pt idx="21">
                  <c:v>43768.71875</c:v>
                </c:pt>
                <c:pt idx="22">
                  <c:v>43769.71875</c:v>
                </c:pt>
                <c:pt idx="23">
                  <c:v>43770.71875</c:v>
                </c:pt>
                <c:pt idx="24">
                  <c:v>43773.71875</c:v>
                </c:pt>
                <c:pt idx="25">
                  <c:v>43774.71875</c:v>
                </c:pt>
                <c:pt idx="26">
                  <c:v>43775.71875</c:v>
                </c:pt>
                <c:pt idx="27">
                  <c:v>43776.71875</c:v>
                </c:pt>
                <c:pt idx="28">
                  <c:v>43777.71875</c:v>
                </c:pt>
                <c:pt idx="29">
                  <c:v>43780.71875</c:v>
                </c:pt>
                <c:pt idx="30">
                  <c:v>43781.71875</c:v>
                </c:pt>
                <c:pt idx="31">
                  <c:v>43782.71875</c:v>
                </c:pt>
                <c:pt idx="32">
                  <c:v>43783.71875</c:v>
                </c:pt>
                <c:pt idx="33">
                  <c:v>43784.71875</c:v>
                </c:pt>
                <c:pt idx="34">
                  <c:v>43787.71875</c:v>
                </c:pt>
                <c:pt idx="35">
                  <c:v>43788.71875</c:v>
                </c:pt>
                <c:pt idx="36">
                  <c:v>43789.71875</c:v>
                </c:pt>
                <c:pt idx="37">
                  <c:v>43790.71875</c:v>
                </c:pt>
                <c:pt idx="38">
                  <c:v>43791.71875</c:v>
                </c:pt>
                <c:pt idx="39">
                  <c:v>43794.71875</c:v>
                </c:pt>
                <c:pt idx="40">
                  <c:v>43795.71875</c:v>
                </c:pt>
                <c:pt idx="41">
                  <c:v>43796.71875</c:v>
                </c:pt>
                <c:pt idx="42">
                  <c:v>43797.71875</c:v>
                </c:pt>
                <c:pt idx="43">
                  <c:v>43798.71875</c:v>
                </c:pt>
                <c:pt idx="44">
                  <c:v>43801.71875</c:v>
                </c:pt>
                <c:pt idx="45">
                  <c:v>43802.71875</c:v>
                </c:pt>
                <c:pt idx="46">
                  <c:v>43803.71875</c:v>
                </c:pt>
                <c:pt idx="47">
                  <c:v>43804.71875</c:v>
                </c:pt>
                <c:pt idx="48">
                  <c:v>43805.71875</c:v>
                </c:pt>
                <c:pt idx="49">
                  <c:v>43808.71875</c:v>
                </c:pt>
                <c:pt idx="50">
                  <c:v>43809.71875</c:v>
                </c:pt>
                <c:pt idx="51">
                  <c:v>43810.71875</c:v>
                </c:pt>
                <c:pt idx="52">
                  <c:v>43811.71875</c:v>
                </c:pt>
                <c:pt idx="53">
                  <c:v>43812.71875</c:v>
                </c:pt>
                <c:pt idx="54">
                  <c:v>43815.71875</c:v>
                </c:pt>
                <c:pt idx="55">
                  <c:v>43816.71875</c:v>
                </c:pt>
                <c:pt idx="56">
                  <c:v>43817.71875</c:v>
                </c:pt>
                <c:pt idx="57">
                  <c:v>43818.71875</c:v>
                </c:pt>
                <c:pt idx="58">
                  <c:v>43819.71875</c:v>
                </c:pt>
                <c:pt idx="59">
                  <c:v>43822.71875</c:v>
                </c:pt>
                <c:pt idx="60">
                  <c:v>43826.71875</c:v>
                </c:pt>
                <c:pt idx="61">
                  <c:v>43829.71875</c:v>
                </c:pt>
                <c:pt idx="62">
                  <c:v>43832.71875</c:v>
                </c:pt>
                <c:pt idx="63">
                  <c:v>43833.71875</c:v>
                </c:pt>
                <c:pt idx="64">
                  <c:v>43836.71875</c:v>
                </c:pt>
                <c:pt idx="65">
                  <c:v>43837.71875</c:v>
                </c:pt>
                <c:pt idx="66">
                  <c:v>43838.71875</c:v>
                </c:pt>
                <c:pt idx="67">
                  <c:v>43839.71875</c:v>
                </c:pt>
                <c:pt idx="68">
                  <c:v>43840.71875</c:v>
                </c:pt>
                <c:pt idx="69">
                  <c:v>43843.71875</c:v>
                </c:pt>
                <c:pt idx="70">
                  <c:v>43844.71875</c:v>
                </c:pt>
                <c:pt idx="71">
                  <c:v>43845.71875</c:v>
                </c:pt>
                <c:pt idx="72">
                  <c:v>43846.71875</c:v>
                </c:pt>
                <c:pt idx="73">
                  <c:v>43847.71875</c:v>
                </c:pt>
                <c:pt idx="74">
                  <c:v>43850.71875</c:v>
                </c:pt>
                <c:pt idx="75">
                  <c:v>43851.71875</c:v>
                </c:pt>
                <c:pt idx="76">
                  <c:v>43852.71875</c:v>
                </c:pt>
                <c:pt idx="77">
                  <c:v>43853.71875</c:v>
                </c:pt>
                <c:pt idx="78">
                  <c:v>43854.71875</c:v>
                </c:pt>
                <c:pt idx="79">
                  <c:v>43857.71875</c:v>
                </c:pt>
                <c:pt idx="80">
                  <c:v>43858.71875</c:v>
                </c:pt>
                <c:pt idx="81">
                  <c:v>43859.71875</c:v>
                </c:pt>
                <c:pt idx="82">
                  <c:v>43860.71875</c:v>
                </c:pt>
                <c:pt idx="83">
                  <c:v>43861.71875</c:v>
                </c:pt>
                <c:pt idx="84">
                  <c:v>43864.71875</c:v>
                </c:pt>
                <c:pt idx="85">
                  <c:v>43865.71875</c:v>
                </c:pt>
                <c:pt idx="86">
                  <c:v>43866.71875</c:v>
                </c:pt>
                <c:pt idx="87">
                  <c:v>43867.71875</c:v>
                </c:pt>
                <c:pt idx="88">
                  <c:v>43868.71875</c:v>
                </c:pt>
                <c:pt idx="89">
                  <c:v>43871.71875</c:v>
                </c:pt>
                <c:pt idx="90">
                  <c:v>43872.71875</c:v>
                </c:pt>
                <c:pt idx="91">
                  <c:v>43873.71875</c:v>
                </c:pt>
                <c:pt idx="92">
                  <c:v>43874.71875</c:v>
                </c:pt>
                <c:pt idx="93">
                  <c:v>43875.71875</c:v>
                </c:pt>
                <c:pt idx="94">
                  <c:v>43878.71875</c:v>
                </c:pt>
                <c:pt idx="95">
                  <c:v>43879.71875</c:v>
                </c:pt>
                <c:pt idx="96">
                  <c:v>43880.71875</c:v>
                </c:pt>
                <c:pt idx="97">
                  <c:v>43881.71875</c:v>
                </c:pt>
                <c:pt idx="98">
                  <c:v>43882.71875</c:v>
                </c:pt>
                <c:pt idx="99">
                  <c:v>43885.71875</c:v>
                </c:pt>
                <c:pt idx="100">
                  <c:v>43886.71875</c:v>
                </c:pt>
                <c:pt idx="101">
                  <c:v>43887.71875</c:v>
                </c:pt>
                <c:pt idx="102">
                  <c:v>43888.71875</c:v>
                </c:pt>
                <c:pt idx="103">
                  <c:v>43889.71875</c:v>
                </c:pt>
                <c:pt idx="104">
                  <c:v>43892.71875</c:v>
                </c:pt>
                <c:pt idx="105">
                  <c:v>43894.71875</c:v>
                </c:pt>
                <c:pt idx="106">
                  <c:v>43895.71875</c:v>
                </c:pt>
                <c:pt idx="107">
                  <c:v>43896.71875</c:v>
                </c:pt>
                <c:pt idx="108">
                  <c:v>43899.71875</c:v>
                </c:pt>
                <c:pt idx="109">
                  <c:v>43900.71875</c:v>
                </c:pt>
                <c:pt idx="110">
                  <c:v>43901.71875</c:v>
                </c:pt>
                <c:pt idx="111">
                  <c:v>43902.71875</c:v>
                </c:pt>
                <c:pt idx="112">
                  <c:v>43903.71875</c:v>
                </c:pt>
                <c:pt idx="113">
                  <c:v>43906.71875</c:v>
                </c:pt>
                <c:pt idx="114">
                  <c:v>43907.71875</c:v>
                </c:pt>
                <c:pt idx="115">
                  <c:v>43908.71875</c:v>
                </c:pt>
                <c:pt idx="116">
                  <c:v>43909.71875</c:v>
                </c:pt>
                <c:pt idx="117">
                  <c:v>43910.71875</c:v>
                </c:pt>
                <c:pt idx="118">
                  <c:v>43913.71875</c:v>
                </c:pt>
                <c:pt idx="119">
                  <c:v>43914.71875</c:v>
                </c:pt>
                <c:pt idx="120">
                  <c:v>43915.71875</c:v>
                </c:pt>
                <c:pt idx="121">
                  <c:v>43916.71875</c:v>
                </c:pt>
                <c:pt idx="122">
                  <c:v>43917.71875</c:v>
                </c:pt>
                <c:pt idx="123">
                  <c:v>43920.71875</c:v>
                </c:pt>
                <c:pt idx="124">
                  <c:v>43921.71875</c:v>
                </c:pt>
              </c:numCache>
            </c:numRef>
          </c:cat>
          <c:val>
            <c:numRef>
              <c:f>'5 index'!$O$18:$O$143</c:f>
              <c:numCache>
                <c:formatCode>#,##0.00</c:formatCode>
                <c:ptCount val="126"/>
                <c:pt idx="0">
                  <c:v>506.68</c:v>
                </c:pt>
                <c:pt idx="1">
                  <c:v>506.2</c:v>
                </c:pt>
                <c:pt idx="2">
                  <c:v>502.77</c:v>
                </c:pt>
                <c:pt idx="3">
                  <c:v>501.72999999999894</c:v>
                </c:pt>
                <c:pt idx="4">
                  <c:v>501.24</c:v>
                </c:pt>
                <c:pt idx="5">
                  <c:v>500.61</c:v>
                </c:pt>
                <c:pt idx="6">
                  <c:v>501.21</c:v>
                </c:pt>
                <c:pt idx="7">
                  <c:v>499.63</c:v>
                </c:pt>
                <c:pt idx="8">
                  <c:v>501.05</c:v>
                </c:pt>
                <c:pt idx="9">
                  <c:v>501.17</c:v>
                </c:pt>
                <c:pt idx="10">
                  <c:v>500.74</c:v>
                </c:pt>
                <c:pt idx="11">
                  <c:v>500.18</c:v>
                </c:pt>
                <c:pt idx="12">
                  <c:v>500.4</c:v>
                </c:pt>
                <c:pt idx="13">
                  <c:v>502.32</c:v>
                </c:pt>
                <c:pt idx="14">
                  <c:v>502.46</c:v>
                </c:pt>
                <c:pt idx="15">
                  <c:v>501.48999999999899</c:v>
                </c:pt>
                <c:pt idx="16">
                  <c:v>499.45</c:v>
                </c:pt>
                <c:pt idx="17">
                  <c:v>498.6</c:v>
                </c:pt>
                <c:pt idx="18">
                  <c:v>498.86</c:v>
                </c:pt>
                <c:pt idx="19">
                  <c:v>497.78999999999894</c:v>
                </c:pt>
                <c:pt idx="20">
                  <c:v>495.86</c:v>
                </c:pt>
                <c:pt idx="21">
                  <c:v>495.15000000000032</c:v>
                </c:pt>
                <c:pt idx="22">
                  <c:v>499.66</c:v>
                </c:pt>
                <c:pt idx="23">
                  <c:v>499.84000000000032</c:v>
                </c:pt>
                <c:pt idx="24">
                  <c:v>495.53</c:v>
                </c:pt>
                <c:pt idx="25">
                  <c:v>495.25</c:v>
                </c:pt>
                <c:pt idx="26">
                  <c:v>498.16</c:v>
                </c:pt>
                <c:pt idx="27">
                  <c:v>498.41999999999899</c:v>
                </c:pt>
                <c:pt idx="28">
                  <c:v>499.38</c:v>
                </c:pt>
                <c:pt idx="29">
                  <c:v>497.9</c:v>
                </c:pt>
                <c:pt idx="30">
                  <c:v>499.22999999999894</c:v>
                </c:pt>
                <c:pt idx="31">
                  <c:v>498.71</c:v>
                </c:pt>
                <c:pt idx="32">
                  <c:v>495.76</c:v>
                </c:pt>
                <c:pt idx="33">
                  <c:v>494.96999999999969</c:v>
                </c:pt>
                <c:pt idx="34">
                  <c:v>495.44</c:v>
                </c:pt>
                <c:pt idx="35">
                  <c:v>496.71</c:v>
                </c:pt>
                <c:pt idx="36">
                  <c:v>495.03</c:v>
                </c:pt>
                <c:pt idx="37">
                  <c:v>493.18</c:v>
                </c:pt>
                <c:pt idx="38">
                  <c:v>494.55</c:v>
                </c:pt>
                <c:pt idx="39">
                  <c:v>494.1</c:v>
                </c:pt>
                <c:pt idx="40">
                  <c:v>493.21</c:v>
                </c:pt>
                <c:pt idx="41">
                  <c:v>492.91999999999899</c:v>
                </c:pt>
                <c:pt idx="42">
                  <c:v>493.1</c:v>
                </c:pt>
                <c:pt idx="43">
                  <c:v>495.69</c:v>
                </c:pt>
                <c:pt idx="44">
                  <c:v>495.6</c:v>
                </c:pt>
                <c:pt idx="45">
                  <c:v>493.25</c:v>
                </c:pt>
                <c:pt idx="46">
                  <c:v>494.26</c:v>
                </c:pt>
                <c:pt idx="47">
                  <c:v>492.55</c:v>
                </c:pt>
                <c:pt idx="48">
                  <c:v>494.35</c:v>
                </c:pt>
                <c:pt idx="49">
                  <c:v>494.83</c:v>
                </c:pt>
                <c:pt idx="50">
                  <c:v>494.63</c:v>
                </c:pt>
                <c:pt idx="51">
                  <c:v>494.83</c:v>
                </c:pt>
                <c:pt idx="52">
                  <c:v>495.74</c:v>
                </c:pt>
                <c:pt idx="53">
                  <c:v>496.52</c:v>
                </c:pt>
                <c:pt idx="54">
                  <c:v>497.38</c:v>
                </c:pt>
                <c:pt idx="55">
                  <c:v>495.62</c:v>
                </c:pt>
                <c:pt idx="56">
                  <c:v>498.67</c:v>
                </c:pt>
                <c:pt idx="57">
                  <c:v>502.69</c:v>
                </c:pt>
                <c:pt idx="58">
                  <c:v>501.97999999999894</c:v>
                </c:pt>
                <c:pt idx="59">
                  <c:v>508.7</c:v>
                </c:pt>
                <c:pt idx="60">
                  <c:v>508.78999999999894</c:v>
                </c:pt>
                <c:pt idx="61">
                  <c:v>516.28000000000054</c:v>
                </c:pt>
                <c:pt idx="62">
                  <c:v>518.44999999999948</c:v>
                </c:pt>
                <c:pt idx="63">
                  <c:v>518.83999999999946</c:v>
                </c:pt>
                <c:pt idx="64">
                  <c:v>519.81999999999948</c:v>
                </c:pt>
                <c:pt idx="65">
                  <c:v>518.19000000000005</c:v>
                </c:pt>
                <c:pt idx="66">
                  <c:v>522.29000000000053</c:v>
                </c:pt>
                <c:pt idx="67">
                  <c:v>523.24</c:v>
                </c:pt>
                <c:pt idx="68">
                  <c:v>525.16</c:v>
                </c:pt>
                <c:pt idx="69">
                  <c:v>524.35999999999797</c:v>
                </c:pt>
                <c:pt idx="70">
                  <c:v>526.26</c:v>
                </c:pt>
                <c:pt idx="71">
                  <c:v>524.99</c:v>
                </c:pt>
                <c:pt idx="72">
                  <c:v>525.29999999999995</c:v>
                </c:pt>
                <c:pt idx="73">
                  <c:v>524.73</c:v>
                </c:pt>
                <c:pt idx="74">
                  <c:v>526.5</c:v>
                </c:pt>
                <c:pt idx="75">
                  <c:v>527.28000000000054</c:v>
                </c:pt>
                <c:pt idx="76">
                  <c:v>526.66999999999996</c:v>
                </c:pt>
                <c:pt idx="77">
                  <c:v>526.4</c:v>
                </c:pt>
                <c:pt idx="78">
                  <c:v>525.62</c:v>
                </c:pt>
                <c:pt idx="79">
                  <c:v>523.49</c:v>
                </c:pt>
                <c:pt idx="80">
                  <c:v>523.63</c:v>
                </c:pt>
                <c:pt idx="81">
                  <c:v>523.11</c:v>
                </c:pt>
                <c:pt idx="82">
                  <c:v>521.77000000000055</c:v>
                </c:pt>
                <c:pt idx="83">
                  <c:v>522.82999999999947</c:v>
                </c:pt>
                <c:pt idx="84">
                  <c:v>521.91</c:v>
                </c:pt>
                <c:pt idx="85">
                  <c:v>520.29999999999995</c:v>
                </c:pt>
                <c:pt idx="86">
                  <c:v>517.45999999999947</c:v>
                </c:pt>
                <c:pt idx="87">
                  <c:v>520.58000000000004</c:v>
                </c:pt>
                <c:pt idx="88">
                  <c:v>521.04</c:v>
                </c:pt>
                <c:pt idx="89">
                  <c:v>521.41</c:v>
                </c:pt>
                <c:pt idx="90">
                  <c:v>519.85999999999797</c:v>
                </c:pt>
                <c:pt idx="91">
                  <c:v>519.79999999999995</c:v>
                </c:pt>
                <c:pt idx="92">
                  <c:v>516.37</c:v>
                </c:pt>
                <c:pt idx="93">
                  <c:v>512.09</c:v>
                </c:pt>
                <c:pt idx="94">
                  <c:v>511.77</c:v>
                </c:pt>
                <c:pt idx="95">
                  <c:v>507.32</c:v>
                </c:pt>
                <c:pt idx="96">
                  <c:v>502.59</c:v>
                </c:pt>
                <c:pt idx="97">
                  <c:v>502.15000000000032</c:v>
                </c:pt>
                <c:pt idx="98">
                  <c:v>505.4</c:v>
                </c:pt>
                <c:pt idx="99">
                  <c:v>502.52</c:v>
                </c:pt>
                <c:pt idx="100">
                  <c:v>499.28</c:v>
                </c:pt>
                <c:pt idx="101">
                  <c:v>499.96999999999969</c:v>
                </c:pt>
                <c:pt idx="102">
                  <c:v>501.92999999999893</c:v>
                </c:pt>
                <c:pt idx="103">
                  <c:v>507.27</c:v>
                </c:pt>
                <c:pt idx="104">
                  <c:v>504.11</c:v>
                </c:pt>
                <c:pt idx="105">
                  <c:v>499.61</c:v>
                </c:pt>
                <c:pt idx="106">
                  <c:v>495.67</c:v>
                </c:pt>
                <c:pt idx="107">
                  <c:v>491.28999999999894</c:v>
                </c:pt>
                <c:pt idx="108">
                  <c:v>460.26</c:v>
                </c:pt>
                <c:pt idx="109">
                  <c:v>468.01</c:v>
                </c:pt>
                <c:pt idx="110">
                  <c:v>467.88</c:v>
                </c:pt>
                <c:pt idx="111">
                  <c:v>443.56</c:v>
                </c:pt>
                <c:pt idx="112">
                  <c:v>441.53</c:v>
                </c:pt>
                <c:pt idx="113">
                  <c:v>425.78999999999894</c:v>
                </c:pt>
                <c:pt idx="114">
                  <c:v>425.22999999999894</c:v>
                </c:pt>
                <c:pt idx="115">
                  <c:v>418.37</c:v>
                </c:pt>
                <c:pt idx="116">
                  <c:v>414.52</c:v>
                </c:pt>
                <c:pt idx="117">
                  <c:v>420.78</c:v>
                </c:pt>
                <c:pt idx="118">
                  <c:v>413.16</c:v>
                </c:pt>
                <c:pt idx="119">
                  <c:v>426.17</c:v>
                </c:pt>
                <c:pt idx="120">
                  <c:v>432.46999999999969</c:v>
                </c:pt>
                <c:pt idx="121">
                  <c:v>430.09</c:v>
                </c:pt>
                <c:pt idx="122">
                  <c:v>432.46999999999969</c:v>
                </c:pt>
                <c:pt idx="123">
                  <c:v>431.40999999999963</c:v>
                </c:pt>
                <c:pt idx="124">
                  <c:v>436.89</c:v>
                </c:pt>
              </c:numCache>
            </c:numRef>
          </c:val>
          <c:extLst xmlns:c16r2="http://schemas.microsoft.com/office/drawing/2015/06/chart">
            <c:ext xmlns:c16="http://schemas.microsoft.com/office/drawing/2014/chart" uri="{C3380CC4-5D6E-409C-BE32-E72D297353CC}">
              <c16:uniqueId val="{00000000-E0E0-435C-A424-8ECCB2D4FB57}"/>
            </c:ext>
          </c:extLst>
        </c:ser>
        <c:axId val="89206144"/>
        <c:axId val="89261184"/>
      </c:areaChart>
      <c:dateAx>
        <c:axId val="89206144"/>
        <c:scaling>
          <c:orientation val="minMax"/>
        </c:scaling>
        <c:axPos val="b"/>
        <c:numFmt formatCode="dd/mm" sourceLinked="0"/>
        <c:tickLblPos val="nextTo"/>
        <c:crossAx val="89261184"/>
        <c:crosses val="autoZero"/>
        <c:lblOffset val="100"/>
        <c:baseTimeUnit val="days"/>
        <c:majorUnit val="7"/>
        <c:majorTimeUnit val="days"/>
      </c:dateAx>
      <c:valAx>
        <c:axId val="89261184"/>
        <c:scaling>
          <c:orientation val="minMax"/>
          <c:max val="540"/>
          <c:min val="400"/>
        </c:scaling>
        <c:axPos val="l"/>
        <c:majorGridlines/>
        <c:numFmt formatCode="#,##0" sourceLinked="0"/>
        <c:tickLblPos val="nextTo"/>
        <c:crossAx val="89206144"/>
        <c:crosses val="autoZero"/>
        <c:crossBetween val="midCat"/>
      </c:valAx>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bg-BG"/>
  <c:chart>
    <c:autoTitleDeleted val="1"/>
    <c:plotArea>
      <c:layout>
        <c:manualLayout>
          <c:layoutTarget val="inner"/>
          <c:xMode val="edge"/>
          <c:yMode val="edge"/>
          <c:x val="8.0651338497133768E-2"/>
          <c:y val="2.5236565556365612E-2"/>
          <c:w val="0.88961282875404857"/>
          <c:h val="0.8407231814870495"/>
        </c:manualLayout>
      </c:layout>
      <c:areaChart>
        <c:grouping val="standard"/>
        <c:ser>
          <c:idx val="0"/>
          <c:order val="0"/>
          <c:tx>
            <c:strRef>
              <c:f>'5 index'!$R$17</c:f>
              <c:strCache>
                <c:ptCount val="1"/>
                <c:pt idx="0">
                  <c:v>BGBX40</c:v>
                </c:pt>
              </c:strCache>
            </c:strRef>
          </c:tx>
          <c:spPr>
            <a:pattFill prst="pct75">
              <a:fgClr>
                <a:srgbClr val="7030A0"/>
              </a:fgClr>
              <a:bgClr>
                <a:schemeClr val="bg1"/>
              </a:bgClr>
            </a:pattFill>
          </c:spPr>
          <c:cat>
            <c:numRef>
              <c:f>'5 index'!$S$18:$S$143</c:f>
              <c:numCache>
                <c:formatCode>d/m/yyyy</c:formatCode>
                <c:ptCount val="126"/>
                <c:pt idx="0">
                  <c:v>43739.71875</c:v>
                </c:pt>
                <c:pt idx="1">
                  <c:v>43740.71875</c:v>
                </c:pt>
                <c:pt idx="2">
                  <c:v>43741.71875</c:v>
                </c:pt>
                <c:pt idx="3">
                  <c:v>43742.71875</c:v>
                </c:pt>
                <c:pt idx="4">
                  <c:v>43745.71875</c:v>
                </c:pt>
                <c:pt idx="5">
                  <c:v>43746.71875</c:v>
                </c:pt>
                <c:pt idx="6">
                  <c:v>43747.71875</c:v>
                </c:pt>
                <c:pt idx="7">
                  <c:v>43748.71875</c:v>
                </c:pt>
                <c:pt idx="8">
                  <c:v>43749.71875</c:v>
                </c:pt>
                <c:pt idx="9">
                  <c:v>43752.71875</c:v>
                </c:pt>
                <c:pt idx="10">
                  <c:v>43753.71875</c:v>
                </c:pt>
                <c:pt idx="11">
                  <c:v>43754.71875</c:v>
                </c:pt>
                <c:pt idx="12">
                  <c:v>43755.71875</c:v>
                </c:pt>
                <c:pt idx="13">
                  <c:v>43756.71875</c:v>
                </c:pt>
                <c:pt idx="14">
                  <c:v>43759.71875</c:v>
                </c:pt>
                <c:pt idx="15">
                  <c:v>43760.71875</c:v>
                </c:pt>
                <c:pt idx="16">
                  <c:v>43761.71875</c:v>
                </c:pt>
                <c:pt idx="17">
                  <c:v>43762.71875</c:v>
                </c:pt>
                <c:pt idx="18">
                  <c:v>43763.71875</c:v>
                </c:pt>
                <c:pt idx="19">
                  <c:v>43766.71875</c:v>
                </c:pt>
                <c:pt idx="20">
                  <c:v>43767.71875</c:v>
                </c:pt>
                <c:pt idx="21">
                  <c:v>43768.71875</c:v>
                </c:pt>
                <c:pt idx="22">
                  <c:v>43769.71875</c:v>
                </c:pt>
                <c:pt idx="23">
                  <c:v>43770.71875</c:v>
                </c:pt>
                <c:pt idx="24">
                  <c:v>43773.71875</c:v>
                </c:pt>
                <c:pt idx="25">
                  <c:v>43774.71875</c:v>
                </c:pt>
                <c:pt idx="26">
                  <c:v>43775.71875</c:v>
                </c:pt>
                <c:pt idx="27">
                  <c:v>43776.71875</c:v>
                </c:pt>
                <c:pt idx="28">
                  <c:v>43777.71875</c:v>
                </c:pt>
                <c:pt idx="29">
                  <c:v>43780.71875</c:v>
                </c:pt>
                <c:pt idx="30">
                  <c:v>43781.71875</c:v>
                </c:pt>
                <c:pt idx="31">
                  <c:v>43782.71875</c:v>
                </c:pt>
                <c:pt idx="32">
                  <c:v>43783.71875</c:v>
                </c:pt>
                <c:pt idx="33">
                  <c:v>43784.71875</c:v>
                </c:pt>
                <c:pt idx="34">
                  <c:v>43787.71875</c:v>
                </c:pt>
                <c:pt idx="35">
                  <c:v>43788.71875</c:v>
                </c:pt>
                <c:pt idx="36">
                  <c:v>43789.71875</c:v>
                </c:pt>
                <c:pt idx="37">
                  <c:v>43790.71875</c:v>
                </c:pt>
                <c:pt idx="38">
                  <c:v>43791.71875</c:v>
                </c:pt>
                <c:pt idx="39">
                  <c:v>43794.71875</c:v>
                </c:pt>
                <c:pt idx="40">
                  <c:v>43795.71875</c:v>
                </c:pt>
                <c:pt idx="41">
                  <c:v>43796.71875</c:v>
                </c:pt>
                <c:pt idx="42">
                  <c:v>43797.71875</c:v>
                </c:pt>
                <c:pt idx="43">
                  <c:v>43798.71875</c:v>
                </c:pt>
                <c:pt idx="44">
                  <c:v>43801.71875</c:v>
                </c:pt>
                <c:pt idx="45">
                  <c:v>43802.71875</c:v>
                </c:pt>
                <c:pt idx="46">
                  <c:v>43803.71875</c:v>
                </c:pt>
                <c:pt idx="47">
                  <c:v>43804.71875</c:v>
                </c:pt>
                <c:pt idx="48">
                  <c:v>43805.71875</c:v>
                </c:pt>
                <c:pt idx="49">
                  <c:v>43808.71875</c:v>
                </c:pt>
                <c:pt idx="50">
                  <c:v>43809.71875</c:v>
                </c:pt>
                <c:pt idx="51">
                  <c:v>43810.71875</c:v>
                </c:pt>
                <c:pt idx="52">
                  <c:v>43811.71875</c:v>
                </c:pt>
                <c:pt idx="53">
                  <c:v>43812.71875</c:v>
                </c:pt>
                <c:pt idx="54">
                  <c:v>43815.71875</c:v>
                </c:pt>
                <c:pt idx="55">
                  <c:v>43816.71875</c:v>
                </c:pt>
                <c:pt idx="56">
                  <c:v>43817.71875</c:v>
                </c:pt>
                <c:pt idx="57">
                  <c:v>43818.71875</c:v>
                </c:pt>
                <c:pt idx="58">
                  <c:v>43819.71875</c:v>
                </c:pt>
                <c:pt idx="59">
                  <c:v>43822.71875</c:v>
                </c:pt>
                <c:pt idx="60">
                  <c:v>43826.71875</c:v>
                </c:pt>
                <c:pt idx="61">
                  <c:v>43829.71875</c:v>
                </c:pt>
                <c:pt idx="62">
                  <c:v>43832.71875</c:v>
                </c:pt>
                <c:pt idx="63">
                  <c:v>43833.71875</c:v>
                </c:pt>
                <c:pt idx="64">
                  <c:v>43836.71875</c:v>
                </c:pt>
                <c:pt idx="65">
                  <c:v>43837.71875</c:v>
                </c:pt>
                <c:pt idx="66">
                  <c:v>43838.71875</c:v>
                </c:pt>
                <c:pt idx="67">
                  <c:v>43839.71875</c:v>
                </c:pt>
                <c:pt idx="68">
                  <c:v>43840.71875</c:v>
                </c:pt>
                <c:pt idx="69">
                  <c:v>43843.71875</c:v>
                </c:pt>
                <c:pt idx="70">
                  <c:v>43844.71875</c:v>
                </c:pt>
                <c:pt idx="71">
                  <c:v>43845.71875</c:v>
                </c:pt>
                <c:pt idx="72">
                  <c:v>43846.71875</c:v>
                </c:pt>
                <c:pt idx="73">
                  <c:v>43847.71875</c:v>
                </c:pt>
                <c:pt idx="74">
                  <c:v>43850.71875</c:v>
                </c:pt>
                <c:pt idx="75">
                  <c:v>43851.71875</c:v>
                </c:pt>
                <c:pt idx="76">
                  <c:v>43852.71875</c:v>
                </c:pt>
                <c:pt idx="77">
                  <c:v>43853.71875</c:v>
                </c:pt>
                <c:pt idx="78">
                  <c:v>43854.71875</c:v>
                </c:pt>
                <c:pt idx="79">
                  <c:v>43857.71875</c:v>
                </c:pt>
                <c:pt idx="80">
                  <c:v>43858.71875</c:v>
                </c:pt>
                <c:pt idx="81">
                  <c:v>43859.71875</c:v>
                </c:pt>
                <c:pt idx="82">
                  <c:v>43860.71875</c:v>
                </c:pt>
                <c:pt idx="83">
                  <c:v>43861.71875</c:v>
                </c:pt>
                <c:pt idx="84">
                  <c:v>43864.71875</c:v>
                </c:pt>
                <c:pt idx="85">
                  <c:v>43865.71875</c:v>
                </c:pt>
                <c:pt idx="86">
                  <c:v>43866.71875</c:v>
                </c:pt>
                <c:pt idx="87">
                  <c:v>43867.71875</c:v>
                </c:pt>
                <c:pt idx="88">
                  <c:v>43868.71875</c:v>
                </c:pt>
                <c:pt idx="89">
                  <c:v>43871.71875</c:v>
                </c:pt>
                <c:pt idx="90">
                  <c:v>43872.71875</c:v>
                </c:pt>
                <c:pt idx="91">
                  <c:v>43873.71875</c:v>
                </c:pt>
                <c:pt idx="92">
                  <c:v>43874.71875</c:v>
                </c:pt>
                <c:pt idx="93">
                  <c:v>43875.71875</c:v>
                </c:pt>
                <c:pt idx="94">
                  <c:v>43878.71875</c:v>
                </c:pt>
                <c:pt idx="95">
                  <c:v>43879.71875</c:v>
                </c:pt>
                <c:pt idx="96">
                  <c:v>43880.71875</c:v>
                </c:pt>
                <c:pt idx="97">
                  <c:v>43881.71875</c:v>
                </c:pt>
                <c:pt idx="98">
                  <c:v>43882.71875</c:v>
                </c:pt>
                <c:pt idx="99">
                  <c:v>43885.71875</c:v>
                </c:pt>
                <c:pt idx="100">
                  <c:v>43886.71875</c:v>
                </c:pt>
                <c:pt idx="101">
                  <c:v>43887.71875</c:v>
                </c:pt>
                <c:pt idx="102">
                  <c:v>43888.71875</c:v>
                </c:pt>
                <c:pt idx="103">
                  <c:v>43889.71875</c:v>
                </c:pt>
                <c:pt idx="104">
                  <c:v>43892.71875</c:v>
                </c:pt>
                <c:pt idx="105">
                  <c:v>43894.71875</c:v>
                </c:pt>
                <c:pt idx="106">
                  <c:v>43895.71875</c:v>
                </c:pt>
                <c:pt idx="107">
                  <c:v>43896.71875</c:v>
                </c:pt>
                <c:pt idx="108">
                  <c:v>43899.71875</c:v>
                </c:pt>
                <c:pt idx="109">
                  <c:v>43900.71875</c:v>
                </c:pt>
                <c:pt idx="110">
                  <c:v>43901.71875</c:v>
                </c:pt>
                <c:pt idx="111">
                  <c:v>43902.71875</c:v>
                </c:pt>
                <c:pt idx="112">
                  <c:v>43903.71875</c:v>
                </c:pt>
                <c:pt idx="113">
                  <c:v>43906.71875</c:v>
                </c:pt>
                <c:pt idx="114">
                  <c:v>43907.71875</c:v>
                </c:pt>
                <c:pt idx="115">
                  <c:v>43908.71875</c:v>
                </c:pt>
                <c:pt idx="116">
                  <c:v>43909.71875</c:v>
                </c:pt>
                <c:pt idx="117">
                  <c:v>43910.71875</c:v>
                </c:pt>
                <c:pt idx="118">
                  <c:v>43913.71875</c:v>
                </c:pt>
                <c:pt idx="119">
                  <c:v>43914.71875</c:v>
                </c:pt>
                <c:pt idx="120">
                  <c:v>43915.71875</c:v>
                </c:pt>
                <c:pt idx="121">
                  <c:v>43916.71875</c:v>
                </c:pt>
                <c:pt idx="122">
                  <c:v>43917.71875</c:v>
                </c:pt>
                <c:pt idx="123">
                  <c:v>43920.71875</c:v>
                </c:pt>
                <c:pt idx="124">
                  <c:v>43921.71875</c:v>
                </c:pt>
              </c:numCache>
            </c:numRef>
          </c:cat>
          <c:val>
            <c:numRef>
              <c:f>'5 index'!$T$18:$T$143</c:f>
              <c:numCache>
                <c:formatCode>#,##0.00</c:formatCode>
                <c:ptCount val="126"/>
                <c:pt idx="0">
                  <c:v>113.04</c:v>
                </c:pt>
                <c:pt idx="1">
                  <c:v>112.82</c:v>
                </c:pt>
                <c:pt idx="2">
                  <c:v>111.75</c:v>
                </c:pt>
                <c:pt idx="3">
                  <c:v>111.53</c:v>
                </c:pt>
                <c:pt idx="4">
                  <c:v>111.5</c:v>
                </c:pt>
                <c:pt idx="5">
                  <c:v>111.17999999999998</c:v>
                </c:pt>
                <c:pt idx="6">
                  <c:v>110.96000000000002</c:v>
                </c:pt>
                <c:pt idx="7">
                  <c:v>110.59</c:v>
                </c:pt>
                <c:pt idx="8">
                  <c:v>111.06</c:v>
                </c:pt>
                <c:pt idx="9">
                  <c:v>111.08</c:v>
                </c:pt>
                <c:pt idx="10">
                  <c:v>111</c:v>
                </c:pt>
                <c:pt idx="11">
                  <c:v>110.5</c:v>
                </c:pt>
                <c:pt idx="12">
                  <c:v>110.94000000000032</c:v>
                </c:pt>
                <c:pt idx="13">
                  <c:v>111.14</c:v>
                </c:pt>
                <c:pt idx="14">
                  <c:v>111.16</c:v>
                </c:pt>
                <c:pt idx="15">
                  <c:v>111.19</c:v>
                </c:pt>
                <c:pt idx="16">
                  <c:v>110.48</c:v>
                </c:pt>
                <c:pt idx="17">
                  <c:v>110.43</c:v>
                </c:pt>
                <c:pt idx="18">
                  <c:v>110.07</c:v>
                </c:pt>
                <c:pt idx="19">
                  <c:v>109.69</c:v>
                </c:pt>
                <c:pt idx="20">
                  <c:v>109.06</c:v>
                </c:pt>
                <c:pt idx="21">
                  <c:v>108.99000000000002</c:v>
                </c:pt>
                <c:pt idx="22">
                  <c:v>109.83</c:v>
                </c:pt>
                <c:pt idx="23">
                  <c:v>109.75</c:v>
                </c:pt>
                <c:pt idx="24">
                  <c:v>109.5</c:v>
                </c:pt>
                <c:pt idx="25">
                  <c:v>109.3</c:v>
                </c:pt>
                <c:pt idx="26">
                  <c:v>110.01</c:v>
                </c:pt>
                <c:pt idx="27">
                  <c:v>110.09</c:v>
                </c:pt>
                <c:pt idx="28">
                  <c:v>109.97</c:v>
                </c:pt>
                <c:pt idx="29">
                  <c:v>109.67999999999998</c:v>
                </c:pt>
                <c:pt idx="30">
                  <c:v>110.11</c:v>
                </c:pt>
                <c:pt idx="31">
                  <c:v>110.14</c:v>
                </c:pt>
                <c:pt idx="32">
                  <c:v>109.66</c:v>
                </c:pt>
                <c:pt idx="33">
                  <c:v>109.4</c:v>
                </c:pt>
                <c:pt idx="34">
                  <c:v>109.54</c:v>
                </c:pt>
                <c:pt idx="35">
                  <c:v>109.44000000000032</c:v>
                </c:pt>
                <c:pt idx="36">
                  <c:v>109.02</c:v>
                </c:pt>
                <c:pt idx="37">
                  <c:v>108.67999999999998</c:v>
                </c:pt>
                <c:pt idx="38">
                  <c:v>109.01</c:v>
                </c:pt>
                <c:pt idx="39">
                  <c:v>108.66</c:v>
                </c:pt>
                <c:pt idx="40">
                  <c:v>108.41000000000012</c:v>
                </c:pt>
                <c:pt idx="41">
                  <c:v>108.06</c:v>
                </c:pt>
                <c:pt idx="42">
                  <c:v>108.02</c:v>
                </c:pt>
                <c:pt idx="43">
                  <c:v>108.79</c:v>
                </c:pt>
                <c:pt idx="44">
                  <c:v>108.98</c:v>
                </c:pt>
                <c:pt idx="45">
                  <c:v>108.26</c:v>
                </c:pt>
                <c:pt idx="46">
                  <c:v>108.28</c:v>
                </c:pt>
                <c:pt idx="47">
                  <c:v>108.21000000000002</c:v>
                </c:pt>
                <c:pt idx="48">
                  <c:v>108.72</c:v>
                </c:pt>
                <c:pt idx="49">
                  <c:v>108.8</c:v>
                </c:pt>
                <c:pt idx="50">
                  <c:v>108.55</c:v>
                </c:pt>
                <c:pt idx="51">
                  <c:v>108.46000000000002</c:v>
                </c:pt>
                <c:pt idx="52">
                  <c:v>108.55</c:v>
                </c:pt>
                <c:pt idx="53">
                  <c:v>108.61</c:v>
                </c:pt>
                <c:pt idx="54">
                  <c:v>108.95</c:v>
                </c:pt>
                <c:pt idx="55">
                  <c:v>108.54</c:v>
                </c:pt>
                <c:pt idx="56">
                  <c:v>109.23</c:v>
                </c:pt>
                <c:pt idx="57">
                  <c:v>110.13</c:v>
                </c:pt>
                <c:pt idx="58">
                  <c:v>109.33</c:v>
                </c:pt>
                <c:pt idx="59">
                  <c:v>110.79</c:v>
                </c:pt>
                <c:pt idx="60">
                  <c:v>110.76</c:v>
                </c:pt>
                <c:pt idx="61">
                  <c:v>111.83</c:v>
                </c:pt>
                <c:pt idx="62">
                  <c:v>112.06</c:v>
                </c:pt>
                <c:pt idx="63">
                  <c:v>112.16</c:v>
                </c:pt>
                <c:pt idx="64">
                  <c:v>112.47</c:v>
                </c:pt>
                <c:pt idx="65">
                  <c:v>111.99000000000002</c:v>
                </c:pt>
                <c:pt idx="66">
                  <c:v>113.22</c:v>
                </c:pt>
                <c:pt idx="67">
                  <c:v>113.36</c:v>
                </c:pt>
                <c:pt idx="68">
                  <c:v>113.72</c:v>
                </c:pt>
                <c:pt idx="69">
                  <c:v>113.44000000000032</c:v>
                </c:pt>
                <c:pt idx="70">
                  <c:v>114.03</c:v>
                </c:pt>
                <c:pt idx="71">
                  <c:v>114.06</c:v>
                </c:pt>
                <c:pt idx="72">
                  <c:v>114.16</c:v>
                </c:pt>
                <c:pt idx="73">
                  <c:v>114.02</c:v>
                </c:pt>
                <c:pt idx="74">
                  <c:v>114.75</c:v>
                </c:pt>
                <c:pt idx="75">
                  <c:v>114.73</c:v>
                </c:pt>
                <c:pt idx="76">
                  <c:v>114.64</c:v>
                </c:pt>
                <c:pt idx="77">
                  <c:v>114.41000000000012</c:v>
                </c:pt>
                <c:pt idx="78">
                  <c:v>114.33</c:v>
                </c:pt>
                <c:pt idx="79">
                  <c:v>113.61999999999999</c:v>
                </c:pt>
                <c:pt idx="80">
                  <c:v>113.48</c:v>
                </c:pt>
                <c:pt idx="81">
                  <c:v>113.26</c:v>
                </c:pt>
                <c:pt idx="82">
                  <c:v>112.98</c:v>
                </c:pt>
                <c:pt idx="83">
                  <c:v>113.2</c:v>
                </c:pt>
                <c:pt idx="84">
                  <c:v>113.04</c:v>
                </c:pt>
                <c:pt idx="85">
                  <c:v>113.03</c:v>
                </c:pt>
                <c:pt idx="86">
                  <c:v>112.24000000000002</c:v>
                </c:pt>
                <c:pt idx="87">
                  <c:v>112.66999999999999</c:v>
                </c:pt>
                <c:pt idx="88">
                  <c:v>112.75</c:v>
                </c:pt>
                <c:pt idx="89">
                  <c:v>112.88</c:v>
                </c:pt>
                <c:pt idx="90">
                  <c:v>112.61999999999999</c:v>
                </c:pt>
                <c:pt idx="91">
                  <c:v>112.4</c:v>
                </c:pt>
                <c:pt idx="92">
                  <c:v>111.81</c:v>
                </c:pt>
                <c:pt idx="93">
                  <c:v>111.05</c:v>
                </c:pt>
                <c:pt idx="94">
                  <c:v>111.2</c:v>
                </c:pt>
                <c:pt idx="95">
                  <c:v>109.99000000000002</c:v>
                </c:pt>
                <c:pt idx="96">
                  <c:v>109.4</c:v>
                </c:pt>
                <c:pt idx="97">
                  <c:v>109.38</c:v>
                </c:pt>
                <c:pt idx="98">
                  <c:v>110.14999999999999</c:v>
                </c:pt>
                <c:pt idx="99">
                  <c:v>109.55</c:v>
                </c:pt>
                <c:pt idx="100">
                  <c:v>108.78</c:v>
                </c:pt>
                <c:pt idx="101">
                  <c:v>109</c:v>
                </c:pt>
                <c:pt idx="102">
                  <c:v>109.17999999999998</c:v>
                </c:pt>
                <c:pt idx="103">
                  <c:v>109.41000000000012</c:v>
                </c:pt>
                <c:pt idx="104">
                  <c:v>109.01</c:v>
                </c:pt>
                <c:pt idx="105">
                  <c:v>108.69</c:v>
                </c:pt>
                <c:pt idx="106">
                  <c:v>107.76</c:v>
                </c:pt>
                <c:pt idx="107">
                  <c:v>106.53</c:v>
                </c:pt>
                <c:pt idx="108">
                  <c:v>97.42</c:v>
                </c:pt>
                <c:pt idx="109">
                  <c:v>100.27</c:v>
                </c:pt>
                <c:pt idx="110">
                  <c:v>100.14</c:v>
                </c:pt>
                <c:pt idx="111">
                  <c:v>93.54</c:v>
                </c:pt>
                <c:pt idx="112">
                  <c:v>92.72</c:v>
                </c:pt>
                <c:pt idx="113">
                  <c:v>87.940000000000026</c:v>
                </c:pt>
                <c:pt idx="114">
                  <c:v>88.22</c:v>
                </c:pt>
                <c:pt idx="115">
                  <c:v>87.25</c:v>
                </c:pt>
                <c:pt idx="116">
                  <c:v>85.79</c:v>
                </c:pt>
                <c:pt idx="117">
                  <c:v>87.38</c:v>
                </c:pt>
                <c:pt idx="118">
                  <c:v>86.4</c:v>
                </c:pt>
                <c:pt idx="119">
                  <c:v>88.63</c:v>
                </c:pt>
                <c:pt idx="120">
                  <c:v>90.16</c:v>
                </c:pt>
                <c:pt idx="121">
                  <c:v>89.179999999999978</c:v>
                </c:pt>
                <c:pt idx="122">
                  <c:v>89.53</c:v>
                </c:pt>
                <c:pt idx="123">
                  <c:v>89.440000000000026</c:v>
                </c:pt>
                <c:pt idx="124">
                  <c:v>90.38</c:v>
                </c:pt>
              </c:numCache>
            </c:numRef>
          </c:val>
          <c:extLst xmlns:c16r2="http://schemas.microsoft.com/office/drawing/2015/06/chart">
            <c:ext xmlns:c16="http://schemas.microsoft.com/office/drawing/2014/chart" uri="{C3380CC4-5D6E-409C-BE32-E72D297353CC}">
              <c16:uniqueId val="{00000000-AB17-48E3-A9A1-8D3D2E3FF3D2}"/>
            </c:ext>
          </c:extLst>
        </c:ser>
        <c:axId val="89270912"/>
        <c:axId val="90171264"/>
      </c:areaChart>
      <c:dateAx>
        <c:axId val="89270912"/>
        <c:scaling>
          <c:orientation val="minMax"/>
        </c:scaling>
        <c:axPos val="b"/>
        <c:numFmt formatCode="dd/mm" sourceLinked="0"/>
        <c:tickLblPos val="nextTo"/>
        <c:crossAx val="90171264"/>
        <c:crosses val="autoZero"/>
        <c:lblOffset val="100"/>
        <c:baseTimeUnit val="days"/>
        <c:majorUnit val="7"/>
        <c:majorTimeUnit val="days"/>
      </c:dateAx>
      <c:valAx>
        <c:axId val="90171264"/>
        <c:scaling>
          <c:orientation val="minMax"/>
          <c:min val="80"/>
        </c:scaling>
        <c:axPos val="l"/>
        <c:majorGridlines/>
        <c:numFmt formatCode="#,##0" sourceLinked="0"/>
        <c:tickLblPos val="nextTo"/>
        <c:crossAx val="89270912"/>
        <c:crosses val="autoZero"/>
        <c:crossBetween val="midCat"/>
      </c:valAx>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bg-BG"/>
  <c:chart>
    <c:autoTitleDeleted val="1"/>
    <c:plotArea>
      <c:layout>
        <c:manualLayout>
          <c:layoutTarget val="inner"/>
          <c:xMode val="edge"/>
          <c:yMode val="edge"/>
          <c:x val="8.0651338497133768E-2"/>
          <c:y val="2.5236565556365612E-2"/>
          <c:w val="0.88961282875404857"/>
          <c:h val="0.8407231814870495"/>
        </c:manualLayout>
      </c:layout>
      <c:areaChart>
        <c:grouping val="standard"/>
        <c:ser>
          <c:idx val="0"/>
          <c:order val="0"/>
          <c:tx>
            <c:strRef>
              <c:f>'5 index'!$H$17</c:f>
              <c:strCache>
                <c:ptCount val="1"/>
                <c:pt idx="0">
                  <c:v>BGREIT</c:v>
                </c:pt>
              </c:strCache>
            </c:strRef>
          </c:tx>
          <c:spPr>
            <a:pattFill prst="pct75">
              <a:fgClr>
                <a:srgbClr val="92D050"/>
              </a:fgClr>
              <a:bgClr>
                <a:schemeClr val="bg1"/>
              </a:bgClr>
            </a:pattFill>
          </c:spPr>
          <c:cat>
            <c:numRef>
              <c:f>'5 index'!$I$18:$I$143</c:f>
              <c:numCache>
                <c:formatCode>d/m/yyyy</c:formatCode>
                <c:ptCount val="126"/>
                <c:pt idx="0">
                  <c:v>43739.71875</c:v>
                </c:pt>
                <c:pt idx="1">
                  <c:v>43740.71875</c:v>
                </c:pt>
                <c:pt idx="2">
                  <c:v>43741.71875</c:v>
                </c:pt>
                <c:pt idx="3">
                  <c:v>43742.71875</c:v>
                </c:pt>
                <c:pt idx="4">
                  <c:v>43745.71875</c:v>
                </c:pt>
                <c:pt idx="5">
                  <c:v>43746.71875</c:v>
                </c:pt>
                <c:pt idx="6">
                  <c:v>43747.71875</c:v>
                </c:pt>
                <c:pt idx="7">
                  <c:v>43748.71875</c:v>
                </c:pt>
                <c:pt idx="8">
                  <c:v>43749.71875</c:v>
                </c:pt>
                <c:pt idx="9">
                  <c:v>43752.71875</c:v>
                </c:pt>
                <c:pt idx="10">
                  <c:v>43753.71875</c:v>
                </c:pt>
                <c:pt idx="11">
                  <c:v>43754.71875</c:v>
                </c:pt>
                <c:pt idx="12">
                  <c:v>43755.71875</c:v>
                </c:pt>
                <c:pt idx="13">
                  <c:v>43756.71875</c:v>
                </c:pt>
                <c:pt idx="14">
                  <c:v>43759.71875</c:v>
                </c:pt>
                <c:pt idx="15">
                  <c:v>43760.71875</c:v>
                </c:pt>
                <c:pt idx="16">
                  <c:v>43761.71875</c:v>
                </c:pt>
                <c:pt idx="17">
                  <c:v>43762.71875</c:v>
                </c:pt>
                <c:pt idx="18">
                  <c:v>43763.71875</c:v>
                </c:pt>
                <c:pt idx="19">
                  <c:v>43766.71875</c:v>
                </c:pt>
                <c:pt idx="20">
                  <c:v>43767.71875</c:v>
                </c:pt>
                <c:pt idx="21">
                  <c:v>43768.71875</c:v>
                </c:pt>
                <c:pt idx="22">
                  <c:v>43769.71875</c:v>
                </c:pt>
                <c:pt idx="23">
                  <c:v>43770.71875</c:v>
                </c:pt>
                <c:pt idx="24">
                  <c:v>43773.71875</c:v>
                </c:pt>
                <c:pt idx="25">
                  <c:v>43774.71875</c:v>
                </c:pt>
                <c:pt idx="26">
                  <c:v>43775.71875</c:v>
                </c:pt>
                <c:pt idx="27">
                  <c:v>43776.71875</c:v>
                </c:pt>
                <c:pt idx="28">
                  <c:v>43777.71875</c:v>
                </c:pt>
                <c:pt idx="29">
                  <c:v>43780.71875</c:v>
                </c:pt>
                <c:pt idx="30">
                  <c:v>43781.71875</c:v>
                </c:pt>
                <c:pt idx="31">
                  <c:v>43782.71875</c:v>
                </c:pt>
                <c:pt idx="32">
                  <c:v>43783.71875</c:v>
                </c:pt>
                <c:pt idx="33">
                  <c:v>43784.71875</c:v>
                </c:pt>
                <c:pt idx="34">
                  <c:v>43787.71875</c:v>
                </c:pt>
                <c:pt idx="35">
                  <c:v>43788.71875</c:v>
                </c:pt>
                <c:pt idx="36">
                  <c:v>43789.71875</c:v>
                </c:pt>
                <c:pt idx="37">
                  <c:v>43790.71875</c:v>
                </c:pt>
                <c:pt idx="38">
                  <c:v>43791.71875</c:v>
                </c:pt>
                <c:pt idx="39">
                  <c:v>43794.71875</c:v>
                </c:pt>
                <c:pt idx="40">
                  <c:v>43795.71875</c:v>
                </c:pt>
                <c:pt idx="41">
                  <c:v>43796.71875</c:v>
                </c:pt>
                <c:pt idx="42">
                  <c:v>43797.71875</c:v>
                </c:pt>
                <c:pt idx="43">
                  <c:v>43798.71875</c:v>
                </c:pt>
                <c:pt idx="44">
                  <c:v>43801.71875</c:v>
                </c:pt>
                <c:pt idx="45">
                  <c:v>43802.71875</c:v>
                </c:pt>
                <c:pt idx="46">
                  <c:v>43803.71875</c:v>
                </c:pt>
                <c:pt idx="47">
                  <c:v>43804.71875</c:v>
                </c:pt>
                <c:pt idx="48">
                  <c:v>43805.71875</c:v>
                </c:pt>
                <c:pt idx="49">
                  <c:v>43808.71875</c:v>
                </c:pt>
                <c:pt idx="50">
                  <c:v>43809.71875</c:v>
                </c:pt>
                <c:pt idx="51">
                  <c:v>43810.71875</c:v>
                </c:pt>
                <c:pt idx="52">
                  <c:v>43811.71875</c:v>
                </c:pt>
                <c:pt idx="53">
                  <c:v>43812.71875</c:v>
                </c:pt>
                <c:pt idx="54">
                  <c:v>43815.71875</c:v>
                </c:pt>
                <c:pt idx="55">
                  <c:v>43816.71875</c:v>
                </c:pt>
                <c:pt idx="56">
                  <c:v>43817.71875</c:v>
                </c:pt>
                <c:pt idx="57">
                  <c:v>43818.71875</c:v>
                </c:pt>
                <c:pt idx="58">
                  <c:v>43819.71875</c:v>
                </c:pt>
                <c:pt idx="59">
                  <c:v>43822.71875</c:v>
                </c:pt>
                <c:pt idx="60">
                  <c:v>43826.71875</c:v>
                </c:pt>
                <c:pt idx="61">
                  <c:v>43829.71875</c:v>
                </c:pt>
                <c:pt idx="62">
                  <c:v>43832.71875</c:v>
                </c:pt>
                <c:pt idx="63">
                  <c:v>43833.71875</c:v>
                </c:pt>
                <c:pt idx="64">
                  <c:v>43836.71875</c:v>
                </c:pt>
                <c:pt idx="65">
                  <c:v>43837.71875</c:v>
                </c:pt>
                <c:pt idx="66">
                  <c:v>43838.71875</c:v>
                </c:pt>
                <c:pt idx="67">
                  <c:v>43839.71875</c:v>
                </c:pt>
                <c:pt idx="68">
                  <c:v>43840.71875</c:v>
                </c:pt>
                <c:pt idx="69">
                  <c:v>43843.71875</c:v>
                </c:pt>
                <c:pt idx="70">
                  <c:v>43844.71875</c:v>
                </c:pt>
                <c:pt idx="71">
                  <c:v>43845.71875</c:v>
                </c:pt>
                <c:pt idx="72">
                  <c:v>43846.71875</c:v>
                </c:pt>
                <c:pt idx="73">
                  <c:v>43847.71875</c:v>
                </c:pt>
                <c:pt idx="74">
                  <c:v>43850.71875</c:v>
                </c:pt>
                <c:pt idx="75">
                  <c:v>43851.71875</c:v>
                </c:pt>
                <c:pt idx="76">
                  <c:v>43852.71875</c:v>
                </c:pt>
                <c:pt idx="77">
                  <c:v>43853.71875</c:v>
                </c:pt>
                <c:pt idx="78">
                  <c:v>43854.71875</c:v>
                </c:pt>
                <c:pt idx="79">
                  <c:v>43857.71875</c:v>
                </c:pt>
                <c:pt idx="80">
                  <c:v>43858.71875</c:v>
                </c:pt>
                <c:pt idx="81">
                  <c:v>43859.71875</c:v>
                </c:pt>
                <c:pt idx="82">
                  <c:v>43860.71875</c:v>
                </c:pt>
                <c:pt idx="83">
                  <c:v>43861.71875</c:v>
                </c:pt>
                <c:pt idx="84">
                  <c:v>43864.71875</c:v>
                </c:pt>
                <c:pt idx="85">
                  <c:v>43865.71875</c:v>
                </c:pt>
                <c:pt idx="86">
                  <c:v>43866.71875</c:v>
                </c:pt>
                <c:pt idx="87">
                  <c:v>43867.71875</c:v>
                </c:pt>
                <c:pt idx="88">
                  <c:v>43868.71875</c:v>
                </c:pt>
                <c:pt idx="89">
                  <c:v>43871.71875</c:v>
                </c:pt>
                <c:pt idx="90">
                  <c:v>43872.71875</c:v>
                </c:pt>
                <c:pt idx="91">
                  <c:v>43873.71875</c:v>
                </c:pt>
                <c:pt idx="92">
                  <c:v>43874.71875</c:v>
                </c:pt>
                <c:pt idx="93">
                  <c:v>43875.71875</c:v>
                </c:pt>
                <c:pt idx="94">
                  <c:v>43878.71875</c:v>
                </c:pt>
                <c:pt idx="95">
                  <c:v>43879.71875</c:v>
                </c:pt>
                <c:pt idx="96">
                  <c:v>43880.71875</c:v>
                </c:pt>
                <c:pt idx="97">
                  <c:v>43881.71875</c:v>
                </c:pt>
                <c:pt idx="98">
                  <c:v>43882.71875</c:v>
                </c:pt>
                <c:pt idx="99">
                  <c:v>43885.71875</c:v>
                </c:pt>
                <c:pt idx="100">
                  <c:v>43886.71875</c:v>
                </c:pt>
                <c:pt idx="101">
                  <c:v>43887.71875</c:v>
                </c:pt>
                <c:pt idx="102">
                  <c:v>43888.71875</c:v>
                </c:pt>
                <c:pt idx="103">
                  <c:v>43889.71875</c:v>
                </c:pt>
                <c:pt idx="104">
                  <c:v>43892.71875</c:v>
                </c:pt>
                <c:pt idx="105">
                  <c:v>43894.71875</c:v>
                </c:pt>
                <c:pt idx="106">
                  <c:v>43895.71875</c:v>
                </c:pt>
                <c:pt idx="107">
                  <c:v>43896.71875</c:v>
                </c:pt>
                <c:pt idx="108">
                  <c:v>43899.71875</c:v>
                </c:pt>
                <c:pt idx="109">
                  <c:v>43900.71875</c:v>
                </c:pt>
                <c:pt idx="110">
                  <c:v>43901.71875</c:v>
                </c:pt>
                <c:pt idx="111">
                  <c:v>43902.71875</c:v>
                </c:pt>
                <c:pt idx="112">
                  <c:v>43903.71875</c:v>
                </c:pt>
                <c:pt idx="113">
                  <c:v>43906.71875</c:v>
                </c:pt>
                <c:pt idx="114">
                  <c:v>43907.71875</c:v>
                </c:pt>
                <c:pt idx="115">
                  <c:v>43908.71875</c:v>
                </c:pt>
                <c:pt idx="116">
                  <c:v>43909.71875</c:v>
                </c:pt>
                <c:pt idx="117">
                  <c:v>43910.71875</c:v>
                </c:pt>
                <c:pt idx="118">
                  <c:v>43913.71875</c:v>
                </c:pt>
                <c:pt idx="119">
                  <c:v>43914.71875</c:v>
                </c:pt>
                <c:pt idx="120">
                  <c:v>43915.71875</c:v>
                </c:pt>
                <c:pt idx="121">
                  <c:v>43916.71875</c:v>
                </c:pt>
                <c:pt idx="122">
                  <c:v>43917.71875</c:v>
                </c:pt>
                <c:pt idx="123">
                  <c:v>43920.71875</c:v>
                </c:pt>
                <c:pt idx="124">
                  <c:v>43921.71875</c:v>
                </c:pt>
              </c:numCache>
            </c:numRef>
          </c:cat>
          <c:val>
            <c:numRef>
              <c:f>'5 index'!$J$18:$J$143</c:f>
              <c:numCache>
                <c:formatCode>#,##0.00</c:formatCode>
                <c:ptCount val="126"/>
                <c:pt idx="0">
                  <c:v>128.08000000000001</c:v>
                </c:pt>
                <c:pt idx="1">
                  <c:v>127.83</c:v>
                </c:pt>
                <c:pt idx="2">
                  <c:v>126.98</c:v>
                </c:pt>
                <c:pt idx="3">
                  <c:v>127.11</c:v>
                </c:pt>
                <c:pt idx="4">
                  <c:v>127.16999999999999</c:v>
                </c:pt>
                <c:pt idx="5">
                  <c:v>127.42</c:v>
                </c:pt>
                <c:pt idx="6">
                  <c:v>127.29</c:v>
                </c:pt>
                <c:pt idx="7">
                  <c:v>127.55</c:v>
                </c:pt>
                <c:pt idx="8">
                  <c:v>127.86999999999999</c:v>
                </c:pt>
                <c:pt idx="9">
                  <c:v>127.66999999999999</c:v>
                </c:pt>
                <c:pt idx="10">
                  <c:v>127.97</c:v>
                </c:pt>
                <c:pt idx="11">
                  <c:v>127.64999999999999</c:v>
                </c:pt>
                <c:pt idx="12">
                  <c:v>127.9</c:v>
                </c:pt>
                <c:pt idx="13">
                  <c:v>127.84</c:v>
                </c:pt>
                <c:pt idx="14">
                  <c:v>127.79</c:v>
                </c:pt>
                <c:pt idx="15">
                  <c:v>127.77</c:v>
                </c:pt>
                <c:pt idx="16">
                  <c:v>127.98</c:v>
                </c:pt>
                <c:pt idx="17">
                  <c:v>127.66</c:v>
                </c:pt>
                <c:pt idx="18">
                  <c:v>127.98</c:v>
                </c:pt>
                <c:pt idx="19">
                  <c:v>127.61</c:v>
                </c:pt>
                <c:pt idx="20">
                  <c:v>127.66999999999999</c:v>
                </c:pt>
                <c:pt idx="21">
                  <c:v>126.55</c:v>
                </c:pt>
                <c:pt idx="22">
                  <c:v>130.41999999999999</c:v>
                </c:pt>
                <c:pt idx="23">
                  <c:v>129.66</c:v>
                </c:pt>
                <c:pt idx="24">
                  <c:v>129.09</c:v>
                </c:pt>
                <c:pt idx="25">
                  <c:v>129.25</c:v>
                </c:pt>
                <c:pt idx="26">
                  <c:v>129.38000000000127</c:v>
                </c:pt>
                <c:pt idx="27">
                  <c:v>129.31</c:v>
                </c:pt>
                <c:pt idx="28">
                  <c:v>129.31</c:v>
                </c:pt>
                <c:pt idx="29">
                  <c:v>129.16999999999999</c:v>
                </c:pt>
                <c:pt idx="30">
                  <c:v>130.04</c:v>
                </c:pt>
                <c:pt idx="31">
                  <c:v>129.84</c:v>
                </c:pt>
                <c:pt idx="32">
                  <c:v>129.56</c:v>
                </c:pt>
                <c:pt idx="33">
                  <c:v>129.88000000000127</c:v>
                </c:pt>
                <c:pt idx="34">
                  <c:v>130.47</c:v>
                </c:pt>
                <c:pt idx="35">
                  <c:v>129.68</c:v>
                </c:pt>
                <c:pt idx="36">
                  <c:v>129.5</c:v>
                </c:pt>
                <c:pt idx="37">
                  <c:v>129.06</c:v>
                </c:pt>
                <c:pt idx="38">
                  <c:v>129.06</c:v>
                </c:pt>
                <c:pt idx="39">
                  <c:v>128.56</c:v>
                </c:pt>
                <c:pt idx="40">
                  <c:v>128.22</c:v>
                </c:pt>
                <c:pt idx="41">
                  <c:v>128.47999999999999</c:v>
                </c:pt>
                <c:pt idx="42">
                  <c:v>128.83000000000001</c:v>
                </c:pt>
                <c:pt idx="43">
                  <c:v>128.70999999999998</c:v>
                </c:pt>
                <c:pt idx="44">
                  <c:v>129.54</c:v>
                </c:pt>
                <c:pt idx="45">
                  <c:v>128.78</c:v>
                </c:pt>
                <c:pt idx="46">
                  <c:v>130.79</c:v>
                </c:pt>
                <c:pt idx="47">
                  <c:v>130.82000000000087</c:v>
                </c:pt>
                <c:pt idx="48">
                  <c:v>130.76999999999998</c:v>
                </c:pt>
                <c:pt idx="49">
                  <c:v>130.85000000000107</c:v>
                </c:pt>
                <c:pt idx="50">
                  <c:v>130.72999999999999</c:v>
                </c:pt>
                <c:pt idx="51">
                  <c:v>130.13999999999999</c:v>
                </c:pt>
                <c:pt idx="52">
                  <c:v>130.13999999999999</c:v>
                </c:pt>
                <c:pt idx="53">
                  <c:v>130.26</c:v>
                </c:pt>
                <c:pt idx="54">
                  <c:v>130.13</c:v>
                </c:pt>
                <c:pt idx="55">
                  <c:v>129.19</c:v>
                </c:pt>
                <c:pt idx="56">
                  <c:v>129.53</c:v>
                </c:pt>
                <c:pt idx="57">
                  <c:v>130.32000000000087</c:v>
                </c:pt>
                <c:pt idx="58">
                  <c:v>130.44</c:v>
                </c:pt>
                <c:pt idx="59">
                  <c:v>130.51</c:v>
                </c:pt>
                <c:pt idx="60">
                  <c:v>130.32000000000087</c:v>
                </c:pt>
                <c:pt idx="61">
                  <c:v>130.03</c:v>
                </c:pt>
                <c:pt idx="62">
                  <c:v>131.08000000000001</c:v>
                </c:pt>
                <c:pt idx="63">
                  <c:v>131.19999999999999</c:v>
                </c:pt>
                <c:pt idx="64">
                  <c:v>131.19999999999999</c:v>
                </c:pt>
                <c:pt idx="65">
                  <c:v>131.26999999999998</c:v>
                </c:pt>
                <c:pt idx="66">
                  <c:v>132.37</c:v>
                </c:pt>
                <c:pt idx="67">
                  <c:v>132.56</c:v>
                </c:pt>
                <c:pt idx="68">
                  <c:v>132.94</c:v>
                </c:pt>
                <c:pt idx="69">
                  <c:v>133.47</c:v>
                </c:pt>
                <c:pt idx="70">
                  <c:v>132.94</c:v>
                </c:pt>
                <c:pt idx="71">
                  <c:v>133.5</c:v>
                </c:pt>
                <c:pt idx="72">
                  <c:v>133.78</c:v>
                </c:pt>
                <c:pt idx="73">
                  <c:v>134.44999999999999</c:v>
                </c:pt>
                <c:pt idx="74">
                  <c:v>134.54</c:v>
                </c:pt>
                <c:pt idx="75">
                  <c:v>134.83000000000001</c:v>
                </c:pt>
                <c:pt idx="76">
                  <c:v>135.1</c:v>
                </c:pt>
                <c:pt idx="77">
                  <c:v>134.52000000000001</c:v>
                </c:pt>
                <c:pt idx="78">
                  <c:v>135.1</c:v>
                </c:pt>
                <c:pt idx="79">
                  <c:v>134.13999999999999</c:v>
                </c:pt>
                <c:pt idx="80">
                  <c:v>134.62</c:v>
                </c:pt>
                <c:pt idx="81">
                  <c:v>134.85000000000107</c:v>
                </c:pt>
                <c:pt idx="82">
                  <c:v>134.03</c:v>
                </c:pt>
                <c:pt idx="83">
                  <c:v>133.72999999999999</c:v>
                </c:pt>
                <c:pt idx="84">
                  <c:v>134.07</c:v>
                </c:pt>
                <c:pt idx="85">
                  <c:v>134.4</c:v>
                </c:pt>
                <c:pt idx="86">
                  <c:v>134.4</c:v>
                </c:pt>
                <c:pt idx="87">
                  <c:v>134.36000000000001</c:v>
                </c:pt>
                <c:pt idx="88">
                  <c:v>134.19</c:v>
                </c:pt>
                <c:pt idx="89">
                  <c:v>134.19999999999999</c:v>
                </c:pt>
                <c:pt idx="90">
                  <c:v>133.41999999999999</c:v>
                </c:pt>
                <c:pt idx="91">
                  <c:v>133.94</c:v>
                </c:pt>
                <c:pt idx="92">
                  <c:v>133.87</c:v>
                </c:pt>
                <c:pt idx="93">
                  <c:v>133.59</c:v>
                </c:pt>
                <c:pt idx="94">
                  <c:v>134.13999999999999</c:v>
                </c:pt>
                <c:pt idx="95">
                  <c:v>133.13999999999999</c:v>
                </c:pt>
                <c:pt idx="96">
                  <c:v>133.5</c:v>
                </c:pt>
                <c:pt idx="97">
                  <c:v>133.66</c:v>
                </c:pt>
                <c:pt idx="98">
                  <c:v>134.37</c:v>
                </c:pt>
                <c:pt idx="99">
                  <c:v>133.41999999999999</c:v>
                </c:pt>
                <c:pt idx="100">
                  <c:v>133.79</c:v>
                </c:pt>
                <c:pt idx="101">
                  <c:v>134.22</c:v>
                </c:pt>
                <c:pt idx="102">
                  <c:v>134.79</c:v>
                </c:pt>
                <c:pt idx="103">
                  <c:v>136.39000000000001</c:v>
                </c:pt>
                <c:pt idx="104">
                  <c:v>136.63</c:v>
                </c:pt>
                <c:pt idx="105">
                  <c:v>136.25</c:v>
                </c:pt>
                <c:pt idx="106">
                  <c:v>136.25</c:v>
                </c:pt>
                <c:pt idx="107">
                  <c:v>136.16999999999999</c:v>
                </c:pt>
                <c:pt idx="108">
                  <c:v>133.25</c:v>
                </c:pt>
                <c:pt idx="109">
                  <c:v>131.5</c:v>
                </c:pt>
                <c:pt idx="110">
                  <c:v>130.83000000000001</c:v>
                </c:pt>
                <c:pt idx="111">
                  <c:v>128.9</c:v>
                </c:pt>
                <c:pt idx="112">
                  <c:v>129.5</c:v>
                </c:pt>
                <c:pt idx="113">
                  <c:v>125.71000000000002</c:v>
                </c:pt>
                <c:pt idx="114">
                  <c:v>127.38</c:v>
                </c:pt>
                <c:pt idx="115">
                  <c:v>126.8</c:v>
                </c:pt>
                <c:pt idx="116">
                  <c:v>126.26</c:v>
                </c:pt>
                <c:pt idx="117">
                  <c:v>125.41000000000012</c:v>
                </c:pt>
                <c:pt idx="118">
                  <c:v>124.3</c:v>
                </c:pt>
                <c:pt idx="119">
                  <c:v>125.99000000000002</c:v>
                </c:pt>
                <c:pt idx="120">
                  <c:v>126.27</c:v>
                </c:pt>
                <c:pt idx="121">
                  <c:v>125.23</c:v>
                </c:pt>
                <c:pt idx="122">
                  <c:v>125.14999999999999</c:v>
                </c:pt>
                <c:pt idx="123">
                  <c:v>125.6</c:v>
                </c:pt>
                <c:pt idx="124">
                  <c:v>125.07</c:v>
                </c:pt>
              </c:numCache>
            </c:numRef>
          </c:val>
          <c:extLst xmlns:c16r2="http://schemas.microsoft.com/office/drawing/2015/06/chart">
            <c:ext xmlns:c16="http://schemas.microsoft.com/office/drawing/2014/chart" uri="{C3380CC4-5D6E-409C-BE32-E72D297353CC}">
              <c16:uniqueId val="{00000000-C994-4B20-9D9A-60040B240E49}"/>
            </c:ext>
          </c:extLst>
        </c:ser>
        <c:axId val="91078656"/>
        <c:axId val="91081344"/>
      </c:areaChart>
      <c:dateAx>
        <c:axId val="91078656"/>
        <c:scaling>
          <c:orientation val="minMax"/>
        </c:scaling>
        <c:axPos val="b"/>
        <c:numFmt formatCode="dd/mm" sourceLinked="0"/>
        <c:tickLblPos val="nextTo"/>
        <c:crossAx val="91081344"/>
        <c:crosses val="autoZero"/>
        <c:lblOffset val="100"/>
        <c:baseTimeUnit val="days"/>
        <c:majorUnit val="7"/>
        <c:majorTimeUnit val="days"/>
      </c:dateAx>
      <c:valAx>
        <c:axId val="91081344"/>
        <c:scaling>
          <c:orientation val="minMax"/>
        </c:scaling>
        <c:axPos val="l"/>
        <c:majorGridlines/>
        <c:numFmt formatCode="#,##0" sourceLinked="0"/>
        <c:tickLblPos val="nextTo"/>
        <c:crossAx val="91078656"/>
        <c:crosses val="autoZero"/>
        <c:crossBetween val="midCat"/>
      </c:valAx>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9.0385149205497256E-2"/>
          <c:y val="5.8417843112369673E-2"/>
          <c:w val="0.85671872265966764"/>
          <c:h val="0.74862747712891675"/>
        </c:manualLayout>
      </c:layout>
      <c:barChart>
        <c:barDir val="col"/>
        <c:grouping val="clustered"/>
        <c:ser>
          <c:idx val="0"/>
          <c:order val="0"/>
          <c:tx>
            <c:strRef>
              <c:f>'7 BSO'!$D$17</c:f>
              <c:strCache>
                <c:ptCount val="1"/>
                <c:pt idx="0">
                  <c:v>Обем (лотове)</c:v>
                </c:pt>
              </c:strCache>
            </c:strRef>
          </c:tx>
          <c:cat>
            <c:numRef>
              <c:f>'7 BSO'!$C$19:$C$386</c:f>
              <c:numCache>
                <c:formatCode>d/m/yyyy</c:formatCode>
                <c:ptCount val="368"/>
                <c:pt idx="0">
                  <c:v>43739</c:v>
                </c:pt>
                <c:pt idx="1">
                  <c:v>43740</c:v>
                </c:pt>
                <c:pt idx="2">
                  <c:v>43741</c:v>
                </c:pt>
                <c:pt idx="3">
                  <c:v>43742</c:v>
                </c:pt>
                <c:pt idx="4">
                  <c:v>43743</c:v>
                </c:pt>
                <c:pt idx="5">
                  <c:v>43744</c:v>
                </c:pt>
                <c:pt idx="6">
                  <c:v>43745</c:v>
                </c:pt>
                <c:pt idx="7">
                  <c:v>43746</c:v>
                </c:pt>
                <c:pt idx="8">
                  <c:v>43747</c:v>
                </c:pt>
                <c:pt idx="9">
                  <c:v>43748</c:v>
                </c:pt>
                <c:pt idx="10">
                  <c:v>43749</c:v>
                </c:pt>
                <c:pt idx="11">
                  <c:v>43750</c:v>
                </c:pt>
                <c:pt idx="12">
                  <c:v>43751</c:v>
                </c:pt>
                <c:pt idx="13">
                  <c:v>43752</c:v>
                </c:pt>
                <c:pt idx="14">
                  <c:v>43753</c:v>
                </c:pt>
                <c:pt idx="15">
                  <c:v>43754</c:v>
                </c:pt>
                <c:pt idx="16">
                  <c:v>43755</c:v>
                </c:pt>
                <c:pt idx="17">
                  <c:v>43756</c:v>
                </c:pt>
                <c:pt idx="18">
                  <c:v>43757</c:v>
                </c:pt>
                <c:pt idx="19">
                  <c:v>43758</c:v>
                </c:pt>
                <c:pt idx="20">
                  <c:v>43759</c:v>
                </c:pt>
                <c:pt idx="21">
                  <c:v>43760</c:v>
                </c:pt>
                <c:pt idx="22">
                  <c:v>43761</c:v>
                </c:pt>
                <c:pt idx="23">
                  <c:v>43762</c:v>
                </c:pt>
                <c:pt idx="24">
                  <c:v>43763</c:v>
                </c:pt>
                <c:pt idx="25">
                  <c:v>43764</c:v>
                </c:pt>
                <c:pt idx="26">
                  <c:v>43765</c:v>
                </c:pt>
                <c:pt idx="27">
                  <c:v>43766</c:v>
                </c:pt>
                <c:pt idx="28">
                  <c:v>43767</c:v>
                </c:pt>
                <c:pt idx="29">
                  <c:v>43768</c:v>
                </c:pt>
                <c:pt idx="30">
                  <c:v>43769</c:v>
                </c:pt>
                <c:pt idx="31">
                  <c:v>43770</c:v>
                </c:pt>
                <c:pt idx="32">
                  <c:v>43771</c:v>
                </c:pt>
                <c:pt idx="33">
                  <c:v>43772</c:v>
                </c:pt>
                <c:pt idx="34">
                  <c:v>43773</c:v>
                </c:pt>
                <c:pt idx="35">
                  <c:v>43774</c:v>
                </c:pt>
                <c:pt idx="36">
                  <c:v>43775</c:v>
                </c:pt>
                <c:pt idx="37">
                  <c:v>43776</c:v>
                </c:pt>
                <c:pt idx="38">
                  <c:v>43777</c:v>
                </c:pt>
                <c:pt idx="39">
                  <c:v>43778</c:v>
                </c:pt>
                <c:pt idx="40">
                  <c:v>43779</c:v>
                </c:pt>
                <c:pt idx="41">
                  <c:v>43780</c:v>
                </c:pt>
                <c:pt idx="42">
                  <c:v>43781</c:v>
                </c:pt>
                <c:pt idx="43">
                  <c:v>43782</c:v>
                </c:pt>
                <c:pt idx="44">
                  <c:v>43783</c:v>
                </c:pt>
                <c:pt idx="45">
                  <c:v>43784</c:v>
                </c:pt>
                <c:pt idx="46">
                  <c:v>43785</c:v>
                </c:pt>
                <c:pt idx="47">
                  <c:v>43786</c:v>
                </c:pt>
                <c:pt idx="48">
                  <c:v>43787</c:v>
                </c:pt>
                <c:pt idx="49">
                  <c:v>43788</c:v>
                </c:pt>
                <c:pt idx="50">
                  <c:v>43789</c:v>
                </c:pt>
                <c:pt idx="51">
                  <c:v>43790</c:v>
                </c:pt>
                <c:pt idx="52">
                  <c:v>43791</c:v>
                </c:pt>
                <c:pt idx="53">
                  <c:v>43792</c:v>
                </c:pt>
                <c:pt idx="54">
                  <c:v>43793</c:v>
                </c:pt>
                <c:pt idx="55">
                  <c:v>43794</c:v>
                </c:pt>
                <c:pt idx="56">
                  <c:v>43795</c:v>
                </c:pt>
                <c:pt idx="57">
                  <c:v>43796</c:v>
                </c:pt>
                <c:pt idx="58">
                  <c:v>43797</c:v>
                </c:pt>
                <c:pt idx="59">
                  <c:v>43798</c:v>
                </c:pt>
                <c:pt idx="60">
                  <c:v>43799</c:v>
                </c:pt>
                <c:pt idx="61">
                  <c:v>43800</c:v>
                </c:pt>
                <c:pt idx="62">
                  <c:v>43801</c:v>
                </c:pt>
                <c:pt idx="63">
                  <c:v>43802</c:v>
                </c:pt>
                <c:pt idx="64">
                  <c:v>43803</c:v>
                </c:pt>
                <c:pt idx="65">
                  <c:v>43804</c:v>
                </c:pt>
                <c:pt idx="66">
                  <c:v>43805</c:v>
                </c:pt>
                <c:pt idx="67">
                  <c:v>43806</c:v>
                </c:pt>
                <c:pt idx="68">
                  <c:v>43807</c:v>
                </c:pt>
                <c:pt idx="69">
                  <c:v>43808</c:v>
                </c:pt>
                <c:pt idx="70">
                  <c:v>43809</c:v>
                </c:pt>
                <c:pt idx="71">
                  <c:v>43810</c:v>
                </c:pt>
                <c:pt idx="72">
                  <c:v>43811</c:v>
                </c:pt>
                <c:pt idx="73">
                  <c:v>43812</c:v>
                </c:pt>
                <c:pt idx="74">
                  <c:v>43813</c:v>
                </c:pt>
                <c:pt idx="75">
                  <c:v>43814</c:v>
                </c:pt>
                <c:pt idx="76">
                  <c:v>43815</c:v>
                </c:pt>
                <c:pt idx="77">
                  <c:v>43816</c:v>
                </c:pt>
                <c:pt idx="78">
                  <c:v>43817</c:v>
                </c:pt>
                <c:pt idx="79">
                  <c:v>43818</c:v>
                </c:pt>
                <c:pt idx="80">
                  <c:v>43819</c:v>
                </c:pt>
                <c:pt idx="81">
                  <c:v>43820</c:v>
                </c:pt>
                <c:pt idx="82">
                  <c:v>43821</c:v>
                </c:pt>
                <c:pt idx="83">
                  <c:v>43822</c:v>
                </c:pt>
                <c:pt idx="84">
                  <c:v>43823</c:v>
                </c:pt>
                <c:pt idx="85">
                  <c:v>43824</c:v>
                </c:pt>
                <c:pt idx="86">
                  <c:v>43825</c:v>
                </c:pt>
                <c:pt idx="87">
                  <c:v>43826</c:v>
                </c:pt>
                <c:pt idx="88">
                  <c:v>43827</c:v>
                </c:pt>
                <c:pt idx="89">
                  <c:v>43828</c:v>
                </c:pt>
                <c:pt idx="90">
                  <c:v>43829</c:v>
                </c:pt>
                <c:pt idx="91">
                  <c:v>43830</c:v>
                </c:pt>
                <c:pt idx="92">
                  <c:v>43831</c:v>
                </c:pt>
                <c:pt idx="93">
                  <c:v>43832</c:v>
                </c:pt>
                <c:pt idx="94">
                  <c:v>43833</c:v>
                </c:pt>
                <c:pt idx="95">
                  <c:v>43834</c:v>
                </c:pt>
                <c:pt idx="96">
                  <c:v>43835</c:v>
                </c:pt>
                <c:pt idx="97">
                  <c:v>43836</c:v>
                </c:pt>
                <c:pt idx="98">
                  <c:v>43837</c:v>
                </c:pt>
                <c:pt idx="99">
                  <c:v>43838</c:v>
                </c:pt>
                <c:pt idx="100">
                  <c:v>43839</c:v>
                </c:pt>
                <c:pt idx="101">
                  <c:v>43840</c:v>
                </c:pt>
                <c:pt idx="102">
                  <c:v>43841</c:v>
                </c:pt>
                <c:pt idx="103">
                  <c:v>43842</c:v>
                </c:pt>
                <c:pt idx="104">
                  <c:v>43843</c:v>
                </c:pt>
                <c:pt idx="105">
                  <c:v>43844</c:v>
                </c:pt>
                <c:pt idx="106">
                  <c:v>43845</c:v>
                </c:pt>
                <c:pt idx="107">
                  <c:v>43846</c:v>
                </c:pt>
                <c:pt idx="108">
                  <c:v>43847</c:v>
                </c:pt>
                <c:pt idx="109">
                  <c:v>43848</c:v>
                </c:pt>
                <c:pt idx="110">
                  <c:v>43849</c:v>
                </c:pt>
                <c:pt idx="111">
                  <c:v>43850</c:v>
                </c:pt>
                <c:pt idx="112">
                  <c:v>43851</c:v>
                </c:pt>
                <c:pt idx="113">
                  <c:v>43852</c:v>
                </c:pt>
                <c:pt idx="114">
                  <c:v>43853</c:v>
                </c:pt>
                <c:pt idx="115">
                  <c:v>43854</c:v>
                </c:pt>
                <c:pt idx="116">
                  <c:v>43855</c:v>
                </c:pt>
                <c:pt idx="117">
                  <c:v>43856</c:v>
                </c:pt>
                <c:pt idx="118">
                  <c:v>43857</c:v>
                </c:pt>
                <c:pt idx="119">
                  <c:v>43858</c:v>
                </c:pt>
                <c:pt idx="120">
                  <c:v>43859</c:v>
                </c:pt>
                <c:pt idx="121">
                  <c:v>43860</c:v>
                </c:pt>
                <c:pt idx="122">
                  <c:v>43861</c:v>
                </c:pt>
                <c:pt idx="123">
                  <c:v>43862</c:v>
                </c:pt>
                <c:pt idx="124">
                  <c:v>43863</c:v>
                </c:pt>
                <c:pt idx="125">
                  <c:v>43864</c:v>
                </c:pt>
                <c:pt idx="126">
                  <c:v>43865</c:v>
                </c:pt>
                <c:pt idx="127">
                  <c:v>43866</c:v>
                </c:pt>
                <c:pt idx="128">
                  <c:v>43867</c:v>
                </c:pt>
                <c:pt idx="129">
                  <c:v>43868</c:v>
                </c:pt>
                <c:pt idx="130">
                  <c:v>43869</c:v>
                </c:pt>
                <c:pt idx="131">
                  <c:v>43870</c:v>
                </c:pt>
                <c:pt idx="132">
                  <c:v>43871</c:v>
                </c:pt>
                <c:pt idx="133">
                  <c:v>43872</c:v>
                </c:pt>
                <c:pt idx="134">
                  <c:v>43873</c:v>
                </c:pt>
                <c:pt idx="135">
                  <c:v>43874</c:v>
                </c:pt>
                <c:pt idx="136">
                  <c:v>43875</c:v>
                </c:pt>
                <c:pt idx="137">
                  <c:v>43876</c:v>
                </c:pt>
                <c:pt idx="138">
                  <c:v>43877</c:v>
                </c:pt>
                <c:pt idx="139">
                  <c:v>43878</c:v>
                </c:pt>
                <c:pt idx="140">
                  <c:v>43879</c:v>
                </c:pt>
                <c:pt idx="141">
                  <c:v>43880</c:v>
                </c:pt>
                <c:pt idx="142">
                  <c:v>43881</c:v>
                </c:pt>
                <c:pt idx="143">
                  <c:v>43882</c:v>
                </c:pt>
                <c:pt idx="144">
                  <c:v>43883</c:v>
                </c:pt>
                <c:pt idx="145">
                  <c:v>43884</c:v>
                </c:pt>
                <c:pt idx="146">
                  <c:v>43885</c:v>
                </c:pt>
                <c:pt idx="147">
                  <c:v>43886</c:v>
                </c:pt>
                <c:pt idx="148">
                  <c:v>43887</c:v>
                </c:pt>
                <c:pt idx="149">
                  <c:v>43888</c:v>
                </c:pt>
                <c:pt idx="150">
                  <c:v>43889</c:v>
                </c:pt>
                <c:pt idx="151">
                  <c:v>43890</c:v>
                </c:pt>
                <c:pt idx="152">
                  <c:v>43891</c:v>
                </c:pt>
                <c:pt idx="153">
                  <c:v>43892</c:v>
                </c:pt>
                <c:pt idx="154">
                  <c:v>43893</c:v>
                </c:pt>
                <c:pt idx="155">
                  <c:v>43894</c:v>
                </c:pt>
                <c:pt idx="156">
                  <c:v>43895</c:v>
                </c:pt>
                <c:pt idx="157">
                  <c:v>43896</c:v>
                </c:pt>
                <c:pt idx="158">
                  <c:v>43897</c:v>
                </c:pt>
                <c:pt idx="159">
                  <c:v>43898</c:v>
                </c:pt>
                <c:pt idx="160">
                  <c:v>43899</c:v>
                </c:pt>
                <c:pt idx="161">
                  <c:v>43900</c:v>
                </c:pt>
                <c:pt idx="162">
                  <c:v>43901</c:v>
                </c:pt>
                <c:pt idx="163">
                  <c:v>43902</c:v>
                </c:pt>
                <c:pt idx="164">
                  <c:v>43903</c:v>
                </c:pt>
                <c:pt idx="165">
                  <c:v>43904</c:v>
                </c:pt>
                <c:pt idx="166">
                  <c:v>43905</c:v>
                </c:pt>
                <c:pt idx="167">
                  <c:v>43906</c:v>
                </c:pt>
                <c:pt idx="168">
                  <c:v>43907</c:v>
                </c:pt>
                <c:pt idx="169">
                  <c:v>43908</c:v>
                </c:pt>
                <c:pt idx="170">
                  <c:v>43909</c:v>
                </c:pt>
                <c:pt idx="171">
                  <c:v>43910</c:v>
                </c:pt>
                <c:pt idx="172">
                  <c:v>43911</c:v>
                </c:pt>
                <c:pt idx="173">
                  <c:v>43912</c:v>
                </c:pt>
                <c:pt idx="174">
                  <c:v>43913</c:v>
                </c:pt>
                <c:pt idx="175">
                  <c:v>43914</c:v>
                </c:pt>
                <c:pt idx="176">
                  <c:v>43915</c:v>
                </c:pt>
                <c:pt idx="177">
                  <c:v>43916</c:v>
                </c:pt>
                <c:pt idx="178">
                  <c:v>43917</c:v>
                </c:pt>
                <c:pt idx="179">
                  <c:v>43918</c:v>
                </c:pt>
                <c:pt idx="180">
                  <c:v>43919</c:v>
                </c:pt>
                <c:pt idx="181">
                  <c:v>43920</c:v>
                </c:pt>
                <c:pt idx="182">
                  <c:v>43921</c:v>
                </c:pt>
              </c:numCache>
            </c:numRef>
          </c:cat>
          <c:val>
            <c:numRef>
              <c:f>'7 BSO'!$D$19:$D$386</c:f>
              <c:numCache>
                <c:formatCode>General</c:formatCode>
                <c:ptCount val="368"/>
                <c:pt idx="0">
                  <c:v>135</c:v>
                </c:pt>
                <c:pt idx="1">
                  <c:v>311</c:v>
                </c:pt>
                <c:pt idx="2">
                  <c:v>10</c:v>
                </c:pt>
                <c:pt idx="3">
                  <c:v>2100</c:v>
                </c:pt>
                <c:pt idx="4">
                  <c:v>0</c:v>
                </c:pt>
                <c:pt idx="5">
                  <c:v>0</c:v>
                </c:pt>
                <c:pt idx="6">
                  <c:v>0</c:v>
                </c:pt>
                <c:pt idx="7">
                  <c:v>0</c:v>
                </c:pt>
                <c:pt idx="8">
                  <c:v>0</c:v>
                </c:pt>
                <c:pt idx="9">
                  <c:v>0</c:v>
                </c:pt>
                <c:pt idx="10">
                  <c:v>0</c:v>
                </c:pt>
                <c:pt idx="11">
                  <c:v>0</c:v>
                </c:pt>
                <c:pt idx="12">
                  <c:v>0</c:v>
                </c:pt>
                <c:pt idx="13">
                  <c:v>0</c:v>
                </c:pt>
                <c:pt idx="14">
                  <c:v>0</c:v>
                </c:pt>
                <c:pt idx="15">
                  <c:v>0</c:v>
                </c:pt>
                <c:pt idx="16">
                  <c:v>0</c:v>
                </c:pt>
                <c:pt idx="17">
                  <c:v>120</c:v>
                </c:pt>
                <c:pt idx="18">
                  <c:v>0</c:v>
                </c:pt>
                <c:pt idx="19">
                  <c:v>0</c:v>
                </c:pt>
                <c:pt idx="20">
                  <c:v>0</c:v>
                </c:pt>
                <c:pt idx="21">
                  <c:v>0</c:v>
                </c:pt>
                <c:pt idx="22">
                  <c:v>0</c:v>
                </c:pt>
                <c:pt idx="23">
                  <c:v>200</c:v>
                </c:pt>
                <c:pt idx="24">
                  <c:v>0</c:v>
                </c:pt>
                <c:pt idx="25">
                  <c:v>0</c:v>
                </c:pt>
                <c:pt idx="26">
                  <c:v>0</c:v>
                </c:pt>
                <c:pt idx="27">
                  <c:v>0</c:v>
                </c:pt>
                <c:pt idx="28">
                  <c:v>800</c:v>
                </c:pt>
                <c:pt idx="29">
                  <c:v>0</c:v>
                </c:pt>
                <c:pt idx="30">
                  <c:v>0</c:v>
                </c:pt>
                <c:pt idx="31">
                  <c:v>0</c:v>
                </c:pt>
                <c:pt idx="32">
                  <c:v>0</c:v>
                </c:pt>
                <c:pt idx="33">
                  <c:v>0</c:v>
                </c:pt>
                <c:pt idx="34">
                  <c:v>559</c:v>
                </c:pt>
                <c:pt idx="35">
                  <c:v>0</c:v>
                </c:pt>
                <c:pt idx="36">
                  <c:v>3800</c:v>
                </c:pt>
                <c:pt idx="37">
                  <c:v>0</c:v>
                </c:pt>
                <c:pt idx="38">
                  <c:v>780</c:v>
                </c:pt>
                <c:pt idx="39">
                  <c:v>0</c:v>
                </c:pt>
                <c:pt idx="40">
                  <c:v>0</c:v>
                </c:pt>
                <c:pt idx="41">
                  <c:v>0</c:v>
                </c:pt>
                <c:pt idx="42">
                  <c:v>1000</c:v>
                </c:pt>
                <c:pt idx="43">
                  <c:v>1209</c:v>
                </c:pt>
                <c:pt idx="44">
                  <c:v>4500</c:v>
                </c:pt>
                <c:pt idx="45">
                  <c:v>4500</c:v>
                </c:pt>
                <c:pt idx="46">
                  <c:v>0</c:v>
                </c:pt>
                <c:pt idx="47">
                  <c:v>0</c:v>
                </c:pt>
                <c:pt idx="48">
                  <c:v>1250</c:v>
                </c:pt>
                <c:pt idx="49">
                  <c:v>0</c:v>
                </c:pt>
                <c:pt idx="50">
                  <c:v>3411</c:v>
                </c:pt>
                <c:pt idx="51">
                  <c:v>0</c:v>
                </c:pt>
                <c:pt idx="52">
                  <c:v>1884</c:v>
                </c:pt>
                <c:pt idx="53">
                  <c:v>0</c:v>
                </c:pt>
                <c:pt idx="54">
                  <c:v>0</c:v>
                </c:pt>
                <c:pt idx="55">
                  <c:v>600</c:v>
                </c:pt>
                <c:pt idx="56">
                  <c:v>200</c:v>
                </c:pt>
                <c:pt idx="57">
                  <c:v>1015</c:v>
                </c:pt>
                <c:pt idx="58">
                  <c:v>1147</c:v>
                </c:pt>
                <c:pt idx="59">
                  <c:v>2182</c:v>
                </c:pt>
                <c:pt idx="60">
                  <c:v>0</c:v>
                </c:pt>
                <c:pt idx="61">
                  <c:v>0</c:v>
                </c:pt>
                <c:pt idx="62">
                  <c:v>150</c:v>
                </c:pt>
                <c:pt idx="63">
                  <c:v>1052</c:v>
                </c:pt>
                <c:pt idx="64">
                  <c:v>1050</c:v>
                </c:pt>
                <c:pt idx="65">
                  <c:v>2500</c:v>
                </c:pt>
                <c:pt idx="66">
                  <c:v>1288</c:v>
                </c:pt>
                <c:pt idx="67">
                  <c:v>0</c:v>
                </c:pt>
                <c:pt idx="68">
                  <c:v>0</c:v>
                </c:pt>
                <c:pt idx="69">
                  <c:v>2000</c:v>
                </c:pt>
                <c:pt idx="70">
                  <c:v>0</c:v>
                </c:pt>
                <c:pt idx="71">
                  <c:v>300</c:v>
                </c:pt>
                <c:pt idx="72">
                  <c:v>1262</c:v>
                </c:pt>
                <c:pt idx="73">
                  <c:v>714</c:v>
                </c:pt>
                <c:pt idx="74">
                  <c:v>0</c:v>
                </c:pt>
                <c:pt idx="75">
                  <c:v>0</c:v>
                </c:pt>
                <c:pt idx="76">
                  <c:v>410</c:v>
                </c:pt>
                <c:pt idx="77">
                  <c:v>0</c:v>
                </c:pt>
                <c:pt idx="78">
                  <c:v>0</c:v>
                </c:pt>
                <c:pt idx="79">
                  <c:v>0</c:v>
                </c:pt>
                <c:pt idx="80">
                  <c:v>1750</c:v>
                </c:pt>
                <c:pt idx="81">
                  <c:v>0</c:v>
                </c:pt>
                <c:pt idx="82">
                  <c:v>0</c:v>
                </c:pt>
                <c:pt idx="83">
                  <c:v>300</c:v>
                </c:pt>
                <c:pt idx="84">
                  <c:v>0</c:v>
                </c:pt>
                <c:pt idx="85">
                  <c:v>0</c:v>
                </c:pt>
                <c:pt idx="86">
                  <c:v>0</c:v>
                </c:pt>
                <c:pt idx="87">
                  <c:v>1114</c:v>
                </c:pt>
                <c:pt idx="88">
                  <c:v>0</c:v>
                </c:pt>
                <c:pt idx="89">
                  <c:v>0</c:v>
                </c:pt>
                <c:pt idx="90">
                  <c:v>11</c:v>
                </c:pt>
                <c:pt idx="91">
                  <c:v>0</c:v>
                </c:pt>
                <c:pt idx="92">
                  <c:v>0</c:v>
                </c:pt>
                <c:pt idx="93">
                  <c:v>0</c:v>
                </c:pt>
                <c:pt idx="94">
                  <c:v>0</c:v>
                </c:pt>
                <c:pt idx="95">
                  <c:v>0</c:v>
                </c:pt>
                <c:pt idx="96">
                  <c:v>0</c:v>
                </c:pt>
                <c:pt idx="97">
                  <c:v>12290</c:v>
                </c:pt>
                <c:pt idx="98">
                  <c:v>300</c:v>
                </c:pt>
                <c:pt idx="99">
                  <c:v>0</c:v>
                </c:pt>
                <c:pt idx="100">
                  <c:v>0</c:v>
                </c:pt>
                <c:pt idx="101">
                  <c:v>0</c:v>
                </c:pt>
                <c:pt idx="102">
                  <c:v>0</c:v>
                </c:pt>
                <c:pt idx="103">
                  <c:v>0</c:v>
                </c:pt>
                <c:pt idx="104">
                  <c:v>300</c:v>
                </c:pt>
                <c:pt idx="105">
                  <c:v>309</c:v>
                </c:pt>
                <c:pt idx="106">
                  <c:v>0</c:v>
                </c:pt>
                <c:pt idx="107">
                  <c:v>300</c:v>
                </c:pt>
                <c:pt idx="108">
                  <c:v>10</c:v>
                </c:pt>
                <c:pt idx="109">
                  <c:v>0</c:v>
                </c:pt>
                <c:pt idx="110">
                  <c:v>0</c:v>
                </c:pt>
                <c:pt idx="111">
                  <c:v>45</c:v>
                </c:pt>
                <c:pt idx="112">
                  <c:v>0</c:v>
                </c:pt>
                <c:pt idx="113">
                  <c:v>0</c:v>
                </c:pt>
                <c:pt idx="114">
                  <c:v>0</c:v>
                </c:pt>
                <c:pt idx="115">
                  <c:v>0</c:v>
                </c:pt>
                <c:pt idx="116">
                  <c:v>0</c:v>
                </c:pt>
                <c:pt idx="117">
                  <c:v>0</c:v>
                </c:pt>
                <c:pt idx="118">
                  <c:v>0</c:v>
                </c:pt>
                <c:pt idx="119">
                  <c:v>200</c:v>
                </c:pt>
                <c:pt idx="120">
                  <c:v>1025</c:v>
                </c:pt>
                <c:pt idx="121">
                  <c:v>1087</c:v>
                </c:pt>
                <c:pt idx="122">
                  <c:v>1626</c:v>
                </c:pt>
                <c:pt idx="123">
                  <c:v>0</c:v>
                </c:pt>
                <c:pt idx="124">
                  <c:v>0</c:v>
                </c:pt>
                <c:pt idx="125">
                  <c:v>0</c:v>
                </c:pt>
                <c:pt idx="126">
                  <c:v>105</c:v>
                </c:pt>
                <c:pt idx="127">
                  <c:v>1810</c:v>
                </c:pt>
                <c:pt idx="128">
                  <c:v>200</c:v>
                </c:pt>
                <c:pt idx="129">
                  <c:v>0</c:v>
                </c:pt>
                <c:pt idx="130">
                  <c:v>0</c:v>
                </c:pt>
                <c:pt idx="131">
                  <c:v>0</c:v>
                </c:pt>
                <c:pt idx="132">
                  <c:v>0</c:v>
                </c:pt>
                <c:pt idx="133">
                  <c:v>130</c:v>
                </c:pt>
                <c:pt idx="134">
                  <c:v>200</c:v>
                </c:pt>
                <c:pt idx="135">
                  <c:v>210</c:v>
                </c:pt>
                <c:pt idx="136">
                  <c:v>0</c:v>
                </c:pt>
                <c:pt idx="137">
                  <c:v>0</c:v>
                </c:pt>
                <c:pt idx="138">
                  <c:v>0</c:v>
                </c:pt>
                <c:pt idx="139">
                  <c:v>1756</c:v>
                </c:pt>
                <c:pt idx="140">
                  <c:v>7370</c:v>
                </c:pt>
                <c:pt idx="141">
                  <c:v>1000</c:v>
                </c:pt>
                <c:pt idx="142">
                  <c:v>1970</c:v>
                </c:pt>
                <c:pt idx="143">
                  <c:v>0</c:v>
                </c:pt>
                <c:pt idx="144">
                  <c:v>0</c:v>
                </c:pt>
                <c:pt idx="145">
                  <c:v>0</c:v>
                </c:pt>
                <c:pt idx="146">
                  <c:v>1996</c:v>
                </c:pt>
                <c:pt idx="147">
                  <c:v>728</c:v>
                </c:pt>
                <c:pt idx="148">
                  <c:v>1272</c:v>
                </c:pt>
                <c:pt idx="149">
                  <c:v>0</c:v>
                </c:pt>
                <c:pt idx="150">
                  <c:v>750</c:v>
                </c:pt>
                <c:pt idx="151">
                  <c:v>0</c:v>
                </c:pt>
                <c:pt idx="152">
                  <c:v>0</c:v>
                </c:pt>
                <c:pt idx="153">
                  <c:v>40</c:v>
                </c:pt>
                <c:pt idx="154">
                  <c:v>0</c:v>
                </c:pt>
                <c:pt idx="155">
                  <c:v>0</c:v>
                </c:pt>
                <c:pt idx="156">
                  <c:v>0</c:v>
                </c:pt>
                <c:pt idx="157">
                  <c:v>1551</c:v>
                </c:pt>
                <c:pt idx="158">
                  <c:v>0</c:v>
                </c:pt>
                <c:pt idx="159">
                  <c:v>0</c:v>
                </c:pt>
                <c:pt idx="160">
                  <c:v>1120</c:v>
                </c:pt>
                <c:pt idx="161">
                  <c:v>200</c:v>
                </c:pt>
                <c:pt idx="162">
                  <c:v>1200</c:v>
                </c:pt>
                <c:pt idx="163">
                  <c:v>704</c:v>
                </c:pt>
                <c:pt idx="164">
                  <c:v>2844</c:v>
                </c:pt>
                <c:pt idx="165">
                  <c:v>0</c:v>
                </c:pt>
                <c:pt idx="166">
                  <c:v>0</c:v>
                </c:pt>
                <c:pt idx="167">
                  <c:v>0</c:v>
                </c:pt>
                <c:pt idx="168">
                  <c:v>180</c:v>
                </c:pt>
                <c:pt idx="169">
                  <c:v>0</c:v>
                </c:pt>
                <c:pt idx="170">
                  <c:v>124</c:v>
                </c:pt>
                <c:pt idx="171">
                  <c:v>0</c:v>
                </c:pt>
                <c:pt idx="172">
                  <c:v>0</c:v>
                </c:pt>
                <c:pt idx="173">
                  <c:v>0</c:v>
                </c:pt>
                <c:pt idx="174">
                  <c:v>550</c:v>
                </c:pt>
                <c:pt idx="175">
                  <c:v>446</c:v>
                </c:pt>
                <c:pt idx="176">
                  <c:v>2609</c:v>
                </c:pt>
                <c:pt idx="177">
                  <c:v>0</c:v>
                </c:pt>
                <c:pt idx="178">
                  <c:v>1565</c:v>
                </c:pt>
                <c:pt idx="179">
                  <c:v>0</c:v>
                </c:pt>
                <c:pt idx="180">
                  <c:v>0</c:v>
                </c:pt>
                <c:pt idx="181">
                  <c:v>0</c:v>
                </c:pt>
                <c:pt idx="182">
                  <c:v>0</c:v>
                </c:pt>
              </c:numCache>
            </c:numRef>
          </c:val>
          <c:extLst xmlns:c16r2="http://schemas.microsoft.com/office/drawing/2015/06/chart">
            <c:ext xmlns:c16="http://schemas.microsoft.com/office/drawing/2014/chart" uri="{C3380CC4-5D6E-409C-BE32-E72D297353CC}">
              <c16:uniqueId val="{00000000-18F0-4FF7-8B3B-AA57C4D40AD1}"/>
            </c:ext>
          </c:extLst>
        </c:ser>
        <c:axId val="89511424"/>
        <c:axId val="65535360"/>
      </c:barChart>
      <c:lineChart>
        <c:grouping val="standard"/>
        <c:ser>
          <c:idx val="1"/>
          <c:order val="1"/>
          <c:tx>
            <c:strRef>
              <c:f>'7 BSO'!$E$17</c:f>
              <c:strCache>
                <c:ptCount val="1"/>
                <c:pt idx="0">
                  <c:v>Цена</c:v>
                </c:pt>
              </c:strCache>
            </c:strRef>
          </c:tx>
          <c:spPr>
            <a:ln>
              <a:solidFill>
                <a:srgbClr val="FF0000"/>
              </a:solidFill>
            </a:ln>
          </c:spPr>
          <c:marker>
            <c:symbol val="none"/>
          </c:marker>
          <c:cat>
            <c:numRef>
              <c:f>'7 BSO'!$C$19:$C$386</c:f>
              <c:numCache>
                <c:formatCode>d/m/yyyy</c:formatCode>
                <c:ptCount val="368"/>
                <c:pt idx="0">
                  <c:v>43739</c:v>
                </c:pt>
                <c:pt idx="1">
                  <c:v>43740</c:v>
                </c:pt>
                <c:pt idx="2">
                  <c:v>43741</c:v>
                </c:pt>
                <c:pt idx="3">
                  <c:v>43742</c:v>
                </c:pt>
                <c:pt idx="4">
                  <c:v>43743</c:v>
                </c:pt>
                <c:pt idx="5">
                  <c:v>43744</c:v>
                </c:pt>
                <c:pt idx="6">
                  <c:v>43745</c:v>
                </c:pt>
                <c:pt idx="7">
                  <c:v>43746</c:v>
                </c:pt>
                <c:pt idx="8">
                  <c:v>43747</c:v>
                </c:pt>
                <c:pt idx="9">
                  <c:v>43748</c:v>
                </c:pt>
                <c:pt idx="10">
                  <c:v>43749</c:v>
                </c:pt>
                <c:pt idx="11">
                  <c:v>43750</c:v>
                </c:pt>
                <c:pt idx="12">
                  <c:v>43751</c:v>
                </c:pt>
                <c:pt idx="13">
                  <c:v>43752</c:v>
                </c:pt>
                <c:pt idx="14">
                  <c:v>43753</c:v>
                </c:pt>
                <c:pt idx="15">
                  <c:v>43754</c:v>
                </c:pt>
                <c:pt idx="16">
                  <c:v>43755</c:v>
                </c:pt>
                <c:pt idx="17">
                  <c:v>43756</c:v>
                </c:pt>
                <c:pt idx="18">
                  <c:v>43757</c:v>
                </c:pt>
                <c:pt idx="19">
                  <c:v>43758</c:v>
                </c:pt>
                <c:pt idx="20">
                  <c:v>43759</c:v>
                </c:pt>
                <c:pt idx="21">
                  <c:v>43760</c:v>
                </c:pt>
                <c:pt idx="22">
                  <c:v>43761</c:v>
                </c:pt>
                <c:pt idx="23">
                  <c:v>43762</c:v>
                </c:pt>
                <c:pt idx="24">
                  <c:v>43763</c:v>
                </c:pt>
                <c:pt idx="25">
                  <c:v>43764</c:v>
                </c:pt>
                <c:pt idx="26">
                  <c:v>43765</c:v>
                </c:pt>
                <c:pt idx="27">
                  <c:v>43766</c:v>
                </c:pt>
                <c:pt idx="28">
                  <c:v>43767</c:v>
                </c:pt>
                <c:pt idx="29">
                  <c:v>43768</c:v>
                </c:pt>
                <c:pt idx="30">
                  <c:v>43769</c:v>
                </c:pt>
                <c:pt idx="31">
                  <c:v>43770</c:v>
                </c:pt>
                <c:pt idx="32">
                  <c:v>43771</c:v>
                </c:pt>
                <c:pt idx="33">
                  <c:v>43772</c:v>
                </c:pt>
                <c:pt idx="34">
                  <c:v>43773</c:v>
                </c:pt>
                <c:pt idx="35">
                  <c:v>43774</c:v>
                </c:pt>
                <c:pt idx="36">
                  <c:v>43775</c:v>
                </c:pt>
                <c:pt idx="37">
                  <c:v>43776</c:v>
                </c:pt>
                <c:pt idx="38">
                  <c:v>43777</c:v>
                </c:pt>
                <c:pt idx="39">
                  <c:v>43778</c:v>
                </c:pt>
                <c:pt idx="40">
                  <c:v>43779</c:v>
                </c:pt>
                <c:pt idx="41">
                  <c:v>43780</c:v>
                </c:pt>
                <c:pt idx="42">
                  <c:v>43781</c:v>
                </c:pt>
                <c:pt idx="43">
                  <c:v>43782</c:v>
                </c:pt>
                <c:pt idx="44">
                  <c:v>43783</c:v>
                </c:pt>
                <c:pt idx="45">
                  <c:v>43784</c:v>
                </c:pt>
                <c:pt idx="46">
                  <c:v>43785</c:v>
                </c:pt>
                <c:pt idx="47">
                  <c:v>43786</c:v>
                </c:pt>
                <c:pt idx="48">
                  <c:v>43787</c:v>
                </c:pt>
                <c:pt idx="49">
                  <c:v>43788</c:v>
                </c:pt>
                <c:pt idx="50">
                  <c:v>43789</c:v>
                </c:pt>
                <c:pt idx="51">
                  <c:v>43790</c:v>
                </c:pt>
                <c:pt idx="52">
                  <c:v>43791</c:v>
                </c:pt>
                <c:pt idx="53">
                  <c:v>43792</c:v>
                </c:pt>
                <c:pt idx="54">
                  <c:v>43793</c:v>
                </c:pt>
                <c:pt idx="55">
                  <c:v>43794</c:v>
                </c:pt>
                <c:pt idx="56">
                  <c:v>43795</c:v>
                </c:pt>
                <c:pt idx="57">
                  <c:v>43796</c:v>
                </c:pt>
                <c:pt idx="58">
                  <c:v>43797</c:v>
                </c:pt>
                <c:pt idx="59">
                  <c:v>43798</c:v>
                </c:pt>
                <c:pt idx="60">
                  <c:v>43799</c:v>
                </c:pt>
                <c:pt idx="61">
                  <c:v>43800</c:v>
                </c:pt>
                <c:pt idx="62">
                  <c:v>43801</c:v>
                </c:pt>
                <c:pt idx="63">
                  <c:v>43802</c:v>
                </c:pt>
                <c:pt idx="64">
                  <c:v>43803</c:v>
                </c:pt>
                <c:pt idx="65">
                  <c:v>43804</c:v>
                </c:pt>
                <c:pt idx="66">
                  <c:v>43805</c:v>
                </c:pt>
                <c:pt idx="67">
                  <c:v>43806</c:v>
                </c:pt>
                <c:pt idx="68">
                  <c:v>43807</c:v>
                </c:pt>
                <c:pt idx="69">
                  <c:v>43808</c:v>
                </c:pt>
                <c:pt idx="70">
                  <c:v>43809</c:v>
                </c:pt>
                <c:pt idx="71">
                  <c:v>43810</c:v>
                </c:pt>
                <c:pt idx="72">
                  <c:v>43811</c:v>
                </c:pt>
                <c:pt idx="73">
                  <c:v>43812</c:v>
                </c:pt>
                <c:pt idx="74">
                  <c:v>43813</c:v>
                </c:pt>
                <c:pt idx="75">
                  <c:v>43814</c:v>
                </c:pt>
                <c:pt idx="76">
                  <c:v>43815</c:v>
                </c:pt>
                <c:pt idx="77">
                  <c:v>43816</c:v>
                </c:pt>
                <c:pt idx="78">
                  <c:v>43817</c:v>
                </c:pt>
                <c:pt idx="79">
                  <c:v>43818</c:v>
                </c:pt>
                <c:pt idx="80">
                  <c:v>43819</c:v>
                </c:pt>
                <c:pt idx="81">
                  <c:v>43820</c:v>
                </c:pt>
                <c:pt idx="82">
                  <c:v>43821</c:v>
                </c:pt>
                <c:pt idx="83">
                  <c:v>43822</c:v>
                </c:pt>
                <c:pt idx="84">
                  <c:v>43823</c:v>
                </c:pt>
                <c:pt idx="85">
                  <c:v>43824</c:v>
                </c:pt>
                <c:pt idx="86">
                  <c:v>43825</c:v>
                </c:pt>
                <c:pt idx="87">
                  <c:v>43826</c:v>
                </c:pt>
                <c:pt idx="88">
                  <c:v>43827</c:v>
                </c:pt>
                <c:pt idx="89">
                  <c:v>43828</c:v>
                </c:pt>
                <c:pt idx="90">
                  <c:v>43829</c:v>
                </c:pt>
                <c:pt idx="91">
                  <c:v>43830</c:v>
                </c:pt>
                <c:pt idx="92">
                  <c:v>43831</c:v>
                </c:pt>
                <c:pt idx="93">
                  <c:v>43832</c:v>
                </c:pt>
                <c:pt idx="94">
                  <c:v>43833</c:v>
                </c:pt>
                <c:pt idx="95">
                  <c:v>43834</c:v>
                </c:pt>
                <c:pt idx="96">
                  <c:v>43835</c:v>
                </c:pt>
                <c:pt idx="97">
                  <c:v>43836</c:v>
                </c:pt>
                <c:pt idx="98">
                  <c:v>43837</c:v>
                </c:pt>
                <c:pt idx="99">
                  <c:v>43838</c:v>
                </c:pt>
                <c:pt idx="100">
                  <c:v>43839</c:v>
                </c:pt>
                <c:pt idx="101">
                  <c:v>43840</c:v>
                </c:pt>
                <c:pt idx="102">
                  <c:v>43841</c:v>
                </c:pt>
                <c:pt idx="103">
                  <c:v>43842</c:v>
                </c:pt>
                <c:pt idx="104">
                  <c:v>43843</c:v>
                </c:pt>
                <c:pt idx="105">
                  <c:v>43844</c:v>
                </c:pt>
                <c:pt idx="106">
                  <c:v>43845</c:v>
                </c:pt>
                <c:pt idx="107">
                  <c:v>43846</c:v>
                </c:pt>
                <c:pt idx="108">
                  <c:v>43847</c:v>
                </c:pt>
                <c:pt idx="109">
                  <c:v>43848</c:v>
                </c:pt>
                <c:pt idx="110">
                  <c:v>43849</c:v>
                </c:pt>
                <c:pt idx="111">
                  <c:v>43850</c:v>
                </c:pt>
                <c:pt idx="112">
                  <c:v>43851</c:v>
                </c:pt>
                <c:pt idx="113">
                  <c:v>43852</c:v>
                </c:pt>
                <c:pt idx="114">
                  <c:v>43853</c:v>
                </c:pt>
                <c:pt idx="115">
                  <c:v>43854</c:v>
                </c:pt>
                <c:pt idx="116">
                  <c:v>43855</c:v>
                </c:pt>
                <c:pt idx="117">
                  <c:v>43856</c:v>
                </c:pt>
                <c:pt idx="118">
                  <c:v>43857</c:v>
                </c:pt>
                <c:pt idx="119">
                  <c:v>43858</c:v>
                </c:pt>
                <c:pt idx="120">
                  <c:v>43859</c:v>
                </c:pt>
                <c:pt idx="121">
                  <c:v>43860</c:v>
                </c:pt>
                <c:pt idx="122">
                  <c:v>43861</c:v>
                </c:pt>
                <c:pt idx="123">
                  <c:v>43862</c:v>
                </c:pt>
                <c:pt idx="124">
                  <c:v>43863</c:v>
                </c:pt>
                <c:pt idx="125">
                  <c:v>43864</c:v>
                </c:pt>
                <c:pt idx="126">
                  <c:v>43865</c:v>
                </c:pt>
                <c:pt idx="127">
                  <c:v>43866</c:v>
                </c:pt>
                <c:pt idx="128">
                  <c:v>43867</c:v>
                </c:pt>
                <c:pt idx="129">
                  <c:v>43868</c:v>
                </c:pt>
                <c:pt idx="130">
                  <c:v>43869</c:v>
                </c:pt>
                <c:pt idx="131">
                  <c:v>43870</c:v>
                </c:pt>
                <c:pt idx="132">
                  <c:v>43871</c:v>
                </c:pt>
                <c:pt idx="133">
                  <c:v>43872</c:v>
                </c:pt>
                <c:pt idx="134">
                  <c:v>43873</c:v>
                </c:pt>
                <c:pt idx="135">
                  <c:v>43874</c:v>
                </c:pt>
                <c:pt idx="136">
                  <c:v>43875</c:v>
                </c:pt>
                <c:pt idx="137">
                  <c:v>43876</c:v>
                </c:pt>
                <c:pt idx="138">
                  <c:v>43877</c:v>
                </c:pt>
                <c:pt idx="139">
                  <c:v>43878</c:v>
                </c:pt>
                <c:pt idx="140">
                  <c:v>43879</c:v>
                </c:pt>
                <c:pt idx="141">
                  <c:v>43880</c:v>
                </c:pt>
                <c:pt idx="142">
                  <c:v>43881</c:v>
                </c:pt>
                <c:pt idx="143">
                  <c:v>43882</c:v>
                </c:pt>
                <c:pt idx="144">
                  <c:v>43883</c:v>
                </c:pt>
                <c:pt idx="145">
                  <c:v>43884</c:v>
                </c:pt>
                <c:pt idx="146">
                  <c:v>43885</c:v>
                </c:pt>
                <c:pt idx="147">
                  <c:v>43886</c:v>
                </c:pt>
                <c:pt idx="148">
                  <c:v>43887</c:v>
                </c:pt>
                <c:pt idx="149">
                  <c:v>43888</c:v>
                </c:pt>
                <c:pt idx="150">
                  <c:v>43889</c:v>
                </c:pt>
                <c:pt idx="151">
                  <c:v>43890</c:v>
                </c:pt>
                <c:pt idx="152">
                  <c:v>43891</c:v>
                </c:pt>
                <c:pt idx="153">
                  <c:v>43892</c:v>
                </c:pt>
                <c:pt idx="154">
                  <c:v>43893</c:v>
                </c:pt>
                <c:pt idx="155">
                  <c:v>43894</c:v>
                </c:pt>
                <c:pt idx="156">
                  <c:v>43895</c:v>
                </c:pt>
                <c:pt idx="157">
                  <c:v>43896</c:v>
                </c:pt>
                <c:pt idx="158">
                  <c:v>43897</c:v>
                </c:pt>
                <c:pt idx="159">
                  <c:v>43898</c:v>
                </c:pt>
                <c:pt idx="160">
                  <c:v>43899</c:v>
                </c:pt>
                <c:pt idx="161">
                  <c:v>43900</c:v>
                </c:pt>
                <c:pt idx="162">
                  <c:v>43901</c:v>
                </c:pt>
                <c:pt idx="163">
                  <c:v>43902</c:v>
                </c:pt>
                <c:pt idx="164">
                  <c:v>43903</c:v>
                </c:pt>
                <c:pt idx="165">
                  <c:v>43904</c:v>
                </c:pt>
                <c:pt idx="166">
                  <c:v>43905</c:v>
                </c:pt>
                <c:pt idx="167">
                  <c:v>43906</c:v>
                </c:pt>
                <c:pt idx="168">
                  <c:v>43907</c:v>
                </c:pt>
                <c:pt idx="169">
                  <c:v>43908</c:v>
                </c:pt>
                <c:pt idx="170">
                  <c:v>43909</c:v>
                </c:pt>
                <c:pt idx="171">
                  <c:v>43910</c:v>
                </c:pt>
                <c:pt idx="172">
                  <c:v>43911</c:v>
                </c:pt>
                <c:pt idx="173">
                  <c:v>43912</c:v>
                </c:pt>
                <c:pt idx="174">
                  <c:v>43913</c:v>
                </c:pt>
                <c:pt idx="175">
                  <c:v>43914</c:v>
                </c:pt>
                <c:pt idx="176">
                  <c:v>43915</c:v>
                </c:pt>
                <c:pt idx="177">
                  <c:v>43916</c:v>
                </c:pt>
                <c:pt idx="178">
                  <c:v>43917</c:v>
                </c:pt>
                <c:pt idx="179">
                  <c:v>43918</c:v>
                </c:pt>
                <c:pt idx="180">
                  <c:v>43919</c:v>
                </c:pt>
                <c:pt idx="181">
                  <c:v>43920</c:v>
                </c:pt>
                <c:pt idx="182">
                  <c:v>43921</c:v>
                </c:pt>
              </c:numCache>
            </c:numRef>
          </c:cat>
          <c:val>
            <c:numRef>
              <c:f>'7 BSO'!$E$19:$E$386</c:f>
              <c:numCache>
                <c:formatCode>0.000</c:formatCode>
                <c:ptCount val="368"/>
                <c:pt idx="0">
                  <c:v>5.2</c:v>
                </c:pt>
                <c:pt idx="1">
                  <c:v>4.96</c:v>
                </c:pt>
                <c:pt idx="2">
                  <c:v>4.9400000000000004</c:v>
                </c:pt>
                <c:pt idx="3">
                  <c:v>5.05</c:v>
                </c:pt>
                <c:pt idx="4">
                  <c:v>5.05</c:v>
                </c:pt>
                <c:pt idx="5">
                  <c:v>5.05</c:v>
                </c:pt>
                <c:pt idx="6">
                  <c:v>5.05</c:v>
                </c:pt>
                <c:pt idx="7">
                  <c:v>5.05</c:v>
                </c:pt>
                <c:pt idx="8">
                  <c:v>5.05</c:v>
                </c:pt>
                <c:pt idx="9">
                  <c:v>5.05</c:v>
                </c:pt>
                <c:pt idx="10">
                  <c:v>5.05</c:v>
                </c:pt>
                <c:pt idx="11">
                  <c:v>5.05</c:v>
                </c:pt>
                <c:pt idx="12">
                  <c:v>5.05</c:v>
                </c:pt>
                <c:pt idx="13">
                  <c:v>5.05</c:v>
                </c:pt>
                <c:pt idx="14">
                  <c:v>5.05</c:v>
                </c:pt>
                <c:pt idx="15">
                  <c:v>5.05</c:v>
                </c:pt>
                <c:pt idx="16">
                  <c:v>5.05</c:v>
                </c:pt>
                <c:pt idx="17">
                  <c:v>5</c:v>
                </c:pt>
                <c:pt idx="18">
                  <c:v>5</c:v>
                </c:pt>
                <c:pt idx="19">
                  <c:v>5</c:v>
                </c:pt>
                <c:pt idx="20">
                  <c:v>5</c:v>
                </c:pt>
                <c:pt idx="21">
                  <c:v>5</c:v>
                </c:pt>
                <c:pt idx="22">
                  <c:v>5</c:v>
                </c:pt>
                <c:pt idx="23">
                  <c:v>4.9800000000000004</c:v>
                </c:pt>
                <c:pt idx="24">
                  <c:v>4.9800000000000004</c:v>
                </c:pt>
                <c:pt idx="25">
                  <c:v>4.9800000000000004</c:v>
                </c:pt>
                <c:pt idx="26">
                  <c:v>4.9800000000000004</c:v>
                </c:pt>
                <c:pt idx="27">
                  <c:v>4.9800000000000004</c:v>
                </c:pt>
                <c:pt idx="28">
                  <c:v>4.9800000000000004</c:v>
                </c:pt>
                <c:pt idx="29">
                  <c:v>4.9800000000000004</c:v>
                </c:pt>
                <c:pt idx="30">
                  <c:v>4.9800000000000004</c:v>
                </c:pt>
                <c:pt idx="31">
                  <c:v>4.9800000000000004</c:v>
                </c:pt>
                <c:pt idx="32">
                  <c:v>4.9800000000000004</c:v>
                </c:pt>
                <c:pt idx="33">
                  <c:v>4.9800000000000004</c:v>
                </c:pt>
                <c:pt idx="34">
                  <c:v>5</c:v>
                </c:pt>
                <c:pt idx="35">
                  <c:v>5</c:v>
                </c:pt>
                <c:pt idx="36">
                  <c:v>5</c:v>
                </c:pt>
                <c:pt idx="37">
                  <c:v>5</c:v>
                </c:pt>
                <c:pt idx="38">
                  <c:v>5.05</c:v>
                </c:pt>
                <c:pt idx="39">
                  <c:v>5.05</c:v>
                </c:pt>
                <c:pt idx="40">
                  <c:v>5.05</c:v>
                </c:pt>
                <c:pt idx="41">
                  <c:v>5.05</c:v>
                </c:pt>
                <c:pt idx="42">
                  <c:v>4.96</c:v>
                </c:pt>
                <c:pt idx="43">
                  <c:v>4.92</c:v>
                </c:pt>
                <c:pt idx="44">
                  <c:v>4.9000000000000004</c:v>
                </c:pt>
                <c:pt idx="45">
                  <c:v>4.9000000000000004</c:v>
                </c:pt>
                <c:pt idx="46">
                  <c:v>4.9000000000000004</c:v>
                </c:pt>
                <c:pt idx="47">
                  <c:v>4.9000000000000004</c:v>
                </c:pt>
                <c:pt idx="48">
                  <c:v>4.8599999999999985</c:v>
                </c:pt>
                <c:pt idx="49">
                  <c:v>4.8599999999999985</c:v>
                </c:pt>
                <c:pt idx="50">
                  <c:v>4.8199999999999985</c:v>
                </c:pt>
                <c:pt idx="51">
                  <c:v>4.8199999999999985</c:v>
                </c:pt>
                <c:pt idx="52">
                  <c:v>4.8</c:v>
                </c:pt>
                <c:pt idx="53">
                  <c:v>4.8</c:v>
                </c:pt>
                <c:pt idx="54">
                  <c:v>4.8</c:v>
                </c:pt>
                <c:pt idx="55">
                  <c:v>4.8</c:v>
                </c:pt>
                <c:pt idx="56">
                  <c:v>4.76</c:v>
                </c:pt>
                <c:pt idx="57">
                  <c:v>4.76</c:v>
                </c:pt>
                <c:pt idx="58">
                  <c:v>4.68</c:v>
                </c:pt>
                <c:pt idx="59">
                  <c:v>4.54</c:v>
                </c:pt>
                <c:pt idx="60">
                  <c:v>4.54</c:v>
                </c:pt>
                <c:pt idx="61">
                  <c:v>4.54</c:v>
                </c:pt>
                <c:pt idx="62">
                  <c:v>4.74</c:v>
                </c:pt>
                <c:pt idx="63">
                  <c:v>4.5599999999999996</c:v>
                </c:pt>
                <c:pt idx="64">
                  <c:v>4.54</c:v>
                </c:pt>
                <c:pt idx="65">
                  <c:v>4.54</c:v>
                </c:pt>
                <c:pt idx="66">
                  <c:v>4.54</c:v>
                </c:pt>
                <c:pt idx="67">
                  <c:v>4.54</c:v>
                </c:pt>
                <c:pt idx="68">
                  <c:v>4.54</c:v>
                </c:pt>
                <c:pt idx="69">
                  <c:v>4.5999999999999996</c:v>
                </c:pt>
                <c:pt idx="70">
                  <c:v>4.5999999999999996</c:v>
                </c:pt>
                <c:pt idx="71">
                  <c:v>4.7</c:v>
                </c:pt>
                <c:pt idx="72">
                  <c:v>4.8</c:v>
                </c:pt>
                <c:pt idx="73">
                  <c:v>4.84</c:v>
                </c:pt>
                <c:pt idx="74">
                  <c:v>4.84</c:v>
                </c:pt>
                <c:pt idx="75">
                  <c:v>4.84</c:v>
                </c:pt>
                <c:pt idx="76">
                  <c:v>4.8199999999999985</c:v>
                </c:pt>
                <c:pt idx="77">
                  <c:v>4.8199999999999985</c:v>
                </c:pt>
                <c:pt idx="78">
                  <c:v>4.8199999999999985</c:v>
                </c:pt>
                <c:pt idx="79">
                  <c:v>4.8199999999999985</c:v>
                </c:pt>
                <c:pt idx="80">
                  <c:v>4.7</c:v>
                </c:pt>
                <c:pt idx="81">
                  <c:v>4.7</c:v>
                </c:pt>
                <c:pt idx="82">
                  <c:v>4.7</c:v>
                </c:pt>
                <c:pt idx="83">
                  <c:v>4.8199999999999985</c:v>
                </c:pt>
                <c:pt idx="84">
                  <c:v>4.8199999999999985</c:v>
                </c:pt>
                <c:pt idx="85">
                  <c:v>4.8199999999999985</c:v>
                </c:pt>
                <c:pt idx="86">
                  <c:v>4.8199999999999985</c:v>
                </c:pt>
                <c:pt idx="87">
                  <c:v>4.8199999999999985</c:v>
                </c:pt>
                <c:pt idx="88">
                  <c:v>4.8199999999999985</c:v>
                </c:pt>
                <c:pt idx="89">
                  <c:v>4.8199999999999985</c:v>
                </c:pt>
                <c:pt idx="90">
                  <c:v>4.84</c:v>
                </c:pt>
                <c:pt idx="91">
                  <c:v>4.84</c:v>
                </c:pt>
                <c:pt idx="92">
                  <c:v>4.84</c:v>
                </c:pt>
                <c:pt idx="93">
                  <c:v>4.84</c:v>
                </c:pt>
                <c:pt idx="94">
                  <c:v>4.84</c:v>
                </c:pt>
                <c:pt idx="95">
                  <c:v>4.84</c:v>
                </c:pt>
                <c:pt idx="96">
                  <c:v>4.84</c:v>
                </c:pt>
                <c:pt idx="97">
                  <c:v>4.8599999999999985</c:v>
                </c:pt>
                <c:pt idx="98">
                  <c:v>5.05</c:v>
                </c:pt>
                <c:pt idx="99">
                  <c:v>5.05</c:v>
                </c:pt>
                <c:pt idx="100">
                  <c:v>5.05</c:v>
                </c:pt>
                <c:pt idx="101">
                  <c:v>5.05</c:v>
                </c:pt>
                <c:pt idx="102">
                  <c:v>5.05</c:v>
                </c:pt>
                <c:pt idx="103">
                  <c:v>5.05</c:v>
                </c:pt>
                <c:pt idx="104">
                  <c:v>5.0999999999999996</c:v>
                </c:pt>
                <c:pt idx="105">
                  <c:v>5.0999999999999996</c:v>
                </c:pt>
                <c:pt idx="106">
                  <c:v>5.0999999999999996</c:v>
                </c:pt>
                <c:pt idx="107">
                  <c:v>5</c:v>
                </c:pt>
                <c:pt idx="108">
                  <c:v>5.0999999999999996</c:v>
                </c:pt>
                <c:pt idx="109">
                  <c:v>5.0999999999999996</c:v>
                </c:pt>
                <c:pt idx="110">
                  <c:v>5.0999999999999996</c:v>
                </c:pt>
                <c:pt idx="111">
                  <c:v>5</c:v>
                </c:pt>
                <c:pt idx="112">
                  <c:v>5</c:v>
                </c:pt>
                <c:pt idx="113">
                  <c:v>5</c:v>
                </c:pt>
                <c:pt idx="114">
                  <c:v>5</c:v>
                </c:pt>
                <c:pt idx="115">
                  <c:v>5</c:v>
                </c:pt>
                <c:pt idx="116">
                  <c:v>5</c:v>
                </c:pt>
                <c:pt idx="117">
                  <c:v>5</c:v>
                </c:pt>
                <c:pt idx="118">
                  <c:v>5</c:v>
                </c:pt>
                <c:pt idx="119">
                  <c:v>5.0999999999999996</c:v>
                </c:pt>
                <c:pt idx="120">
                  <c:v>4.9400000000000004</c:v>
                </c:pt>
                <c:pt idx="121">
                  <c:v>4.9400000000000004</c:v>
                </c:pt>
                <c:pt idx="122">
                  <c:v>4.8199999999999985</c:v>
                </c:pt>
                <c:pt idx="123">
                  <c:v>4.8199999999999985</c:v>
                </c:pt>
                <c:pt idx="124">
                  <c:v>4.8199999999999985</c:v>
                </c:pt>
                <c:pt idx="125">
                  <c:v>4.8199999999999985</c:v>
                </c:pt>
                <c:pt idx="126">
                  <c:v>4.8199999999999985</c:v>
                </c:pt>
                <c:pt idx="127">
                  <c:v>4.8599999999999985</c:v>
                </c:pt>
                <c:pt idx="128">
                  <c:v>4.8599999999999985</c:v>
                </c:pt>
                <c:pt idx="129">
                  <c:v>4.8599999999999985</c:v>
                </c:pt>
                <c:pt idx="130">
                  <c:v>4.8599999999999985</c:v>
                </c:pt>
                <c:pt idx="131">
                  <c:v>4.8599999999999985</c:v>
                </c:pt>
                <c:pt idx="132">
                  <c:v>4.8599999999999985</c:v>
                </c:pt>
                <c:pt idx="133">
                  <c:v>4.84</c:v>
                </c:pt>
                <c:pt idx="134">
                  <c:v>4.84</c:v>
                </c:pt>
                <c:pt idx="135">
                  <c:v>4.8199999999999985</c:v>
                </c:pt>
                <c:pt idx="136">
                  <c:v>4.8199999999999985</c:v>
                </c:pt>
                <c:pt idx="137">
                  <c:v>4.8199999999999985</c:v>
                </c:pt>
                <c:pt idx="138">
                  <c:v>4.8199999999999985</c:v>
                </c:pt>
                <c:pt idx="139">
                  <c:v>4.8199999999999985</c:v>
                </c:pt>
                <c:pt idx="140">
                  <c:v>4.6399999999999997</c:v>
                </c:pt>
                <c:pt idx="141">
                  <c:v>4.6399999999999997</c:v>
                </c:pt>
                <c:pt idx="142">
                  <c:v>4.58</c:v>
                </c:pt>
                <c:pt idx="143">
                  <c:v>4.58</c:v>
                </c:pt>
                <c:pt idx="144">
                  <c:v>4.58</c:v>
                </c:pt>
                <c:pt idx="145">
                  <c:v>4.58</c:v>
                </c:pt>
                <c:pt idx="146">
                  <c:v>4.8599999999999985</c:v>
                </c:pt>
                <c:pt idx="147">
                  <c:v>4.88</c:v>
                </c:pt>
                <c:pt idx="148">
                  <c:v>4.8199999999999985</c:v>
                </c:pt>
                <c:pt idx="149">
                  <c:v>4.8199999999999985</c:v>
                </c:pt>
                <c:pt idx="150">
                  <c:v>4.8</c:v>
                </c:pt>
                <c:pt idx="151">
                  <c:v>4.8</c:v>
                </c:pt>
                <c:pt idx="152">
                  <c:v>4.8</c:v>
                </c:pt>
                <c:pt idx="153">
                  <c:v>4.8</c:v>
                </c:pt>
                <c:pt idx="154">
                  <c:v>4.8</c:v>
                </c:pt>
                <c:pt idx="155">
                  <c:v>4.8</c:v>
                </c:pt>
                <c:pt idx="156">
                  <c:v>4.8</c:v>
                </c:pt>
                <c:pt idx="157">
                  <c:v>4.54</c:v>
                </c:pt>
                <c:pt idx="158">
                  <c:v>4.54</c:v>
                </c:pt>
                <c:pt idx="159">
                  <c:v>4.54</c:v>
                </c:pt>
                <c:pt idx="160">
                  <c:v>4.0999999999999996</c:v>
                </c:pt>
                <c:pt idx="161">
                  <c:v>4.6399999999999997</c:v>
                </c:pt>
                <c:pt idx="162">
                  <c:v>4.54</c:v>
                </c:pt>
                <c:pt idx="163">
                  <c:v>4</c:v>
                </c:pt>
                <c:pt idx="164">
                  <c:v>4</c:v>
                </c:pt>
                <c:pt idx="165">
                  <c:v>4</c:v>
                </c:pt>
                <c:pt idx="166">
                  <c:v>4</c:v>
                </c:pt>
                <c:pt idx="167">
                  <c:v>4</c:v>
                </c:pt>
                <c:pt idx="168">
                  <c:v>3.96</c:v>
                </c:pt>
                <c:pt idx="169">
                  <c:v>3.96</c:v>
                </c:pt>
                <c:pt idx="170">
                  <c:v>4.08</c:v>
                </c:pt>
                <c:pt idx="171">
                  <c:v>4.08</c:v>
                </c:pt>
                <c:pt idx="172">
                  <c:v>4.08</c:v>
                </c:pt>
                <c:pt idx="173">
                  <c:v>4.08</c:v>
                </c:pt>
                <c:pt idx="174">
                  <c:v>4.0599999999999996</c:v>
                </c:pt>
                <c:pt idx="175">
                  <c:v>3.94</c:v>
                </c:pt>
                <c:pt idx="176">
                  <c:v>3.8</c:v>
                </c:pt>
                <c:pt idx="177">
                  <c:v>3.8</c:v>
                </c:pt>
                <c:pt idx="178">
                  <c:v>4.26</c:v>
                </c:pt>
                <c:pt idx="179">
                  <c:v>4.26</c:v>
                </c:pt>
                <c:pt idx="180">
                  <c:v>4.26</c:v>
                </c:pt>
                <c:pt idx="181">
                  <c:v>4.26</c:v>
                </c:pt>
                <c:pt idx="182">
                  <c:v>4.26</c:v>
                </c:pt>
              </c:numCache>
            </c:numRef>
          </c:val>
          <c:extLst xmlns:c16r2="http://schemas.microsoft.com/office/drawing/2015/06/chart">
            <c:ext xmlns:c16="http://schemas.microsoft.com/office/drawing/2014/chart" uri="{C3380CC4-5D6E-409C-BE32-E72D297353CC}">
              <c16:uniqueId val="{00000001-18F0-4FF7-8B3B-AA57C4D40AD1}"/>
            </c:ext>
          </c:extLst>
        </c:ser>
        <c:marker val="1"/>
        <c:axId val="65532288"/>
        <c:axId val="65533824"/>
      </c:lineChart>
      <c:dateAx>
        <c:axId val="65532288"/>
        <c:scaling>
          <c:orientation val="minMax"/>
        </c:scaling>
        <c:axPos val="b"/>
        <c:numFmt formatCode="dd/mm/yy" sourceLinked="0"/>
        <c:tickLblPos val="nextTo"/>
        <c:txPr>
          <a:bodyPr rot="-5400000" vert="horz"/>
          <a:lstStyle/>
          <a:p>
            <a:pPr>
              <a:defRPr/>
            </a:pPr>
            <a:endParaRPr lang="bg-BG"/>
          </a:p>
        </c:txPr>
        <c:crossAx val="65533824"/>
        <c:crosses val="autoZero"/>
        <c:auto val="1"/>
        <c:lblOffset val="100"/>
        <c:baseTimeUnit val="days"/>
      </c:dateAx>
      <c:valAx>
        <c:axId val="65533824"/>
        <c:scaling>
          <c:orientation val="minMax"/>
          <c:min val="1.7"/>
        </c:scaling>
        <c:axPos val="l"/>
        <c:majorGridlines>
          <c:spPr>
            <a:ln>
              <a:solidFill>
                <a:schemeClr val="bg1">
                  <a:lumMod val="85000"/>
                </a:schemeClr>
              </a:solidFill>
            </a:ln>
          </c:spPr>
        </c:majorGridlines>
        <c:numFmt formatCode="0.000" sourceLinked="1"/>
        <c:tickLblPos val="nextTo"/>
        <c:crossAx val="65532288"/>
        <c:crosses val="autoZero"/>
        <c:crossBetween val="between"/>
      </c:valAx>
      <c:valAx>
        <c:axId val="65535360"/>
        <c:scaling>
          <c:orientation val="minMax"/>
          <c:max val="100000"/>
        </c:scaling>
        <c:axPos val="r"/>
        <c:numFmt formatCode="General" sourceLinked="1"/>
        <c:tickLblPos val="nextTo"/>
        <c:crossAx val="89511424"/>
        <c:crosses val="max"/>
        <c:crossBetween val="between"/>
        <c:dispUnits>
          <c:builtInUnit val="thousands"/>
          <c:dispUnitsLbl>
            <c:layout>
              <c:manualLayout>
                <c:xMode val="edge"/>
                <c:yMode val="edge"/>
                <c:x val="0.90636800558416208"/>
                <c:y val="0.26457279330488542"/>
              </c:manualLayout>
            </c:layout>
            <c:tx>
              <c:rich>
                <a:bodyPr/>
                <a:lstStyle/>
                <a:p>
                  <a:pPr>
                    <a:defRPr/>
                  </a:pPr>
                  <a:r>
                    <a:rPr lang="en-US"/>
                    <a:t>thousand</a:t>
                  </a:r>
                  <a:endParaRPr lang="bg-BG"/>
                </a:p>
              </c:rich>
            </c:tx>
          </c:dispUnitsLbl>
        </c:dispUnits>
      </c:valAx>
      <c:dateAx>
        <c:axId val="89511424"/>
        <c:scaling>
          <c:orientation val="minMax"/>
        </c:scaling>
        <c:delete val="1"/>
        <c:axPos val="b"/>
        <c:numFmt formatCode="d/m/yyyy" sourceLinked="1"/>
        <c:tickLblPos val="none"/>
        <c:crossAx val="65535360"/>
        <c:crosses val="autoZero"/>
        <c:auto val="1"/>
        <c:lblOffset val="100"/>
        <c:baseTimeUnit val="days"/>
      </c:dateAx>
    </c:plotArea>
    <c:legend>
      <c:legendPos val="t"/>
      <c:layout>
        <c:manualLayout>
          <c:xMode val="edge"/>
          <c:yMode val="edge"/>
          <c:x val="0.28201662292213481"/>
          <c:y val="0"/>
          <c:w val="0.49422348289850332"/>
          <c:h val="5.4103071080069988E-2"/>
        </c:manualLayout>
      </c:layout>
    </c:legend>
    <c:plotVisOnly val="1"/>
    <c:dispBlanksAs val="gap"/>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bg-BG"/>
  <c:chart>
    <c:plotArea>
      <c:layout>
        <c:manualLayout>
          <c:layoutTarget val="inner"/>
          <c:xMode val="edge"/>
          <c:yMode val="edge"/>
          <c:x val="3.8923212523066443E-2"/>
          <c:y val="6.1823636180619812E-2"/>
          <c:w val="0.82482668473141108"/>
          <c:h val="0.81137492010571022"/>
        </c:manualLayout>
      </c:layout>
      <c:barChart>
        <c:barDir val="col"/>
        <c:grouping val="clustered"/>
        <c:ser>
          <c:idx val="0"/>
          <c:order val="0"/>
          <c:tx>
            <c:strRef>
              <c:f>'7 BSO'!$D$17</c:f>
              <c:strCache>
                <c:ptCount val="1"/>
                <c:pt idx="0">
                  <c:v>Обем (лотове)</c:v>
                </c:pt>
              </c:strCache>
            </c:strRef>
          </c:tx>
          <c:cat>
            <c:numRef>
              <c:f>'7 BSO'!$H$21:$H$838</c:f>
              <c:numCache>
                <c:formatCode>dd/mm/yyyy\ hh:mm/ss</c:formatCode>
                <c:ptCount val="818"/>
                <c:pt idx="0">
                  <c:v>43836.691724536257</c:v>
                </c:pt>
                <c:pt idx="1">
                  <c:v>43836.691724536257</c:v>
                </c:pt>
                <c:pt idx="2">
                  <c:v>43836.691724536257</c:v>
                </c:pt>
                <c:pt idx="3">
                  <c:v>43836.695243055554</c:v>
                </c:pt>
                <c:pt idx="4">
                  <c:v>43836.695243055554</c:v>
                </c:pt>
                <c:pt idx="5">
                  <c:v>43836.695243055554</c:v>
                </c:pt>
                <c:pt idx="6">
                  <c:v>43836.695520832975</c:v>
                </c:pt>
                <c:pt idx="7">
                  <c:v>43837.441643518505</c:v>
                </c:pt>
                <c:pt idx="8">
                  <c:v>43843.588333333333</c:v>
                </c:pt>
                <c:pt idx="9">
                  <c:v>43844.433379629627</c:v>
                </c:pt>
                <c:pt idx="10">
                  <c:v>43844.456053241243</c:v>
                </c:pt>
                <c:pt idx="11">
                  <c:v>43846.620509259257</c:v>
                </c:pt>
                <c:pt idx="12">
                  <c:v>43847.520810185182</c:v>
                </c:pt>
                <c:pt idx="13">
                  <c:v>43850.606041666586</c:v>
                </c:pt>
                <c:pt idx="14">
                  <c:v>43858.484849537039</c:v>
                </c:pt>
                <c:pt idx="15">
                  <c:v>43858.48754629687</c:v>
                </c:pt>
                <c:pt idx="16">
                  <c:v>43859.471412037034</c:v>
                </c:pt>
                <c:pt idx="17">
                  <c:v>43859.471412037034</c:v>
                </c:pt>
                <c:pt idx="18">
                  <c:v>43859.471412037034</c:v>
                </c:pt>
                <c:pt idx="19">
                  <c:v>43859.471412037034</c:v>
                </c:pt>
                <c:pt idx="20">
                  <c:v>43859.471412037034</c:v>
                </c:pt>
                <c:pt idx="21">
                  <c:v>43860.558263889012</c:v>
                </c:pt>
                <c:pt idx="22">
                  <c:v>43860.579247685186</c:v>
                </c:pt>
                <c:pt idx="23">
                  <c:v>43860.669641203574</c:v>
                </c:pt>
                <c:pt idx="24">
                  <c:v>43860.703078703584</c:v>
                </c:pt>
                <c:pt idx="25">
                  <c:v>43861.502708333326</c:v>
                </c:pt>
                <c:pt idx="26">
                  <c:v>43861.502708333326</c:v>
                </c:pt>
                <c:pt idx="27">
                  <c:v>43861.538912037038</c:v>
                </c:pt>
                <c:pt idx="28">
                  <c:v>43861.693888888884</c:v>
                </c:pt>
                <c:pt idx="29">
                  <c:v>43861.704143518175</c:v>
                </c:pt>
                <c:pt idx="30">
                  <c:v>43861.708518518542</c:v>
                </c:pt>
                <c:pt idx="31">
                  <c:v>43861.708518518542</c:v>
                </c:pt>
                <c:pt idx="32">
                  <c:v>43865.624143517969</c:v>
                </c:pt>
                <c:pt idx="33">
                  <c:v>43866.648807870391</c:v>
                </c:pt>
                <c:pt idx="34">
                  <c:v>43866.658263889003</c:v>
                </c:pt>
                <c:pt idx="35">
                  <c:v>43866.658263889003</c:v>
                </c:pt>
                <c:pt idx="36">
                  <c:v>43866.702326388891</c:v>
                </c:pt>
                <c:pt idx="37">
                  <c:v>43866.702326388891</c:v>
                </c:pt>
                <c:pt idx="38">
                  <c:v>43866.703101851097</c:v>
                </c:pt>
                <c:pt idx="39">
                  <c:v>43867.428530092613</c:v>
                </c:pt>
                <c:pt idx="40">
                  <c:v>43872.504131944443</c:v>
                </c:pt>
                <c:pt idx="41">
                  <c:v>43872.679398148211</c:v>
                </c:pt>
                <c:pt idx="42">
                  <c:v>43873.497789351575</c:v>
                </c:pt>
                <c:pt idx="43">
                  <c:v>43874.67083333333</c:v>
                </c:pt>
                <c:pt idx="44">
                  <c:v>43878.42863425926</c:v>
                </c:pt>
                <c:pt idx="45">
                  <c:v>43878.42863425926</c:v>
                </c:pt>
                <c:pt idx="46">
                  <c:v>43878.505983796284</c:v>
                </c:pt>
                <c:pt idx="47">
                  <c:v>43878.505983796284</c:v>
                </c:pt>
                <c:pt idx="48">
                  <c:v>43878.506296297048</c:v>
                </c:pt>
                <c:pt idx="49">
                  <c:v>43878.506296297048</c:v>
                </c:pt>
                <c:pt idx="50">
                  <c:v>43878.506817130168</c:v>
                </c:pt>
                <c:pt idx="51">
                  <c:v>43879.482164351852</c:v>
                </c:pt>
                <c:pt idx="52">
                  <c:v>43879.482164351852</c:v>
                </c:pt>
                <c:pt idx="53">
                  <c:v>43879.482164351852</c:v>
                </c:pt>
                <c:pt idx="54">
                  <c:v>43879.483067129629</c:v>
                </c:pt>
                <c:pt idx="55">
                  <c:v>43879.483136574083</c:v>
                </c:pt>
                <c:pt idx="56">
                  <c:v>43879.555706018517</c:v>
                </c:pt>
                <c:pt idx="57">
                  <c:v>43879.555706018517</c:v>
                </c:pt>
                <c:pt idx="58">
                  <c:v>43879.555706018517</c:v>
                </c:pt>
                <c:pt idx="59">
                  <c:v>43879.555706018517</c:v>
                </c:pt>
                <c:pt idx="60">
                  <c:v>43880.677106481475</c:v>
                </c:pt>
                <c:pt idx="61">
                  <c:v>43881.507407407407</c:v>
                </c:pt>
                <c:pt idx="62">
                  <c:v>43881.704004629624</c:v>
                </c:pt>
                <c:pt idx="63">
                  <c:v>43881.704004629624</c:v>
                </c:pt>
                <c:pt idx="64">
                  <c:v>43881.704004629624</c:v>
                </c:pt>
                <c:pt idx="65">
                  <c:v>43881.704004629624</c:v>
                </c:pt>
                <c:pt idx="66">
                  <c:v>43881.704004629624</c:v>
                </c:pt>
                <c:pt idx="67">
                  <c:v>43881.708576389043</c:v>
                </c:pt>
                <c:pt idx="68">
                  <c:v>43885.490069444611</c:v>
                </c:pt>
                <c:pt idx="69">
                  <c:v>43885.512673611105</c:v>
                </c:pt>
                <c:pt idx="70">
                  <c:v>43885.534039351849</c:v>
                </c:pt>
                <c:pt idx="71">
                  <c:v>43885.535717592589</c:v>
                </c:pt>
                <c:pt idx="72">
                  <c:v>43886.425462962368</c:v>
                </c:pt>
                <c:pt idx="73">
                  <c:v>43886.425462962368</c:v>
                </c:pt>
                <c:pt idx="74">
                  <c:v>43887.473634259259</c:v>
                </c:pt>
                <c:pt idx="75">
                  <c:v>43887.473634259259</c:v>
                </c:pt>
                <c:pt idx="76">
                  <c:v>43887.474317129643</c:v>
                </c:pt>
                <c:pt idx="77">
                  <c:v>43887.512037037042</c:v>
                </c:pt>
                <c:pt idx="78">
                  <c:v>43887.512280092611</c:v>
                </c:pt>
                <c:pt idx="79">
                  <c:v>43887.708425925928</c:v>
                </c:pt>
                <c:pt idx="80">
                  <c:v>43889.619456018518</c:v>
                </c:pt>
                <c:pt idx="81">
                  <c:v>43889.621886574074</c:v>
                </c:pt>
                <c:pt idx="82">
                  <c:v>43889.684375000012</c:v>
                </c:pt>
                <c:pt idx="83">
                  <c:v>43889.686331018602</c:v>
                </c:pt>
                <c:pt idx="84">
                  <c:v>43892.450601851851</c:v>
                </c:pt>
                <c:pt idx="85">
                  <c:v>43896.512245370643</c:v>
                </c:pt>
                <c:pt idx="86">
                  <c:v>43896.512245370643</c:v>
                </c:pt>
                <c:pt idx="87">
                  <c:v>43896.644375000003</c:v>
                </c:pt>
                <c:pt idx="88">
                  <c:v>43896.644375000003</c:v>
                </c:pt>
                <c:pt idx="89">
                  <c:v>43896.645416666594</c:v>
                </c:pt>
                <c:pt idx="90">
                  <c:v>43899.423888888887</c:v>
                </c:pt>
                <c:pt idx="91">
                  <c:v>43899.423888888887</c:v>
                </c:pt>
                <c:pt idx="92">
                  <c:v>43899.423888888887</c:v>
                </c:pt>
                <c:pt idx="93">
                  <c:v>43899.427314814806</c:v>
                </c:pt>
                <c:pt idx="94">
                  <c:v>43900.425902777584</c:v>
                </c:pt>
                <c:pt idx="95">
                  <c:v>43900.425902777584</c:v>
                </c:pt>
                <c:pt idx="96">
                  <c:v>43901.580983796295</c:v>
                </c:pt>
                <c:pt idx="97">
                  <c:v>43901.580983796295</c:v>
                </c:pt>
                <c:pt idx="98">
                  <c:v>43901.580983796295</c:v>
                </c:pt>
                <c:pt idx="99">
                  <c:v>43901.580983796295</c:v>
                </c:pt>
                <c:pt idx="100">
                  <c:v>43901.580983796295</c:v>
                </c:pt>
                <c:pt idx="101">
                  <c:v>43901.634317129632</c:v>
                </c:pt>
                <c:pt idx="102">
                  <c:v>43902.499340277776</c:v>
                </c:pt>
                <c:pt idx="103">
                  <c:v>43902.524085648147</c:v>
                </c:pt>
                <c:pt idx="104">
                  <c:v>43902.524085648147</c:v>
                </c:pt>
                <c:pt idx="105">
                  <c:v>43902.663773148146</c:v>
                </c:pt>
                <c:pt idx="106">
                  <c:v>43903.423645832976</c:v>
                </c:pt>
                <c:pt idx="107">
                  <c:v>43903.442013889013</c:v>
                </c:pt>
                <c:pt idx="108">
                  <c:v>43903.443425925929</c:v>
                </c:pt>
                <c:pt idx="109">
                  <c:v>43903.462060185186</c:v>
                </c:pt>
                <c:pt idx="110">
                  <c:v>43903.462546296643</c:v>
                </c:pt>
                <c:pt idx="111">
                  <c:v>43903.462870370393</c:v>
                </c:pt>
                <c:pt idx="112">
                  <c:v>43903.553773148211</c:v>
                </c:pt>
                <c:pt idx="113">
                  <c:v>43903.582372685189</c:v>
                </c:pt>
                <c:pt idx="114">
                  <c:v>43903.619085648148</c:v>
                </c:pt>
                <c:pt idx="115">
                  <c:v>43903.619085648148</c:v>
                </c:pt>
                <c:pt idx="116">
                  <c:v>43903.619085648148</c:v>
                </c:pt>
                <c:pt idx="117">
                  <c:v>43903.640949074092</c:v>
                </c:pt>
                <c:pt idx="118">
                  <c:v>43903.651550925933</c:v>
                </c:pt>
                <c:pt idx="119">
                  <c:v>43903.651550925933</c:v>
                </c:pt>
                <c:pt idx="120">
                  <c:v>43903.708553241013</c:v>
                </c:pt>
                <c:pt idx="121">
                  <c:v>43907.700949074082</c:v>
                </c:pt>
                <c:pt idx="122">
                  <c:v>43909.551817129643</c:v>
                </c:pt>
                <c:pt idx="123">
                  <c:v>43913.453321759254</c:v>
                </c:pt>
                <c:pt idx="124">
                  <c:v>43913.457106481481</c:v>
                </c:pt>
                <c:pt idx="125">
                  <c:v>43913.695601851119</c:v>
                </c:pt>
                <c:pt idx="126">
                  <c:v>43914.427974536986</c:v>
                </c:pt>
                <c:pt idx="127">
                  <c:v>43914.569386574076</c:v>
                </c:pt>
                <c:pt idx="128">
                  <c:v>43914.699803240735</c:v>
                </c:pt>
                <c:pt idx="129">
                  <c:v>43915.424791666584</c:v>
                </c:pt>
                <c:pt idx="130">
                  <c:v>43915.431342592594</c:v>
                </c:pt>
                <c:pt idx="131">
                  <c:v>43915.431458333325</c:v>
                </c:pt>
                <c:pt idx="132">
                  <c:v>43915.431944444441</c:v>
                </c:pt>
                <c:pt idx="133">
                  <c:v>43915.432175925933</c:v>
                </c:pt>
                <c:pt idx="134">
                  <c:v>43915.432638889011</c:v>
                </c:pt>
                <c:pt idx="135">
                  <c:v>43915.449155092603</c:v>
                </c:pt>
                <c:pt idx="136">
                  <c:v>43915.449479166666</c:v>
                </c:pt>
                <c:pt idx="137">
                  <c:v>43915.475127314814</c:v>
                </c:pt>
                <c:pt idx="138">
                  <c:v>43915.697650462964</c:v>
                </c:pt>
                <c:pt idx="139">
                  <c:v>43915.701886574076</c:v>
                </c:pt>
                <c:pt idx="140">
                  <c:v>43915.708645833176</c:v>
                </c:pt>
                <c:pt idx="141">
                  <c:v>43917.426122685174</c:v>
                </c:pt>
                <c:pt idx="142">
                  <c:v>43917.432037037041</c:v>
                </c:pt>
                <c:pt idx="143">
                  <c:v>43917.47152777778</c:v>
                </c:pt>
                <c:pt idx="144">
                  <c:v>43917.472731481481</c:v>
                </c:pt>
                <c:pt idx="145">
                  <c:v>43917.472986111105</c:v>
                </c:pt>
                <c:pt idx="146">
                  <c:v>43917.475555555553</c:v>
                </c:pt>
                <c:pt idx="147">
                  <c:v>43917.703935185185</c:v>
                </c:pt>
                <c:pt idx="148">
                  <c:v>43917.708668981475</c:v>
                </c:pt>
              </c:numCache>
            </c:numRef>
          </c:cat>
          <c:val>
            <c:numRef>
              <c:f>'7 BSO'!$I$21:$I$838</c:f>
              <c:numCache>
                <c:formatCode>#,##0</c:formatCode>
                <c:ptCount val="818"/>
                <c:pt idx="0">
                  <c:v>3500</c:v>
                </c:pt>
                <c:pt idx="1">
                  <c:v>230</c:v>
                </c:pt>
                <c:pt idx="2">
                  <c:v>7700</c:v>
                </c:pt>
                <c:pt idx="3">
                  <c:v>50</c:v>
                </c:pt>
                <c:pt idx="4">
                  <c:v>560</c:v>
                </c:pt>
                <c:pt idx="5">
                  <c:v>200</c:v>
                </c:pt>
                <c:pt idx="6">
                  <c:v>50</c:v>
                </c:pt>
                <c:pt idx="7">
                  <c:v>300</c:v>
                </c:pt>
                <c:pt idx="8">
                  <c:v>300</c:v>
                </c:pt>
                <c:pt idx="9">
                  <c:v>200</c:v>
                </c:pt>
                <c:pt idx="10">
                  <c:v>109</c:v>
                </c:pt>
                <c:pt idx="11">
                  <c:v>300</c:v>
                </c:pt>
                <c:pt idx="12">
                  <c:v>10</c:v>
                </c:pt>
                <c:pt idx="13">
                  <c:v>45</c:v>
                </c:pt>
                <c:pt idx="14">
                  <c:v>100</c:v>
                </c:pt>
                <c:pt idx="15">
                  <c:v>100</c:v>
                </c:pt>
                <c:pt idx="16">
                  <c:v>500</c:v>
                </c:pt>
                <c:pt idx="17">
                  <c:v>150</c:v>
                </c:pt>
                <c:pt idx="18">
                  <c:v>225</c:v>
                </c:pt>
                <c:pt idx="19">
                  <c:v>50</c:v>
                </c:pt>
                <c:pt idx="20">
                  <c:v>100</c:v>
                </c:pt>
                <c:pt idx="21">
                  <c:v>34</c:v>
                </c:pt>
                <c:pt idx="22">
                  <c:v>126</c:v>
                </c:pt>
                <c:pt idx="23">
                  <c:v>924</c:v>
                </c:pt>
                <c:pt idx="24">
                  <c:v>3</c:v>
                </c:pt>
                <c:pt idx="25">
                  <c:v>250</c:v>
                </c:pt>
                <c:pt idx="26">
                  <c:v>76</c:v>
                </c:pt>
                <c:pt idx="27">
                  <c:v>300</c:v>
                </c:pt>
                <c:pt idx="28">
                  <c:v>300</c:v>
                </c:pt>
                <c:pt idx="29">
                  <c:v>300</c:v>
                </c:pt>
                <c:pt idx="30">
                  <c:v>20</c:v>
                </c:pt>
                <c:pt idx="31">
                  <c:v>380</c:v>
                </c:pt>
                <c:pt idx="32">
                  <c:v>105</c:v>
                </c:pt>
                <c:pt idx="33">
                  <c:v>300</c:v>
                </c:pt>
                <c:pt idx="34">
                  <c:v>500</c:v>
                </c:pt>
                <c:pt idx="35">
                  <c:v>10</c:v>
                </c:pt>
                <c:pt idx="36">
                  <c:v>250</c:v>
                </c:pt>
                <c:pt idx="37">
                  <c:v>500</c:v>
                </c:pt>
                <c:pt idx="38">
                  <c:v>250</c:v>
                </c:pt>
                <c:pt idx="39">
                  <c:v>200</c:v>
                </c:pt>
                <c:pt idx="40">
                  <c:v>90</c:v>
                </c:pt>
                <c:pt idx="41">
                  <c:v>40</c:v>
                </c:pt>
                <c:pt idx="42">
                  <c:v>200</c:v>
                </c:pt>
                <c:pt idx="43">
                  <c:v>210</c:v>
                </c:pt>
                <c:pt idx="44">
                  <c:v>330</c:v>
                </c:pt>
                <c:pt idx="45">
                  <c:v>170</c:v>
                </c:pt>
                <c:pt idx="46">
                  <c:v>50</c:v>
                </c:pt>
                <c:pt idx="47">
                  <c:v>556</c:v>
                </c:pt>
                <c:pt idx="48">
                  <c:v>396</c:v>
                </c:pt>
                <c:pt idx="49">
                  <c:v>204</c:v>
                </c:pt>
                <c:pt idx="50">
                  <c:v>50</c:v>
                </c:pt>
                <c:pt idx="51">
                  <c:v>430</c:v>
                </c:pt>
                <c:pt idx="52">
                  <c:v>500</c:v>
                </c:pt>
                <c:pt idx="53">
                  <c:v>3870</c:v>
                </c:pt>
                <c:pt idx="54">
                  <c:v>500</c:v>
                </c:pt>
                <c:pt idx="55">
                  <c:v>500</c:v>
                </c:pt>
                <c:pt idx="56">
                  <c:v>500</c:v>
                </c:pt>
                <c:pt idx="57">
                  <c:v>500</c:v>
                </c:pt>
                <c:pt idx="58">
                  <c:v>500</c:v>
                </c:pt>
                <c:pt idx="59">
                  <c:v>70</c:v>
                </c:pt>
                <c:pt idx="60">
                  <c:v>1000</c:v>
                </c:pt>
                <c:pt idx="61">
                  <c:v>120</c:v>
                </c:pt>
                <c:pt idx="62">
                  <c:v>200</c:v>
                </c:pt>
                <c:pt idx="63">
                  <c:v>170</c:v>
                </c:pt>
                <c:pt idx="64">
                  <c:v>500</c:v>
                </c:pt>
                <c:pt idx="65">
                  <c:v>320</c:v>
                </c:pt>
                <c:pt idx="66">
                  <c:v>500</c:v>
                </c:pt>
                <c:pt idx="67">
                  <c:v>160</c:v>
                </c:pt>
                <c:pt idx="68">
                  <c:v>1900</c:v>
                </c:pt>
                <c:pt idx="69">
                  <c:v>22</c:v>
                </c:pt>
                <c:pt idx="70">
                  <c:v>24</c:v>
                </c:pt>
                <c:pt idx="71">
                  <c:v>50</c:v>
                </c:pt>
                <c:pt idx="72">
                  <c:v>250</c:v>
                </c:pt>
                <c:pt idx="73">
                  <c:v>478</c:v>
                </c:pt>
                <c:pt idx="74">
                  <c:v>500</c:v>
                </c:pt>
                <c:pt idx="75">
                  <c:v>120</c:v>
                </c:pt>
                <c:pt idx="76">
                  <c:v>20</c:v>
                </c:pt>
                <c:pt idx="77">
                  <c:v>140</c:v>
                </c:pt>
                <c:pt idx="78">
                  <c:v>480</c:v>
                </c:pt>
                <c:pt idx="79">
                  <c:v>12</c:v>
                </c:pt>
                <c:pt idx="80">
                  <c:v>151</c:v>
                </c:pt>
                <c:pt idx="81">
                  <c:v>149</c:v>
                </c:pt>
                <c:pt idx="82">
                  <c:v>200</c:v>
                </c:pt>
                <c:pt idx="83">
                  <c:v>250</c:v>
                </c:pt>
                <c:pt idx="84">
                  <c:v>40</c:v>
                </c:pt>
                <c:pt idx="85">
                  <c:v>300</c:v>
                </c:pt>
                <c:pt idx="86">
                  <c:v>300</c:v>
                </c:pt>
                <c:pt idx="87">
                  <c:v>300</c:v>
                </c:pt>
                <c:pt idx="88">
                  <c:v>151</c:v>
                </c:pt>
                <c:pt idx="89">
                  <c:v>500</c:v>
                </c:pt>
                <c:pt idx="90">
                  <c:v>20</c:v>
                </c:pt>
                <c:pt idx="91">
                  <c:v>100</c:v>
                </c:pt>
                <c:pt idx="92">
                  <c:v>500</c:v>
                </c:pt>
                <c:pt idx="93">
                  <c:v>500</c:v>
                </c:pt>
                <c:pt idx="94">
                  <c:v>180</c:v>
                </c:pt>
                <c:pt idx="95">
                  <c:v>20</c:v>
                </c:pt>
                <c:pt idx="96">
                  <c:v>200</c:v>
                </c:pt>
                <c:pt idx="97">
                  <c:v>300</c:v>
                </c:pt>
                <c:pt idx="98">
                  <c:v>150</c:v>
                </c:pt>
                <c:pt idx="99">
                  <c:v>200</c:v>
                </c:pt>
                <c:pt idx="100">
                  <c:v>150</c:v>
                </c:pt>
                <c:pt idx="101">
                  <c:v>200</c:v>
                </c:pt>
                <c:pt idx="102">
                  <c:v>130</c:v>
                </c:pt>
                <c:pt idx="103">
                  <c:v>200</c:v>
                </c:pt>
                <c:pt idx="104">
                  <c:v>224</c:v>
                </c:pt>
                <c:pt idx="105">
                  <c:v>150</c:v>
                </c:pt>
                <c:pt idx="106">
                  <c:v>210</c:v>
                </c:pt>
                <c:pt idx="107">
                  <c:v>290</c:v>
                </c:pt>
                <c:pt idx="108">
                  <c:v>190</c:v>
                </c:pt>
                <c:pt idx="109">
                  <c:v>150</c:v>
                </c:pt>
                <c:pt idx="110">
                  <c:v>310</c:v>
                </c:pt>
                <c:pt idx="111">
                  <c:v>200</c:v>
                </c:pt>
                <c:pt idx="112">
                  <c:v>200</c:v>
                </c:pt>
                <c:pt idx="113">
                  <c:v>100</c:v>
                </c:pt>
                <c:pt idx="114">
                  <c:v>300</c:v>
                </c:pt>
                <c:pt idx="115">
                  <c:v>199</c:v>
                </c:pt>
                <c:pt idx="116">
                  <c:v>500</c:v>
                </c:pt>
                <c:pt idx="117">
                  <c:v>70</c:v>
                </c:pt>
                <c:pt idx="118">
                  <c:v>5</c:v>
                </c:pt>
                <c:pt idx="119">
                  <c:v>30</c:v>
                </c:pt>
                <c:pt idx="120">
                  <c:v>90</c:v>
                </c:pt>
                <c:pt idx="121">
                  <c:v>180</c:v>
                </c:pt>
                <c:pt idx="122">
                  <c:v>124</c:v>
                </c:pt>
                <c:pt idx="123">
                  <c:v>250</c:v>
                </c:pt>
                <c:pt idx="124">
                  <c:v>200</c:v>
                </c:pt>
                <c:pt idx="125">
                  <c:v>100</c:v>
                </c:pt>
                <c:pt idx="126">
                  <c:v>300</c:v>
                </c:pt>
                <c:pt idx="127">
                  <c:v>22</c:v>
                </c:pt>
                <c:pt idx="128">
                  <c:v>124</c:v>
                </c:pt>
                <c:pt idx="129">
                  <c:v>150</c:v>
                </c:pt>
                <c:pt idx="130">
                  <c:v>160</c:v>
                </c:pt>
                <c:pt idx="131">
                  <c:v>544</c:v>
                </c:pt>
                <c:pt idx="132">
                  <c:v>600</c:v>
                </c:pt>
                <c:pt idx="133">
                  <c:v>150</c:v>
                </c:pt>
                <c:pt idx="134">
                  <c:v>270</c:v>
                </c:pt>
                <c:pt idx="135">
                  <c:v>200</c:v>
                </c:pt>
                <c:pt idx="136">
                  <c:v>300</c:v>
                </c:pt>
                <c:pt idx="137">
                  <c:v>6</c:v>
                </c:pt>
                <c:pt idx="138">
                  <c:v>85</c:v>
                </c:pt>
                <c:pt idx="139">
                  <c:v>25</c:v>
                </c:pt>
                <c:pt idx="140">
                  <c:v>119</c:v>
                </c:pt>
                <c:pt idx="141">
                  <c:v>100</c:v>
                </c:pt>
                <c:pt idx="142">
                  <c:v>100</c:v>
                </c:pt>
                <c:pt idx="143">
                  <c:v>250</c:v>
                </c:pt>
                <c:pt idx="144">
                  <c:v>300</c:v>
                </c:pt>
                <c:pt idx="145">
                  <c:v>300</c:v>
                </c:pt>
                <c:pt idx="146">
                  <c:v>300</c:v>
                </c:pt>
                <c:pt idx="147">
                  <c:v>200</c:v>
                </c:pt>
                <c:pt idx="148">
                  <c:v>15</c:v>
                </c:pt>
              </c:numCache>
            </c:numRef>
          </c:val>
          <c:extLst xmlns:c16r2="http://schemas.microsoft.com/office/drawing/2015/06/chart">
            <c:ext xmlns:c16="http://schemas.microsoft.com/office/drawing/2014/chart" uri="{C3380CC4-5D6E-409C-BE32-E72D297353CC}">
              <c16:uniqueId val="{00000000-BD87-43CB-904E-F64E46DBA155}"/>
            </c:ext>
          </c:extLst>
        </c:ser>
        <c:axId val="90792704"/>
        <c:axId val="90143360"/>
      </c:barChart>
      <c:lineChart>
        <c:grouping val="standard"/>
        <c:ser>
          <c:idx val="1"/>
          <c:order val="1"/>
          <c:tx>
            <c:strRef>
              <c:f>'7 BSO'!$E$17</c:f>
              <c:strCache>
                <c:ptCount val="1"/>
                <c:pt idx="0">
                  <c:v>Цена</c:v>
                </c:pt>
              </c:strCache>
            </c:strRef>
          </c:tx>
          <c:spPr>
            <a:ln w="19050">
              <a:solidFill>
                <a:srgbClr val="FF0000"/>
              </a:solidFill>
            </a:ln>
          </c:spPr>
          <c:marker>
            <c:symbol val="none"/>
          </c:marker>
          <c:cat>
            <c:numRef>
              <c:f>'7 BSO'!$H$21:$H$838</c:f>
              <c:numCache>
                <c:formatCode>dd/mm/yyyy\ hh:mm/ss</c:formatCode>
                <c:ptCount val="818"/>
                <c:pt idx="0">
                  <c:v>43836.691724536257</c:v>
                </c:pt>
                <c:pt idx="1">
                  <c:v>43836.691724536257</c:v>
                </c:pt>
                <c:pt idx="2">
                  <c:v>43836.691724536257</c:v>
                </c:pt>
                <c:pt idx="3">
                  <c:v>43836.695243055554</c:v>
                </c:pt>
                <c:pt idx="4">
                  <c:v>43836.695243055554</c:v>
                </c:pt>
                <c:pt idx="5">
                  <c:v>43836.695243055554</c:v>
                </c:pt>
                <c:pt idx="6">
                  <c:v>43836.695520832975</c:v>
                </c:pt>
                <c:pt idx="7">
                  <c:v>43837.441643518505</c:v>
                </c:pt>
                <c:pt idx="8">
                  <c:v>43843.588333333333</c:v>
                </c:pt>
                <c:pt idx="9">
                  <c:v>43844.433379629627</c:v>
                </c:pt>
                <c:pt idx="10">
                  <c:v>43844.456053241243</c:v>
                </c:pt>
                <c:pt idx="11">
                  <c:v>43846.620509259257</c:v>
                </c:pt>
                <c:pt idx="12">
                  <c:v>43847.520810185182</c:v>
                </c:pt>
                <c:pt idx="13">
                  <c:v>43850.606041666586</c:v>
                </c:pt>
                <c:pt idx="14">
                  <c:v>43858.484849537039</c:v>
                </c:pt>
                <c:pt idx="15">
                  <c:v>43858.48754629687</c:v>
                </c:pt>
                <c:pt idx="16">
                  <c:v>43859.471412037034</c:v>
                </c:pt>
                <c:pt idx="17">
                  <c:v>43859.471412037034</c:v>
                </c:pt>
                <c:pt idx="18">
                  <c:v>43859.471412037034</c:v>
                </c:pt>
                <c:pt idx="19">
                  <c:v>43859.471412037034</c:v>
                </c:pt>
                <c:pt idx="20">
                  <c:v>43859.471412037034</c:v>
                </c:pt>
                <c:pt idx="21">
                  <c:v>43860.558263889012</c:v>
                </c:pt>
                <c:pt idx="22">
                  <c:v>43860.579247685186</c:v>
                </c:pt>
                <c:pt idx="23">
                  <c:v>43860.669641203574</c:v>
                </c:pt>
                <c:pt idx="24">
                  <c:v>43860.703078703584</c:v>
                </c:pt>
                <c:pt idx="25">
                  <c:v>43861.502708333326</c:v>
                </c:pt>
                <c:pt idx="26">
                  <c:v>43861.502708333326</c:v>
                </c:pt>
                <c:pt idx="27">
                  <c:v>43861.538912037038</c:v>
                </c:pt>
                <c:pt idx="28">
                  <c:v>43861.693888888884</c:v>
                </c:pt>
                <c:pt idx="29">
                  <c:v>43861.704143518175</c:v>
                </c:pt>
                <c:pt idx="30">
                  <c:v>43861.708518518542</c:v>
                </c:pt>
                <c:pt idx="31">
                  <c:v>43861.708518518542</c:v>
                </c:pt>
                <c:pt idx="32">
                  <c:v>43865.624143517969</c:v>
                </c:pt>
                <c:pt idx="33">
                  <c:v>43866.648807870391</c:v>
                </c:pt>
                <c:pt idx="34">
                  <c:v>43866.658263889003</c:v>
                </c:pt>
                <c:pt idx="35">
                  <c:v>43866.658263889003</c:v>
                </c:pt>
                <c:pt idx="36">
                  <c:v>43866.702326388891</c:v>
                </c:pt>
                <c:pt idx="37">
                  <c:v>43866.702326388891</c:v>
                </c:pt>
                <c:pt idx="38">
                  <c:v>43866.703101851097</c:v>
                </c:pt>
                <c:pt idx="39">
                  <c:v>43867.428530092613</c:v>
                </c:pt>
                <c:pt idx="40">
                  <c:v>43872.504131944443</c:v>
                </c:pt>
                <c:pt idx="41">
                  <c:v>43872.679398148211</c:v>
                </c:pt>
                <c:pt idx="42">
                  <c:v>43873.497789351575</c:v>
                </c:pt>
                <c:pt idx="43">
                  <c:v>43874.67083333333</c:v>
                </c:pt>
                <c:pt idx="44">
                  <c:v>43878.42863425926</c:v>
                </c:pt>
                <c:pt idx="45">
                  <c:v>43878.42863425926</c:v>
                </c:pt>
                <c:pt idx="46">
                  <c:v>43878.505983796284</c:v>
                </c:pt>
                <c:pt idx="47">
                  <c:v>43878.505983796284</c:v>
                </c:pt>
                <c:pt idx="48">
                  <c:v>43878.506296297048</c:v>
                </c:pt>
                <c:pt idx="49">
                  <c:v>43878.506296297048</c:v>
                </c:pt>
                <c:pt idx="50">
                  <c:v>43878.506817130168</c:v>
                </c:pt>
                <c:pt idx="51">
                  <c:v>43879.482164351852</c:v>
                </c:pt>
                <c:pt idx="52">
                  <c:v>43879.482164351852</c:v>
                </c:pt>
                <c:pt idx="53">
                  <c:v>43879.482164351852</c:v>
                </c:pt>
                <c:pt idx="54">
                  <c:v>43879.483067129629</c:v>
                </c:pt>
                <c:pt idx="55">
                  <c:v>43879.483136574083</c:v>
                </c:pt>
                <c:pt idx="56">
                  <c:v>43879.555706018517</c:v>
                </c:pt>
                <c:pt idx="57">
                  <c:v>43879.555706018517</c:v>
                </c:pt>
                <c:pt idx="58">
                  <c:v>43879.555706018517</c:v>
                </c:pt>
                <c:pt idx="59">
                  <c:v>43879.555706018517</c:v>
                </c:pt>
                <c:pt idx="60">
                  <c:v>43880.677106481475</c:v>
                </c:pt>
                <c:pt idx="61">
                  <c:v>43881.507407407407</c:v>
                </c:pt>
                <c:pt idx="62">
                  <c:v>43881.704004629624</c:v>
                </c:pt>
                <c:pt idx="63">
                  <c:v>43881.704004629624</c:v>
                </c:pt>
                <c:pt idx="64">
                  <c:v>43881.704004629624</c:v>
                </c:pt>
                <c:pt idx="65">
                  <c:v>43881.704004629624</c:v>
                </c:pt>
                <c:pt idx="66">
                  <c:v>43881.704004629624</c:v>
                </c:pt>
                <c:pt idx="67">
                  <c:v>43881.708576389043</c:v>
                </c:pt>
                <c:pt idx="68">
                  <c:v>43885.490069444611</c:v>
                </c:pt>
                <c:pt idx="69">
                  <c:v>43885.512673611105</c:v>
                </c:pt>
                <c:pt idx="70">
                  <c:v>43885.534039351849</c:v>
                </c:pt>
                <c:pt idx="71">
                  <c:v>43885.535717592589</c:v>
                </c:pt>
                <c:pt idx="72">
                  <c:v>43886.425462962368</c:v>
                </c:pt>
                <c:pt idx="73">
                  <c:v>43886.425462962368</c:v>
                </c:pt>
                <c:pt idx="74">
                  <c:v>43887.473634259259</c:v>
                </c:pt>
                <c:pt idx="75">
                  <c:v>43887.473634259259</c:v>
                </c:pt>
                <c:pt idx="76">
                  <c:v>43887.474317129643</c:v>
                </c:pt>
                <c:pt idx="77">
                  <c:v>43887.512037037042</c:v>
                </c:pt>
                <c:pt idx="78">
                  <c:v>43887.512280092611</c:v>
                </c:pt>
                <c:pt idx="79">
                  <c:v>43887.708425925928</c:v>
                </c:pt>
                <c:pt idx="80">
                  <c:v>43889.619456018518</c:v>
                </c:pt>
                <c:pt idx="81">
                  <c:v>43889.621886574074</c:v>
                </c:pt>
                <c:pt idx="82">
                  <c:v>43889.684375000012</c:v>
                </c:pt>
                <c:pt idx="83">
                  <c:v>43889.686331018602</c:v>
                </c:pt>
                <c:pt idx="84">
                  <c:v>43892.450601851851</c:v>
                </c:pt>
                <c:pt idx="85">
                  <c:v>43896.512245370643</c:v>
                </c:pt>
                <c:pt idx="86">
                  <c:v>43896.512245370643</c:v>
                </c:pt>
                <c:pt idx="87">
                  <c:v>43896.644375000003</c:v>
                </c:pt>
                <c:pt idx="88">
                  <c:v>43896.644375000003</c:v>
                </c:pt>
                <c:pt idx="89">
                  <c:v>43896.645416666594</c:v>
                </c:pt>
                <c:pt idx="90">
                  <c:v>43899.423888888887</c:v>
                </c:pt>
                <c:pt idx="91">
                  <c:v>43899.423888888887</c:v>
                </c:pt>
                <c:pt idx="92">
                  <c:v>43899.423888888887</c:v>
                </c:pt>
                <c:pt idx="93">
                  <c:v>43899.427314814806</c:v>
                </c:pt>
                <c:pt idx="94">
                  <c:v>43900.425902777584</c:v>
                </c:pt>
                <c:pt idx="95">
                  <c:v>43900.425902777584</c:v>
                </c:pt>
                <c:pt idx="96">
                  <c:v>43901.580983796295</c:v>
                </c:pt>
                <c:pt idx="97">
                  <c:v>43901.580983796295</c:v>
                </c:pt>
                <c:pt idx="98">
                  <c:v>43901.580983796295</c:v>
                </c:pt>
                <c:pt idx="99">
                  <c:v>43901.580983796295</c:v>
                </c:pt>
                <c:pt idx="100">
                  <c:v>43901.580983796295</c:v>
                </c:pt>
                <c:pt idx="101">
                  <c:v>43901.634317129632</c:v>
                </c:pt>
                <c:pt idx="102">
                  <c:v>43902.499340277776</c:v>
                </c:pt>
                <c:pt idx="103">
                  <c:v>43902.524085648147</c:v>
                </c:pt>
                <c:pt idx="104">
                  <c:v>43902.524085648147</c:v>
                </c:pt>
                <c:pt idx="105">
                  <c:v>43902.663773148146</c:v>
                </c:pt>
                <c:pt idx="106">
                  <c:v>43903.423645832976</c:v>
                </c:pt>
                <c:pt idx="107">
                  <c:v>43903.442013889013</c:v>
                </c:pt>
                <c:pt idx="108">
                  <c:v>43903.443425925929</c:v>
                </c:pt>
                <c:pt idx="109">
                  <c:v>43903.462060185186</c:v>
                </c:pt>
                <c:pt idx="110">
                  <c:v>43903.462546296643</c:v>
                </c:pt>
                <c:pt idx="111">
                  <c:v>43903.462870370393</c:v>
                </c:pt>
                <c:pt idx="112">
                  <c:v>43903.553773148211</c:v>
                </c:pt>
                <c:pt idx="113">
                  <c:v>43903.582372685189</c:v>
                </c:pt>
                <c:pt idx="114">
                  <c:v>43903.619085648148</c:v>
                </c:pt>
                <c:pt idx="115">
                  <c:v>43903.619085648148</c:v>
                </c:pt>
                <c:pt idx="116">
                  <c:v>43903.619085648148</c:v>
                </c:pt>
                <c:pt idx="117">
                  <c:v>43903.640949074092</c:v>
                </c:pt>
                <c:pt idx="118">
                  <c:v>43903.651550925933</c:v>
                </c:pt>
                <c:pt idx="119">
                  <c:v>43903.651550925933</c:v>
                </c:pt>
                <c:pt idx="120">
                  <c:v>43903.708553241013</c:v>
                </c:pt>
                <c:pt idx="121">
                  <c:v>43907.700949074082</c:v>
                </c:pt>
                <c:pt idx="122">
                  <c:v>43909.551817129643</c:v>
                </c:pt>
                <c:pt idx="123">
                  <c:v>43913.453321759254</c:v>
                </c:pt>
                <c:pt idx="124">
                  <c:v>43913.457106481481</c:v>
                </c:pt>
                <c:pt idx="125">
                  <c:v>43913.695601851119</c:v>
                </c:pt>
                <c:pt idx="126">
                  <c:v>43914.427974536986</c:v>
                </c:pt>
                <c:pt idx="127">
                  <c:v>43914.569386574076</c:v>
                </c:pt>
                <c:pt idx="128">
                  <c:v>43914.699803240735</c:v>
                </c:pt>
                <c:pt idx="129">
                  <c:v>43915.424791666584</c:v>
                </c:pt>
                <c:pt idx="130">
                  <c:v>43915.431342592594</c:v>
                </c:pt>
                <c:pt idx="131">
                  <c:v>43915.431458333325</c:v>
                </c:pt>
                <c:pt idx="132">
                  <c:v>43915.431944444441</c:v>
                </c:pt>
                <c:pt idx="133">
                  <c:v>43915.432175925933</c:v>
                </c:pt>
                <c:pt idx="134">
                  <c:v>43915.432638889011</c:v>
                </c:pt>
                <c:pt idx="135">
                  <c:v>43915.449155092603</c:v>
                </c:pt>
                <c:pt idx="136">
                  <c:v>43915.449479166666</c:v>
                </c:pt>
                <c:pt idx="137">
                  <c:v>43915.475127314814</c:v>
                </c:pt>
                <c:pt idx="138">
                  <c:v>43915.697650462964</c:v>
                </c:pt>
                <c:pt idx="139">
                  <c:v>43915.701886574076</c:v>
                </c:pt>
                <c:pt idx="140">
                  <c:v>43915.708645833176</c:v>
                </c:pt>
                <c:pt idx="141">
                  <c:v>43917.426122685174</c:v>
                </c:pt>
                <c:pt idx="142">
                  <c:v>43917.432037037041</c:v>
                </c:pt>
                <c:pt idx="143">
                  <c:v>43917.47152777778</c:v>
                </c:pt>
                <c:pt idx="144">
                  <c:v>43917.472731481481</c:v>
                </c:pt>
                <c:pt idx="145">
                  <c:v>43917.472986111105</c:v>
                </c:pt>
                <c:pt idx="146">
                  <c:v>43917.475555555553</c:v>
                </c:pt>
                <c:pt idx="147">
                  <c:v>43917.703935185185</c:v>
                </c:pt>
                <c:pt idx="148">
                  <c:v>43917.708668981475</c:v>
                </c:pt>
              </c:numCache>
            </c:numRef>
          </c:cat>
          <c:val>
            <c:numRef>
              <c:f>'7 BSO'!$J$21:$J$838</c:f>
              <c:numCache>
                <c:formatCode>#,##0.000</c:formatCode>
                <c:ptCount val="818"/>
                <c:pt idx="0">
                  <c:v>4.8</c:v>
                </c:pt>
                <c:pt idx="1">
                  <c:v>4.8</c:v>
                </c:pt>
                <c:pt idx="2">
                  <c:v>4.8</c:v>
                </c:pt>
                <c:pt idx="3">
                  <c:v>4.8199999999999985</c:v>
                </c:pt>
                <c:pt idx="4">
                  <c:v>4.8199999999999985</c:v>
                </c:pt>
                <c:pt idx="5">
                  <c:v>4.8199999999999985</c:v>
                </c:pt>
                <c:pt idx="6">
                  <c:v>4.8599999999999985</c:v>
                </c:pt>
                <c:pt idx="7">
                  <c:v>5.05</c:v>
                </c:pt>
                <c:pt idx="8">
                  <c:v>5.0999999999999996</c:v>
                </c:pt>
                <c:pt idx="9">
                  <c:v>5</c:v>
                </c:pt>
                <c:pt idx="10">
                  <c:v>5.0999999999999996</c:v>
                </c:pt>
                <c:pt idx="11">
                  <c:v>5</c:v>
                </c:pt>
                <c:pt idx="12">
                  <c:v>5.0999999999999996</c:v>
                </c:pt>
                <c:pt idx="13">
                  <c:v>5</c:v>
                </c:pt>
                <c:pt idx="14">
                  <c:v>5.0999999999999996</c:v>
                </c:pt>
                <c:pt idx="15">
                  <c:v>5.0999999999999996</c:v>
                </c:pt>
                <c:pt idx="16">
                  <c:v>4.9400000000000004</c:v>
                </c:pt>
                <c:pt idx="17">
                  <c:v>4.96</c:v>
                </c:pt>
                <c:pt idx="18">
                  <c:v>4.9800000000000004</c:v>
                </c:pt>
                <c:pt idx="19">
                  <c:v>4.9800000000000004</c:v>
                </c:pt>
                <c:pt idx="20">
                  <c:v>4.9800000000000004</c:v>
                </c:pt>
                <c:pt idx="21">
                  <c:v>4.9400000000000004</c:v>
                </c:pt>
                <c:pt idx="22">
                  <c:v>4.9400000000000004</c:v>
                </c:pt>
                <c:pt idx="23">
                  <c:v>4.8599999999999985</c:v>
                </c:pt>
                <c:pt idx="24">
                  <c:v>4.9400000000000004</c:v>
                </c:pt>
                <c:pt idx="25">
                  <c:v>4.84</c:v>
                </c:pt>
                <c:pt idx="26">
                  <c:v>4.8599999999999985</c:v>
                </c:pt>
                <c:pt idx="27">
                  <c:v>4.8</c:v>
                </c:pt>
                <c:pt idx="28">
                  <c:v>4.8199999999999985</c:v>
                </c:pt>
                <c:pt idx="29">
                  <c:v>4.8199999999999985</c:v>
                </c:pt>
                <c:pt idx="30">
                  <c:v>4.8199999999999985</c:v>
                </c:pt>
                <c:pt idx="31">
                  <c:v>4.8199999999999985</c:v>
                </c:pt>
                <c:pt idx="32">
                  <c:v>4.8199999999999985</c:v>
                </c:pt>
                <c:pt idx="33">
                  <c:v>4.9400000000000004</c:v>
                </c:pt>
                <c:pt idx="34">
                  <c:v>4.9000000000000004</c:v>
                </c:pt>
                <c:pt idx="35">
                  <c:v>4.9000000000000004</c:v>
                </c:pt>
                <c:pt idx="36">
                  <c:v>4.88</c:v>
                </c:pt>
                <c:pt idx="37">
                  <c:v>4.8599999999999985</c:v>
                </c:pt>
                <c:pt idx="38">
                  <c:v>4.8599999999999985</c:v>
                </c:pt>
                <c:pt idx="39">
                  <c:v>4.8599999999999985</c:v>
                </c:pt>
                <c:pt idx="40">
                  <c:v>4.92</c:v>
                </c:pt>
                <c:pt idx="41">
                  <c:v>4.84</c:v>
                </c:pt>
                <c:pt idx="42">
                  <c:v>4.84</c:v>
                </c:pt>
                <c:pt idx="43">
                  <c:v>4.8199999999999985</c:v>
                </c:pt>
                <c:pt idx="44">
                  <c:v>4.8199999999999985</c:v>
                </c:pt>
                <c:pt idx="45">
                  <c:v>4.8199999999999985</c:v>
                </c:pt>
                <c:pt idx="46">
                  <c:v>4.8199999999999985</c:v>
                </c:pt>
                <c:pt idx="47">
                  <c:v>4.8199999999999985</c:v>
                </c:pt>
                <c:pt idx="48">
                  <c:v>4.8199999999999985</c:v>
                </c:pt>
                <c:pt idx="49">
                  <c:v>4.8199999999999985</c:v>
                </c:pt>
                <c:pt idx="50">
                  <c:v>4.8199999999999985</c:v>
                </c:pt>
                <c:pt idx="51">
                  <c:v>4.76</c:v>
                </c:pt>
                <c:pt idx="52">
                  <c:v>4.74</c:v>
                </c:pt>
                <c:pt idx="53">
                  <c:v>4.76</c:v>
                </c:pt>
                <c:pt idx="54">
                  <c:v>4.72</c:v>
                </c:pt>
                <c:pt idx="55">
                  <c:v>4.7</c:v>
                </c:pt>
                <c:pt idx="56">
                  <c:v>4.6399999999999997</c:v>
                </c:pt>
                <c:pt idx="57">
                  <c:v>4.6599999999999975</c:v>
                </c:pt>
                <c:pt idx="58">
                  <c:v>4.68</c:v>
                </c:pt>
                <c:pt idx="59">
                  <c:v>4.6599999999999975</c:v>
                </c:pt>
                <c:pt idx="60">
                  <c:v>4.6399999999999997</c:v>
                </c:pt>
                <c:pt idx="61">
                  <c:v>4.6199999999999966</c:v>
                </c:pt>
                <c:pt idx="62">
                  <c:v>4.58</c:v>
                </c:pt>
                <c:pt idx="63">
                  <c:v>4.6199999999999966</c:v>
                </c:pt>
                <c:pt idx="64">
                  <c:v>4.5999999999999996</c:v>
                </c:pt>
                <c:pt idx="65">
                  <c:v>4.5999999999999996</c:v>
                </c:pt>
                <c:pt idx="66">
                  <c:v>4.58</c:v>
                </c:pt>
                <c:pt idx="67">
                  <c:v>4.58</c:v>
                </c:pt>
                <c:pt idx="68">
                  <c:v>4.5599999999999996</c:v>
                </c:pt>
                <c:pt idx="69">
                  <c:v>4.88</c:v>
                </c:pt>
                <c:pt idx="70">
                  <c:v>4.8599999999999985</c:v>
                </c:pt>
                <c:pt idx="71">
                  <c:v>4.8599999999999985</c:v>
                </c:pt>
                <c:pt idx="72">
                  <c:v>4.84</c:v>
                </c:pt>
                <c:pt idx="73">
                  <c:v>4.88</c:v>
                </c:pt>
                <c:pt idx="74">
                  <c:v>4.54</c:v>
                </c:pt>
                <c:pt idx="75">
                  <c:v>4.58</c:v>
                </c:pt>
                <c:pt idx="76">
                  <c:v>4.5199999999999996</c:v>
                </c:pt>
                <c:pt idx="77">
                  <c:v>4.54</c:v>
                </c:pt>
                <c:pt idx="78">
                  <c:v>4.54</c:v>
                </c:pt>
                <c:pt idx="79">
                  <c:v>4.8199999999999985</c:v>
                </c:pt>
                <c:pt idx="80">
                  <c:v>4.54</c:v>
                </c:pt>
                <c:pt idx="81">
                  <c:v>4.54</c:v>
                </c:pt>
                <c:pt idx="82">
                  <c:v>4.8</c:v>
                </c:pt>
                <c:pt idx="83">
                  <c:v>4.8</c:v>
                </c:pt>
                <c:pt idx="84">
                  <c:v>4.8</c:v>
                </c:pt>
                <c:pt idx="85">
                  <c:v>4.5599999999999996</c:v>
                </c:pt>
                <c:pt idx="86">
                  <c:v>4.5599999999999996</c:v>
                </c:pt>
                <c:pt idx="87">
                  <c:v>4.5599999999999996</c:v>
                </c:pt>
                <c:pt idx="88">
                  <c:v>4.5599999999999996</c:v>
                </c:pt>
                <c:pt idx="89">
                  <c:v>4.54</c:v>
                </c:pt>
                <c:pt idx="90">
                  <c:v>4.5</c:v>
                </c:pt>
                <c:pt idx="91">
                  <c:v>4.5</c:v>
                </c:pt>
                <c:pt idx="92">
                  <c:v>4.5</c:v>
                </c:pt>
                <c:pt idx="93">
                  <c:v>4.0999999999999996</c:v>
                </c:pt>
                <c:pt idx="94">
                  <c:v>4.6399999999999997</c:v>
                </c:pt>
                <c:pt idx="95">
                  <c:v>4.6399999999999997</c:v>
                </c:pt>
                <c:pt idx="96">
                  <c:v>4.22</c:v>
                </c:pt>
                <c:pt idx="97">
                  <c:v>4.1599999999999975</c:v>
                </c:pt>
                <c:pt idx="98">
                  <c:v>4.1599999999999975</c:v>
                </c:pt>
                <c:pt idx="99">
                  <c:v>4.2</c:v>
                </c:pt>
                <c:pt idx="100">
                  <c:v>4.24</c:v>
                </c:pt>
                <c:pt idx="101">
                  <c:v>4.54</c:v>
                </c:pt>
                <c:pt idx="102">
                  <c:v>4</c:v>
                </c:pt>
                <c:pt idx="103">
                  <c:v>4.3</c:v>
                </c:pt>
                <c:pt idx="104">
                  <c:v>4.3</c:v>
                </c:pt>
                <c:pt idx="105">
                  <c:v>4</c:v>
                </c:pt>
                <c:pt idx="106">
                  <c:v>3.74</c:v>
                </c:pt>
                <c:pt idx="107">
                  <c:v>3.74</c:v>
                </c:pt>
                <c:pt idx="108">
                  <c:v>3.5</c:v>
                </c:pt>
                <c:pt idx="109">
                  <c:v>3.52</c:v>
                </c:pt>
                <c:pt idx="110">
                  <c:v>3.5</c:v>
                </c:pt>
                <c:pt idx="111">
                  <c:v>3.4</c:v>
                </c:pt>
                <c:pt idx="112">
                  <c:v>3.7</c:v>
                </c:pt>
                <c:pt idx="113">
                  <c:v>3.7</c:v>
                </c:pt>
                <c:pt idx="114">
                  <c:v>4</c:v>
                </c:pt>
                <c:pt idx="115">
                  <c:v>4</c:v>
                </c:pt>
                <c:pt idx="116">
                  <c:v>3.98</c:v>
                </c:pt>
                <c:pt idx="117">
                  <c:v>4.2</c:v>
                </c:pt>
                <c:pt idx="118">
                  <c:v>4.2</c:v>
                </c:pt>
                <c:pt idx="119">
                  <c:v>4.2</c:v>
                </c:pt>
                <c:pt idx="120">
                  <c:v>4</c:v>
                </c:pt>
                <c:pt idx="121">
                  <c:v>3.96</c:v>
                </c:pt>
                <c:pt idx="122">
                  <c:v>4.08</c:v>
                </c:pt>
                <c:pt idx="123">
                  <c:v>3.74</c:v>
                </c:pt>
                <c:pt idx="124">
                  <c:v>3.72</c:v>
                </c:pt>
                <c:pt idx="125">
                  <c:v>4.0599999999999996</c:v>
                </c:pt>
                <c:pt idx="126">
                  <c:v>3.7</c:v>
                </c:pt>
                <c:pt idx="127">
                  <c:v>3.94</c:v>
                </c:pt>
                <c:pt idx="128">
                  <c:v>3.94</c:v>
                </c:pt>
                <c:pt idx="129">
                  <c:v>3.94</c:v>
                </c:pt>
                <c:pt idx="130">
                  <c:v>3.94</c:v>
                </c:pt>
                <c:pt idx="131">
                  <c:v>3.94</c:v>
                </c:pt>
                <c:pt idx="132">
                  <c:v>4</c:v>
                </c:pt>
                <c:pt idx="133">
                  <c:v>4</c:v>
                </c:pt>
                <c:pt idx="134">
                  <c:v>4</c:v>
                </c:pt>
                <c:pt idx="135">
                  <c:v>3.96</c:v>
                </c:pt>
                <c:pt idx="136">
                  <c:v>3.96</c:v>
                </c:pt>
                <c:pt idx="137">
                  <c:v>4.04</c:v>
                </c:pt>
                <c:pt idx="138">
                  <c:v>3.7800000000000002</c:v>
                </c:pt>
                <c:pt idx="139">
                  <c:v>4</c:v>
                </c:pt>
                <c:pt idx="140">
                  <c:v>3.8</c:v>
                </c:pt>
                <c:pt idx="141">
                  <c:v>4</c:v>
                </c:pt>
                <c:pt idx="142">
                  <c:v>4.0199999999999996</c:v>
                </c:pt>
                <c:pt idx="143">
                  <c:v>4.04</c:v>
                </c:pt>
                <c:pt idx="144">
                  <c:v>4.0599999999999996</c:v>
                </c:pt>
                <c:pt idx="145">
                  <c:v>4.0599999999999996</c:v>
                </c:pt>
                <c:pt idx="146">
                  <c:v>4.0599999999999996</c:v>
                </c:pt>
                <c:pt idx="147">
                  <c:v>4.0999999999999996</c:v>
                </c:pt>
                <c:pt idx="148">
                  <c:v>4.26</c:v>
                </c:pt>
              </c:numCache>
            </c:numRef>
          </c:val>
          <c:extLst xmlns:c16r2="http://schemas.microsoft.com/office/drawing/2015/06/chart">
            <c:ext xmlns:c16="http://schemas.microsoft.com/office/drawing/2014/chart" uri="{C3380CC4-5D6E-409C-BE32-E72D297353CC}">
              <c16:uniqueId val="{00000001-BD87-43CB-904E-F64E46DBA155}"/>
            </c:ext>
          </c:extLst>
        </c:ser>
        <c:marker val="1"/>
        <c:axId val="90131840"/>
        <c:axId val="90141824"/>
      </c:lineChart>
      <c:dateAx>
        <c:axId val="90131840"/>
        <c:scaling>
          <c:orientation val="minMax"/>
        </c:scaling>
        <c:axPos val="b"/>
        <c:numFmt formatCode="dd/mm" sourceLinked="0"/>
        <c:tickLblPos val="nextTo"/>
        <c:txPr>
          <a:bodyPr rot="-5400000" vert="horz"/>
          <a:lstStyle/>
          <a:p>
            <a:pPr>
              <a:defRPr/>
            </a:pPr>
            <a:endParaRPr lang="bg-BG"/>
          </a:p>
        </c:txPr>
        <c:crossAx val="90141824"/>
        <c:crosses val="autoZero"/>
        <c:lblOffset val="100"/>
        <c:baseTimeUnit val="days"/>
        <c:majorUnit val="4"/>
        <c:majorTimeUnit val="days"/>
      </c:dateAx>
      <c:valAx>
        <c:axId val="90141824"/>
        <c:scaling>
          <c:orientation val="minMax"/>
          <c:max val="6"/>
        </c:scaling>
        <c:axPos val="l"/>
        <c:majorGridlines>
          <c:spPr>
            <a:ln>
              <a:solidFill>
                <a:schemeClr val="bg1">
                  <a:lumMod val="85000"/>
                </a:schemeClr>
              </a:solidFill>
            </a:ln>
          </c:spPr>
        </c:majorGridlines>
        <c:numFmt formatCode="#,##0.000" sourceLinked="1"/>
        <c:tickLblPos val="nextTo"/>
        <c:crossAx val="90131840"/>
        <c:crosses val="autoZero"/>
        <c:crossBetween val="between"/>
      </c:valAx>
      <c:valAx>
        <c:axId val="90143360"/>
        <c:scaling>
          <c:orientation val="minMax"/>
        </c:scaling>
        <c:axPos val="r"/>
        <c:numFmt formatCode="#,##0" sourceLinked="1"/>
        <c:tickLblPos val="nextTo"/>
        <c:crossAx val="90792704"/>
        <c:crosses val="max"/>
        <c:crossBetween val="between"/>
        <c:dispUnits>
          <c:builtInUnit val="thousands"/>
          <c:dispUnitsLbl>
            <c:layout>
              <c:manualLayout>
                <c:xMode val="edge"/>
                <c:yMode val="edge"/>
                <c:x val="0.85335842539822071"/>
                <c:y val="7.7135431463535534E-2"/>
              </c:manualLayout>
            </c:layout>
            <c:tx>
              <c:rich>
                <a:bodyPr/>
                <a:lstStyle/>
                <a:p>
                  <a:pPr>
                    <a:defRPr/>
                  </a:pPr>
                  <a:r>
                    <a:rPr lang="bg-BG"/>
                    <a:t>млн.</a:t>
                  </a:r>
                  <a:endParaRPr lang="en-US"/>
                </a:p>
              </c:rich>
            </c:tx>
          </c:dispUnitsLbl>
        </c:dispUnits>
      </c:valAx>
      <c:dateAx>
        <c:axId val="90792704"/>
        <c:scaling>
          <c:orientation val="minMax"/>
        </c:scaling>
        <c:delete val="1"/>
        <c:axPos val="b"/>
        <c:numFmt formatCode="dd/mm/yyyy\ hh:mm/ss" sourceLinked="1"/>
        <c:tickLblPos val="none"/>
        <c:crossAx val="90143360"/>
        <c:crosses val="autoZero"/>
        <c:auto val="1"/>
        <c:lblOffset val="100"/>
        <c:baseTimeUnit val="days"/>
      </c:dateAx>
    </c:plotArea>
    <c:legend>
      <c:legendPos val="t"/>
      <c:layout>
        <c:manualLayout>
          <c:xMode val="edge"/>
          <c:yMode val="edge"/>
          <c:x val="0.2238652238970365"/>
          <c:y val="7.4834012016372589E-2"/>
          <c:w val="0.45488397170296757"/>
          <c:h val="5.3648766220068866E-2"/>
        </c:manualLayout>
      </c:layout>
    </c:legend>
    <c:plotVisOnly val="1"/>
    <c:dispBlanksAs val="gap"/>
  </c:chart>
  <c:spPr>
    <a:ln>
      <a:noFill/>
    </a:ln>
  </c:spPr>
  <c:txPr>
    <a:bodyPr/>
    <a:lstStyle/>
    <a:p>
      <a:pPr>
        <a:defRPr sz="600">
          <a:latin typeface="News Gothic Cyr" panose="020B0503020103020203" pitchFamily="34" charset="-52"/>
        </a:defRPr>
      </a:pPr>
      <a:endParaRPr lang="bg-BG"/>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bg-BG"/>
  <c:chart>
    <c:autoTitleDeleted val="1"/>
    <c:plotArea>
      <c:layout>
        <c:manualLayout>
          <c:layoutTarget val="inner"/>
          <c:xMode val="edge"/>
          <c:yMode val="edge"/>
          <c:x val="8.0651338497133768E-2"/>
          <c:y val="2.5236565556365612E-2"/>
          <c:w val="0.88961282875404857"/>
          <c:h val="0.8407231814870495"/>
        </c:manualLayout>
      </c:layout>
      <c:areaChart>
        <c:grouping val="standard"/>
        <c:ser>
          <c:idx val="0"/>
          <c:order val="0"/>
          <c:tx>
            <c:strRef>
              <c:f>'5 index'!$W$17</c:f>
              <c:strCache>
                <c:ptCount val="1"/>
                <c:pt idx="0">
                  <c:v>CGIX</c:v>
                </c:pt>
              </c:strCache>
            </c:strRef>
          </c:tx>
          <c:spPr>
            <a:pattFill prst="pct75">
              <a:fgClr>
                <a:schemeClr val="accent2"/>
              </a:fgClr>
              <a:bgClr>
                <a:schemeClr val="bg1"/>
              </a:bgClr>
            </a:pattFill>
          </c:spPr>
          <c:cat>
            <c:numRef>
              <c:f>'5 index'!$X$18:$X$200</c:f>
              <c:numCache>
                <c:formatCode>d/m/yyyy</c:formatCode>
                <c:ptCount val="183"/>
                <c:pt idx="0">
                  <c:v>43739.71875</c:v>
                </c:pt>
                <c:pt idx="1">
                  <c:v>43740.71875</c:v>
                </c:pt>
                <c:pt idx="2">
                  <c:v>43741.71875</c:v>
                </c:pt>
                <c:pt idx="3">
                  <c:v>43742.71875</c:v>
                </c:pt>
                <c:pt idx="4">
                  <c:v>43743.71875</c:v>
                </c:pt>
                <c:pt idx="5">
                  <c:v>43744.71875</c:v>
                </c:pt>
                <c:pt idx="6">
                  <c:v>43745.71875</c:v>
                </c:pt>
                <c:pt idx="7">
                  <c:v>43746.71875</c:v>
                </c:pt>
                <c:pt idx="8">
                  <c:v>43747.71875</c:v>
                </c:pt>
                <c:pt idx="9">
                  <c:v>43748.71875</c:v>
                </c:pt>
                <c:pt idx="10">
                  <c:v>43749.71875</c:v>
                </c:pt>
                <c:pt idx="11">
                  <c:v>43750.71875</c:v>
                </c:pt>
                <c:pt idx="12">
                  <c:v>43751.71875</c:v>
                </c:pt>
                <c:pt idx="13">
                  <c:v>43752.71875</c:v>
                </c:pt>
                <c:pt idx="14">
                  <c:v>43753.71875</c:v>
                </c:pt>
                <c:pt idx="15">
                  <c:v>43754.71875</c:v>
                </c:pt>
                <c:pt idx="16">
                  <c:v>43755.71875</c:v>
                </c:pt>
                <c:pt idx="17">
                  <c:v>43756.71875</c:v>
                </c:pt>
                <c:pt idx="18">
                  <c:v>43757.71875</c:v>
                </c:pt>
                <c:pt idx="19">
                  <c:v>43758.71875</c:v>
                </c:pt>
                <c:pt idx="20">
                  <c:v>43759.71875</c:v>
                </c:pt>
                <c:pt idx="21">
                  <c:v>43760.71875</c:v>
                </c:pt>
                <c:pt idx="22">
                  <c:v>43761.71875</c:v>
                </c:pt>
                <c:pt idx="23">
                  <c:v>43762.71875</c:v>
                </c:pt>
                <c:pt idx="24">
                  <c:v>43763.71875</c:v>
                </c:pt>
                <c:pt idx="25">
                  <c:v>43764.71875</c:v>
                </c:pt>
                <c:pt idx="26">
                  <c:v>43765.71875</c:v>
                </c:pt>
                <c:pt idx="27">
                  <c:v>43766.71875</c:v>
                </c:pt>
                <c:pt idx="28">
                  <c:v>43767.71875</c:v>
                </c:pt>
                <c:pt idx="29">
                  <c:v>43768.71875</c:v>
                </c:pt>
                <c:pt idx="30">
                  <c:v>43769.71875</c:v>
                </c:pt>
                <c:pt idx="31">
                  <c:v>43770.71875</c:v>
                </c:pt>
                <c:pt idx="32">
                  <c:v>43771.71875</c:v>
                </c:pt>
                <c:pt idx="33">
                  <c:v>43772.71875</c:v>
                </c:pt>
                <c:pt idx="34">
                  <c:v>43773.71875</c:v>
                </c:pt>
                <c:pt idx="35">
                  <c:v>43774.71875</c:v>
                </c:pt>
                <c:pt idx="36">
                  <c:v>43775.71875</c:v>
                </c:pt>
                <c:pt idx="37">
                  <c:v>43776.71875</c:v>
                </c:pt>
                <c:pt idx="38">
                  <c:v>43777.71875</c:v>
                </c:pt>
                <c:pt idx="39">
                  <c:v>43778.71875</c:v>
                </c:pt>
                <c:pt idx="40">
                  <c:v>43779.71875</c:v>
                </c:pt>
                <c:pt idx="41">
                  <c:v>43780.71875</c:v>
                </c:pt>
                <c:pt idx="42">
                  <c:v>43781.71875</c:v>
                </c:pt>
                <c:pt idx="43">
                  <c:v>43782.71875</c:v>
                </c:pt>
                <c:pt idx="44">
                  <c:v>43783.71875</c:v>
                </c:pt>
                <c:pt idx="45">
                  <c:v>43784.71875</c:v>
                </c:pt>
                <c:pt idx="46">
                  <c:v>43785.71875</c:v>
                </c:pt>
                <c:pt idx="47">
                  <c:v>43786.71875</c:v>
                </c:pt>
                <c:pt idx="48">
                  <c:v>43787.71875</c:v>
                </c:pt>
                <c:pt idx="49">
                  <c:v>43788.71875</c:v>
                </c:pt>
                <c:pt idx="50">
                  <c:v>43789.71875</c:v>
                </c:pt>
                <c:pt idx="51">
                  <c:v>43790.71875</c:v>
                </c:pt>
                <c:pt idx="52">
                  <c:v>43791.71875</c:v>
                </c:pt>
                <c:pt idx="53">
                  <c:v>43792.71875</c:v>
                </c:pt>
                <c:pt idx="54">
                  <c:v>43793.71875</c:v>
                </c:pt>
                <c:pt idx="55">
                  <c:v>43794.71875</c:v>
                </c:pt>
                <c:pt idx="56">
                  <c:v>43795.71875</c:v>
                </c:pt>
                <c:pt idx="57">
                  <c:v>43796.71875</c:v>
                </c:pt>
                <c:pt idx="58">
                  <c:v>43797.71875</c:v>
                </c:pt>
                <c:pt idx="59">
                  <c:v>43798.71875</c:v>
                </c:pt>
                <c:pt idx="60">
                  <c:v>43799.71875</c:v>
                </c:pt>
                <c:pt idx="61">
                  <c:v>43800.71875</c:v>
                </c:pt>
                <c:pt idx="62">
                  <c:v>43801.71875</c:v>
                </c:pt>
                <c:pt idx="63">
                  <c:v>43802.71875</c:v>
                </c:pt>
                <c:pt idx="64">
                  <c:v>43803.71875</c:v>
                </c:pt>
                <c:pt idx="65">
                  <c:v>43804.71875</c:v>
                </c:pt>
                <c:pt idx="66">
                  <c:v>43805.71875</c:v>
                </c:pt>
                <c:pt idx="67">
                  <c:v>43806.71875</c:v>
                </c:pt>
                <c:pt idx="68">
                  <c:v>43807.71875</c:v>
                </c:pt>
                <c:pt idx="69">
                  <c:v>43808.71875</c:v>
                </c:pt>
                <c:pt idx="70">
                  <c:v>43809.71875</c:v>
                </c:pt>
                <c:pt idx="71">
                  <c:v>43810.71875</c:v>
                </c:pt>
                <c:pt idx="72">
                  <c:v>43811.71875</c:v>
                </c:pt>
                <c:pt idx="73">
                  <c:v>43812.71875</c:v>
                </c:pt>
                <c:pt idx="74">
                  <c:v>43813.71875</c:v>
                </c:pt>
                <c:pt idx="75">
                  <c:v>43814.71875</c:v>
                </c:pt>
                <c:pt idx="76">
                  <c:v>43815.71875</c:v>
                </c:pt>
                <c:pt idx="77">
                  <c:v>43816.71875</c:v>
                </c:pt>
                <c:pt idx="78">
                  <c:v>43817.71875</c:v>
                </c:pt>
                <c:pt idx="79">
                  <c:v>43818.71875</c:v>
                </c:pt>
                <c:pt idx="80">
                  <c:v>43819.71875</c:v>
                </c:pt>
                <c:pt idx="81">
                  <c:v>43820.71875</c:v>
                </c:pt>
                <c:pt idx="82">
                  <c:v>43821.71875</c:v>
                </c:pt>
                <c:pt idx="83">
                  <c:v>43822.71875</c:v>
                </c:pt>
                <c:pt idx="84">
                  <c:v>43823.71875</c:v>
                </c:pt>
                <c:pt idx="85">
                  <c:v>43824.71875</c:v>
                </c:pt>
                <c:pt idx="86">
                  <c:v>43825.71875</c:v>
                </c:pt>
                <c:pt idx="87">
                  <c:v>43826.71875</c:v>
                </c:pt>
                <c:pt idx="88">
                  <c:v>43827.71875</c:v>
                </c:pt>
                <c:pt idx="89">
                  <c:v>43828.71875</c:v>
                </c:pt>
                <c:pt idx="90">
                  <c:v>43829.71875</c:v>
                </c:pt>
                <c:pt idx="91">
                  <c:v>43830.71875</c:v>
                </c:pt>
                <c:pt idx="92">
                  <c:v>43831.71875</c:v>
                </c:pt>
                <c:pt idx="93">
                  <c:v>43832.71875</c:v>
                </c:pt>
                <c:pt idx="94">
                  <c:v>43833.71875</c:v>
                </c:pt>
                <c:pt idx="95">
                  <c:v>43834.71875</c:v>
                </c:pt>
                <c:pt idx="96">
                  <c:v>43835.71875</c:v>
                </c:pt>
                <c:pt idx="97">
                  <c:v>43836.71875</c:v>
                </c:pt>
                <c:pt idx="98">
                  <c:v>43837.71875</c:v>
                </c:pt>
                <c:pt idx="99">
                  <c:v>43838.71875</c:v>
                </c:pt>
                <c:pt idx="100">
                  <c:v>43839.71875</c:v>
                </c:pt>
                <c:pt idx="101">
                  <c:v>43840.71875</c:v>
                </c:pt>
                <c:pt idx="102">
                  <c:v>43841.71875</c:v>
                </c:pt>
                <c:pt idx="103">
                  <c:v>43842.71875</c:v>
                </c:pt>
                <c:pt idx="104">
                  <c:v>43843.71875</c:v>
                </c:pt>
                <c:pt idx="105">
                  <c:v>43844.71875</c:v>
                </c:pt>
                <c:pt idx="106">
                  <c:v>43845.71875</c:v>
                </c:pt>
                <c:pt idx="107">
                  <c:v>43846.71875</c:v>
                </c:pt>
                <c:pt idx="108">
                  <c:v>43847.71875</c:v>
                </c:pt>
                <c:pt idx="109">
                  <c:v>43848.71875</c:v>
                </c:pt>
                <c:pt idx="110">
                  <c:v>43849.71875</c:v>
                </c:pt>
                <c:pt idx="111">
                  <c:v>43850.71875</c:v>
                </c:pt>
                <c:pt idx="112">
                  <c:v>43851.71875</c:v>
                </c:pt>
                <c:pt idx="113">
                  <c:v>43852.71875</c:v>
                </c:pt>
                <c:pt idx="114">
                  <c:v>43853.71875</c:v>
                </c:pt>
                <c:pt idx="115">
                  <c:v>43854.71875</c:v>
                </c:pt>
                <c:pt idx="116">
                  <c:v>43855.71875</c:v>
                </c:pt>
                <c:pt idx="117">
                  <c:v>43856.71875</c:v>
                </c:pt>
                <c:pt idx="118">
                  <c:v>43857.71875</c:v>
                </c:pt>
                <c:pt idx="119">
                  <c:v>43858.71875</c:v>
                </c:pt>
                <c:pt idx="120">
                  <c:v>43859.71875</c:v>
                </c:pt>
                <c:pt idx="121">
                  <c:v>43860.71875</c:v>
                </c:pt>
                <c:pt idx="122">
                  <c:v>43861.71875</c:v>
                </c:pt>
                <c:pt idx="123">
                  <c:v>43862.71875</c:v>
                </c:pt>
                <c:pt idx="124">
                  <c:v>43863.71875</c:v>
                </c:pt>
                <c:pt idx="125">
                  <c:v>43864.71875</c:v>
                </c:pt>
                <c:pt idx="126">
                  <c:v>43865.71875</c:v>
                </c:pt>
                <c:pt idx="127">
                  <c:v>43866.71875</c:v>
                </c:pt>
                <c:pt idx="128">
                  <c:v>43867.71875</c:v>
                </c:pt>
                <c:pt idx="129">
                  <c:v>43868.71875</c:v>
                </c:pt>
                <c:pt idx="130">
                  <c:v>43869.71875</c:v>
                </c:pt>
                <c:pt idx="131">
                  <c:v>43870.71875</c:v>
                </c:pt>
                <c:pt idx="132">
                  <c:v>43871.71875</c:v>
                </c:pt>
                <c:pt idx="133">
                  <c:v>43872.71875</c:v>
                </c:pt>
                <c:pt idx="134">
                  <c:v>43873.71875</c:v>
                </c:pt>
                <c:pt idx="135">
                  <c:v>43874.71875</c:v>
                </c:pt>
                <c:pt idx="136">
                  <c:v>43875.71875</c:v>
                </c:pt>
                <c:pt idx="137">
                  <c:v>43876.71875</c:v>
                </c:pt>
                <c:pt idx="138">
                  <c:v>43877.71875</c:v>
                </c:pt>
                <c:pt idx="139">
                  <c:v>43878.71875</c:v>
                </c:pt>
                <c:pt idx="140">
                  <c:v>43879.71875</c:v>
                </c:pt>
                <c:pt idx="141">
                  <c:v>43880.71875</c:v>
                </c:pt>
                <c:pt idx="142">
                  <c:v>43881.71875</c:v>
                </c:pt>
                <c:pt idx="143">
                  <c:v>43882.71875</c:v>
                </c:pt>
                <c:pt idx="144">
                  <c:v>43883.71875</c:v>
                </c:pt>
                <c:pt idx="145">
                  <c:v>43884.71875</c:v>
                </c:pt>
                <c:pt idx="146">
                  <c:v>43885.71875</c:v>
                </c:pt>
                <c:pt idx="147">
                  <c:v>43886.71875</c:v>
                </c:pt>
                <c:pt idx="148">
                  <c:v>43887.71875</c:v>
                </c:pt>
                <c:pt idx="149">
                  <c:v>43888.71875</c:v>
                </c:pt>
                <c:pt idx="150">
                  <c:v>43889.71875</c:v>
                </c:pt>
                <c:pt idx="151">
                  <c:v>43890.71875</c:v>
                </c:pt>
                <c:pt idx="152">
                  <c:v>43891.71875</c:v>
                </c:pt>
                <c:pt idx="153">
                  <c:v>43892.71875</c:v>
                </c:pt>
                <c:pt idx="154">
                  <c:v>43893.71875</c:v>
                </c:pt>
                <c:pt idx="155">
                  <c:v>43894.71875</c:v>
                </c:pt>
                <c:pt idx="156">
                  <c:v>43895.71875</c:v>
                </c:pt>
                <c:pt idx="157">
                  <c:v>43896.71875</c:v>
                </c:pt>
                <c:pt idx="158">
                  <c:v>43897.71875</c:v>
                </c:pt>
                <c:pt idx="159">
                  <c:v>43898.71875</c:v>
                </c:pt>
                <c:pt idx="160">
                  <c:v>43899.71875</c:v>
                </c:pt>
                <c:pt idx="161">
                  <c:v>43900.71875</c:v>
                </c:pt>
                <c:pt idx="162">
                  <c:v>43901.71875</c:v>
                </c:pt>
                <c:pt idx="163">
                  <c:v>43902.71875</c:v>
                </c:pt>
                <c:pt idx="164">
                  <c:v>43903.71875</c:v>
                </c:pt>
                <c:pt idx="165">
                  <c:v>43904.71875</c:v>
                </c:pt>
                <c:pt idx="166">
                  <c:v>43905.71875</c:v>
                </c:pt>
                <c:pt idx="167">
                  <c:v>43906.71875</c:v>
                </c:pt>
                <c:pt idx="168">
                  <c:v>43907.71875</c:v>
                </c:pt>
                <c:pt idx="169">
                  <c:v>43908.71875</c:v>
                </c:pt>
                <c:pt idx="170">
                  <c:v>43909.71875</c:v>
                </c:pt>
                <c:pt idx="171">
                  <c:v>43910.71875</c:v>
                </c:pt>
                <c:pt idx="172">
                  <c:v>43911.71875</c:v>
                </c:pt>
                <c:pt idx="173">
                  <c:v>43912.71875</c:v>
                </c:pt>
                <c:pt idx="174">
                  <c:v>43913.71875</c:v>
                </c:pt>
                <c:pt idx="175">
                  <c:v>43914.71875</c:v>
                </c:pt>
                <c:pt idx="176">
                  <c:v>43915.71875</c:v>
                </c:pt>
                <c:pt idx="177">
                  <c:v>43916.71875</c:v>
                </c:pt>
                <c:pt idx="178">
                  <c:v>43917.71875</c:v>
                </c:pt>
                <c:pt idx="179">
                  <c:v>43918.71875</c:v>
                </c:pt>
                <c:pt idx="180">
                  <c:v>43919.71875</c:v>
                </c:pt>
                <c:pt idx="181">
                  <c:v>43920.71875</c:v>
                </c:pt>
                <c:pt idx="182">
                  <c:v>43921.71875</c:v>
                </c:pt>
              </c:numCache>
            </c:numRef>
          </c:cat>
          <c:val>
            <c:numRef>
              <c:f>'5 index'!$Y$18:$Y$200</c:f>
              <c:numCache>
                <c:formatCode>#,##0.00</c:formatCode>
                <c:ptCount val="183"/>
                <c:pt idx="0">
                  <c:v>144.12</c:v>
                </c:pt>
                <c:pt idx="1">
                  <c:v>143.68</c:v>
                </c:pt>
                <c:pt idx="2">
                  <c:v>142.69</c:v>
                </c:pt>
                <c:pt idx="3">
                  <c:v>142.65</c:v>
                </c:pt>
                <c:pt idx="4">
                  <c:v>142.65</c:v>
                </c:pt>
                <c:pt idx="5">
                  <c:v>142.65</c:v>
                </c:pt>
                <c:pt idx="6">
                  <c:v>141.56</c:v>
                </c:pt>
                <c:pt idx="7">
                  <c:v>142.60999999999999</c:v>
                </c:pt>
                <c:pt idx="8">
                  <c:v>141.28</c:v>
                </c:pt>
                <c:pt idx="9">
                  <c:v>140.69999999999999</c:v>
                </c:pt>
                <c:pt idx="10">
                  <c:v>140.9</c:v>
                </c:pt>
                <c:pt idx="11">
                  <c:v>140.9</c:v>
                </c:pt>
                <c:pt idx="12">
                  <c:v>140.9</c:v>
                </c:pt>
                <c:pt idx="13">
                  <c:v>140.49</c:v>
                </c:pt>
                <c:pt idx="14">
                  <c:v>140.39000000000001</c:v>
                </c:pt>
                <c:pt idx="15">
                  <c:v>139.69999999999999</c:v>
                </c:pt>
                <c:pt idx="16">
                  <c:v>141.36000000000001</c:v>
                </c:pt>
                <c:pt idx="17">
                  <c:v>141.87</c:v>
                </c:pt>
                <c:pt idx="18">
                  <c:v>141.87</c:v>
                </c:pt>
                <c:pt idx="19">
                  <c:v>141.87</c:v>
                </c:pt>
                <c:pt idx="20">
                  <c:v>141.82000000000087</c:v>
                </c:pt>
                <c:pt idx="21">
                  <c:v>141.62</c:v>
                </c:pt>
                <c:pt idx="22">
                  <c:v>140.36000000000001</c:v>
                </c:pt>
                <c:pt idx="23">
                  <c:v>140.87</c:v>
                </c:pt>
                <c:pt idx="24">
                  <c:v>140.96</c:v>
                </c:pt>
                <c:pt idx="25">
                  <c:v>140.96</c:v>
                </c:pt>
                <c:pt idx="26">
                  <c:v>140.96</c:v>
                </c:pt>
                <c:pt idx="27">
                  <c:v>141.03</c:v>
                </c:pt>
                <c:pt idx="28">
                  <c:v>141.03</c:v>
                </c:pt>
                <c:pt idx="29">
                  <c:v>140.49</c:v>
                </c:pt>
                <c:pt idx="30">
                  <c:v>141.72</c:v>
                </c:pt>
                <c:pt idx="31">
                  <c:v>141.65</c:v>
                </c:pt>
                <c:pt idx="32">
                  <c:v>141.65</c:v>
                </c:pt>
                <c:pt idx="33">
                  <c:v>141.65</c:v>
                </c:pt>
                <c:pt idx="34">
                  <c:v>142.66</c:v>
                </c:pt>
                <c:pt idx="35">
                  <c:v>141.47</c:v>
                </c:pt>
                <c:pt idx="36">
                  <c:v>141.86000000000001</c:v>
                </c:pt>
                <c:pt idx="37">
                  <c:v>142.04</c:v>
                </c:pt>
                <c:pt idx="38">
                  <c:v>142.44</c:v>
                </c:pt>
                <c:pt idx="39">
                  <c:v>142.44</c:v>
                </c:pt>
                <c:pt idx="40">
                  <c:v>142.44</c:v>
                </c:pt>
                <c:pt idx="41">
                  <c:v>141.39000000000001</c:v>
                </c:pt>
                <c:pt idx="42">
                  <c:v>141.49</c:v>
                </c:pt>
                <c:pt idx="43">
                  <c:v>141.22</c:v>
                </c:pt>
                <c:pt idx="44">
                  <c:v>141.28</c:v>
                </c:pt>
                <c:pt idx="45">
                  <c:v>141.34</c:v>
                </c:pt>
                <c:pt idx="46">
                  <c:v>141.34</c:v>
                </c:pt>
                <c:pt idx="47">
                  <c:v>141.34</c:v>
                </c:pt>
                <c:pt idx="48">
                  <c:v>141.31</c:v>
                </c:pt>
                <c:pt idx="49">
                  <c:v>141.22</c:v>
                </c:pt>
                <c:pt idx="50">
                  <c:v>141.69999999999999</c:v>
                </c:pt>
                <c:pt idx="51">
                  <c:v>141.08000000000001</c:v>
                </c:pt>
                <c:pt idx="52">
                  <c:v>141.46</c:v>
                </c:pt>
                <c:pt idx="53">
                  <c:v>141.46</c:v>
                </c:pt>
                <c:pt idx="54">
                  <c:v>141.46</c:v>
                </c:pt>
                <c:pt idx="55">
                  <c:v>141.01</c:v>
                </c:pt>
                <c:pt idx="56">
                  <c:v>139.78</c:v>
                </c:pt>
                <c:pt idx="57">
                  <c:v>139.29</c:v>
                </c:pt>
                <c:pt idx="58">
                  <c:v>139.56</c:v>
                </c:pt>
                <c:pt idx="59">
                  <c:v>140.12</c:v>
                </c:pt>
                <c:pt idx="60">
                  <c:v>140.12</c:v>
                </c:pt>
                <c:pt idx="61">
                  <c:v>140.12</c:v>
                </c:pt>
                <c:pt idx="62">
                  <c:v>140.66999999999999</c:v>
                </c:pt>
                <c:pt idx="63">
                  <c:v>139.39000000000001</c:v>
                </c:pt>
                <c:pt idx="64">
                  <c:v>139.91999999999999</c:v>
                </c:pt>
                <c:pt idx="65">
                  <c:v>139.60999999999999</c:v>
                </c:pt>
                <c:pt idx="66">
                  <c:v>140.18</c:v>
                </c:pt>
                <c:pt idx="67">
                  <c:v>140.18</c:v>
                </c:pt>
                <c:pt idx="68">
                  <c:v>140.18</c:v>
                </c:pt>
                <c:pt idx="69">
                  <c:v>140.1</c:v>
                </c:pt>
                <c:pt idx="70">
                  <c:v>139.69</c:v>
                </c:pt>
                <c:pt idx="71">
                  <c:v>139.75</c:v>
                </c:pt>
                <c:pt idx="72">
                  <c:v>140.08000000000001</c:v>
                </c:pt>
                <c:pt idx="73">
                  <c:v>140.18</c:v>
                </c:pt>
                <c:pt idx="74">
                  <c:v>140.18</c:v>
                </c:pt>
                <c:pt idx="75">
                  <c:v>140.18</c:v>
                </c:pt>
                <c:pt idx="76">
                  <c:v>139.66</c:v>
                </c:pt>
                <c:pt idx="77">
                  <c:v>139.26</c:v>
                </c:pt>
                <c:pt idx="78">
                  <c:v>140.55000000000001</c:v>
                </c:pt>
                <c:pt idx="79">
                  <c:v>140.66</c:v>
                </c:pt>
                <c:pt idx="80">
                  <c:v>137.51</c:v>
                </c:pt>
                <c:pt idx="81">
                  <c:v>137.51</c:v>
                </c:pt>
                <c:pt idx="82">
                  <c:v>137.51</c:v>
                </c:pt>
                <c:pt idx="83">
                  <c:v>140.41999999999999</c:v>
                </c:pt>
                <c:pt idx="84">
                  <c:v>140.41999999999999</c:v>
                </c:pt>
                <c:pt idx="85">
                  <c:v>140.41999999999999</c:v>
                </c:pt>
                <c:pt idx="86">
                  <c:v>140.41999999999999</c:v>
                </c:pt>
                <c:pt idx="87">
                  <c:v>140.62</c:v>
                </c:pt>
                <c:pt idx="88">
                  <c:v>140.62</c:v>
                </c:pt>
                <c:pt idx="89">
                  <c:v>140.62</c:v>
                </c:pt>
                <c:pt idx="90">
                  <c:v>141.44</c:v>
                </c:pt>
                <c:pt idx="91">
                  <c:v>141.44</c:v>
                </c:pt>
                <c:pt idx="92">
                  <c:v>141.44</c:v>
                </c:pt>
                <c:pt idx="93">
                  <c:v>140.36000000000001</c:v>
                </c:pt>
                <c:pt idx="94">
                  <c:v>140.81</c:v>
                </c:pt>
                <c:pt idx="95">
                  <c:v>140.81</c:v>
                </c:pt>
                <c:pt idx="96">
                  <c:v>140.81</c:v>
                </c:pt>
                <c:pt idx="97">
                  <c:v>141.78</c:v>
                </c:pt>
                <c:pt idx="98">
                  <c:v>141.5</c:v>
                </c:pt>
                <c:pt idx="99">
                  <c:v>143.26999999999998</c:v>
                </c:pt>
                <c:pt idx="100">
                  <c:v>143.44</c:v>
                </c:pt>
                <c:pt idx="101">
                  <c:v>144.07</c:v>
                </c:pt>
                <c:pt idx="102">
                  <c:v>144.07</c:v>
                </c:pt>
                <c:pt idx="103">
                  <c:v>144.07</c:v>
                </c:pt>
                <c:pt idx="104">
                  <c:v>144.19999999999999</c:v>
                </c:pt>
                <c:pt idx="105">
                  <c:v>145.51</c:v>
                </c:pt>
                <c:pt idx="106">
                  <c:v>146.02000000000001</c:v>
                </c:pt>
                <c:pt idx="107">
                  <c:v>146.06</c:v>
                </c:pt>
                <c:pt idx="108">
                  <c:v>144.97999999999999</c:v>
                </c:pt>
                <c:pt idx="109">
                  <c:v>144.97999999999999</c:v>
                </c:pt>
                <c:pt idx="110">
                  <c:v>144.97999999999999</c:v>
                </c:pt>
                <c:pt idx="111">
                  <c:v>145.52000000000001</c:v>
                </c:pt>
                <c:pt idx="112">
                  <c:v>144.91</c:v>
                </c:pt>
                <c:pt idx="113">
                  <c:v>145.02000000000001</c:v>
                </c:pt>
                <c:pt idx="114">
                  <c:v>144.69</c:v>
                </c:pt>
                <c:pt idx="115">
                  <c:v>144.49</c:v>
                </c:pt>
                <c:pt idx="116">
                  <c:v>144.49</c:v>
                </c:pt>
                <c:pt idx="117">
                  <c:v>144.49</c:v>
                </c:pt>
                <c:pt idx="118">
                  <c:v>144.20999999999998</c:v>
                </c:pt>
                <c:pt idx="119">
                  <c:v>143.68</c:v>
                </c:pt>
                <c:pt idx="120">
                  <c:v>143.26</c:v>
                </c:pt>
                <c:pt idx="121">
                  <c:v>143.12</c:v>
                </c:pt>
                <c:pt idx="122">
                  <c:v>142</c:v>
                </c:pt>
                <c:pt idx="123">
                  <c:v>142</c:v>
                </c:pt>
                <c:pt idx="124">
                  <c:v>142</c:v>
                </c:pt>
                <c:pt idx="125">
                  <c:v>141.36000000000001</c:v>
                </c:pt>
                <c:pt idx="126">
                  <c:v>142.08000000000001</c:v>
                </c:pt>
                <c:pt idx="127">
                  <c:v>141.62</c:v>
                </c:pt>
                <c:pt idx="128">
                  <c:v>140.72</c:v>
                </c:pt>
                <c:pt idx="129">
                  <c:v>140.88000000000127</c:v>
                </c:pt>
                <c:pt idx="130">
                  <c:v>140.88000000000127</c:v>
                </c:pt>
                <c:pt idx="131">
                  <c:v>140.88000000000127</c:v>
                </c:pt>
                <c:pt idx="132">
                  <c:v>141.31</c:v>
                </c:pt>
                <c:pt idx="133">
                  <c:v>141.72999999999999</c:v>
                </c:pt>
                <c:pt idx="134">
                  <c:v>141.65</c:v>
                </c:pt>
                <c:pt idx="135">
                  <c:v>140.22</c:v>
                </c:pt>
                <c:pt idx="136">
                  <c:v>139</c:v>
                </c:pt>
                <c:pt idx="137">
                  <c:v>139</c:v>
                </c:pt>
                <c:pt idx="138">
                  <c:v>139</c:v>
                </c:pt>
                <c:pt idx="139">
                  <c:v>139.19999999999999</c:v>
                </c:pt>
                <c:pt idx="140">
                  <c:v>136.04</c:v>
                </c:pt>
                <c:pt idx="141">
                  <c:v>136</c:v>
                </c:pt>
                <c:pt idx="142">
                  <c:v>136.39000000000001</c:v>
                </c:pt>
                <c:pt idx="143">
                  <c:v>137.26</c:v>
                </c:pt>
                <c:pt idx="144">
                  <c:v>137.26</c:v>
                </c:pt>
                <c:pt idx="145">
                  <c:v>137.26</c:v>
                </c:pt>
                <c:pt idx="146">
                  <c:v>136.26</c:v>
                </c:pt>
                <c:pt idx="147">
                  <c:v>135.43</c:v>
                </c:pt>
                <c:pt idx="148">
                  <c:v>135.68</c:v>
                </c:pt>
                <c:pt idx="149">
                  <c:v>135.20999999999998</c:v>
                </c:pt>
                <c:pt idx="150">
                  <c:v>134.19999999999999</c:v>
                </c:pt>
                <c:pt idx="151">
                  <c:v>134.19999999999999</c:v>
                </c:pt>
                <c:pt idx="152">
                  <c:v>134.19999999999999</c:v>
                </c:pt>
                <c:pt idx="153">
                  <c:v>135.08000000000001</c:v>
                </c:pt>
                <c:pt idx="154">
                  <c:v>135.08000000000001</c:v>
                </c:pt>
                <c:pt idx="155">
                  <c:v>134.66</c:v>
                </c:pt>
                <c:pt idx="156">
                  <c:v>133.19999999999999</c:v>
                </c:pt>
                <c:pt idx="157">
                  <c:v>131.28</c:v>
                </c:pt>
                <c:pt idx="158">
                  <c:v>131.28</c:v>
                </c:pt>
                <c:pt idx="159">
                  <c:v>131.28</c:v>
                </c:pt>
                <c:pt idx="160">
                  <c:v>114.95</c:v>
                </c:pt>
                <c:pt idx="161">
                  <c:v>121.48</c:v>
                </c:pt>
                <c:pt idx="162">
                  <c:v>120.51</c:v>
                </c:pt>
                <c:pt idx="163">
                  <c:v>109.99000000000002</c:v>
                </c:pt>
                <c:pt idx="164">
                  <c:v>105.26</c:v>
                </c:pt>
                <c:pt idx="165">
                  <c:v>105.26</c:v>
                </c:pt>
                <c:pt idx="166">
                  <c:v>105.26</c:v>
                </c:pt>
                <c:pt idx="167">
                  <c:v>100.27</c:v>
                </c:pt>
                <c:pt idx="168">
                  <c:v>98.78</c:v>
                </c:pt>
                <c:pt idx="169">
                  <c:v>98.179999999999978</c:v>
                </c:pt>
                <c:pt idx="170">
                  <c:v>97.51</c:v>
                </c:pt>
                <c:pt idx="171">
                  <c:v>98.98</c:v>
                </c:pt>
                <c:pt idx="172">
                  <c:v>98.98</c:v>
                </c:pt>
                <c:pt idx="173">
                  <c:v>98.98</c:v>
                </c:pt>
                <c:pt idx="174">
                  <c:v>98.39</c:v>
                </c:pt>
                <c:pt idx="175">
                  <c:v>101.38</c:v>
                </c:pt>
                <c:pt idx="176">
                  <c:v>103.84</c:v>
                </c:pt>
                <c:pt idx="177">
                  <c:v>103.36</c:v>
                </c:pt>
                <c:pt idx="178">
                  <c:v>103.84</c:v>
                </c:pt>
                <c:pt idx="179">
                  <c:v>103.84</c:v>
                </c:pt>
                <c:pt idx="180">
                  <c:v>103.84</c:v>
                </c:pt>
                <c:pt idx="181">
                  <c:v>102.45</c:v>
                </c:pt>
                <c:pt idx="182">
                  <c:v>102.38</c:v>
                </c:pt>
              </c:numCache>
            </c:numRef>
          </c:val>
          <c:extLst xmlns:c16r2="http://schemas.microsoft.com/office/drawing/2015/06/chart">
            <c:ext xmlns:c16="http://schemas.microsoft.com/office/drawing/2014/chart" uri="{C3380CC4-5D6E-409C-BE32-E72D297353CC}">
              <c16:uniqueId val="{00000000-0604-46B4-B111-A20E428C8637}"/>
            </c:ext>
          </c:extLst>
        </c:ser>
        <c:axId val="93266304"/>
        <c:axId val="93267840"/>
      </c:areaChart>
      <c:dateAx>
        <c:axId val="93266304"/>
        <c:scaling>
          <c:orientation val="minMax"/>
        </c:scaling>
        <c:axPos val="b"/>
        <c:numFmt formatCode="dd/mm" sourceLinked="0"/>
        <c:tickLblPos val="nextTo"/>
        <c:crossAx val="93267840"/>
        <c:crosses val="autoZero"/>
        <c:lblOffset val="100"/>
        <c:baseTimeUnit val="days"/>
        <c:majorUnit val="7"/>
        <c:majorTimeUnit val="days"/>
      </c:dateAx>
      <c:valAx>
        <c:axId val="93267840"/>
        <c:scaling>
          <c:orientation val="minMax"/>
          <c:min val="90"/>
        </c:scaling>
        <c:axPos val="l"/>
        <c:majorGridlines/>
        <c:numFmt formatCode="#,##0" sourceLinked="0"/>
        <c:tickLblPos val="nextTo"/>
        <c:crossAx val="93266304"/>
        <c:crosses val="autoZero"/>
        <c:crossBetween val="midCat"/>
      </c:valAx>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bg-BG"/>
  <c:chart>
    <c:view3D>
      <c:rotX val="30"/>
      <c:perspective val="30"/>
    </c:view3D>
    <c:plotArea>
      <c:layout>
        <c:manualLayout>
          <c:layoutTarget val="inner"/>
          <c:xMode val="edge"/>
          <c:yMode val="edge"/>
          <c:x val="1.0491453710948773E-2"/>
          <c:y val="2.0833333333333412E-2"/>
          <c:w val="0.98950854628905127"/>
          <c:h val="0.94280173093804065"/>
        </c:manualLayout>
      </c:layout>
      <c:pie3DChart>
        <c:varyColors val="1"/>
        <c:ser>
          <c:idx val="0"/>
          <c:order val="0"/>
          <c:explosion val="25"/>
          <c:dLbls>
            <c:dLbl>
              <c:idx val="0"/>
              <c:layout>
                <c:manualLayout>
                  <c:x val="-0.13320435580860621"/>
                  <c:y val="-6.5381694288592432E-2"/>
                </c:manualLayout>
              </c:layout>
              <c:showVal val="1"/>
              <c:showCatName val="1"/>
              <c:showPercent val="1"/>
              <c:separator>
</c:separator>
            </c:dLbl>
            <c:numFmt formatCode="0.00%" sourceLinked="0"/>
            <c:spPr>
              <a:noFill/>
              <a:ln>
                <a:noFill/>
              </a:ln>
              <a:effectLst/>
            </c:spPr>
            <c:txPr>
              <a:bodyPr/>
              <a:lstStyle/>
              <a:p>
                <a:pPr>
                  <a:defRPr sz="900">
                    <a:solidFill>
                      <a:schemeClr val="bg1"/>
                    </a:solidFill>
                  </a:defRPr>
                </a:pPr>
                <a:endParaRPr lang="bg-BG"/>
              </a:p>
            </c:txPr>
            <c:showVal val="1"/>
            <c:showCatName val="1"/>
            <c:showPercent val="1"/>
            <c:separator>
</c:separator>
            <c:showLeaderLines val="1"/>
            <c:extLst xmlns:c16r2="http://schemas.microsoft.com/office/drawing/2015/06/chart">
              <c:ext xmlns:c15="http://schemas.microsoft.com/office/drawing/2012/chart" uri="{CE6537A1-D6FC-4f65-9D91-7224C49458BB}"/>
            </c:extLst>
          </c:dLbls>
          <c:cat>
            <c:strRef>
              <c:f>Shareholders!$B$3:$B$6</c:f>
              <c:strCache>
                <c:ptCount val="4"/>
                <c:pt idx="0">
                  <c:v>Министерство на финансите</c:v>
                </c:pt>
                <c:pt idx="1">
                  <c:v>Инвестиционни посредници и търговски банки</c:v>
                </c:pt>
                <c:pt idx="2">
                  <c:v>Други юридически лица</c:v>
                </c:pt>
                <c:pt idx="3">
                  <c:v>Физически лица</c:v>
                </c:pt>
              </c:strCache>
            </c:strRef>
          </c:cat>
          <c:val>
            <c:numRef>
              <c:f>Shareholders!$C$3:$C$6</c:f>
              <c:numCache>
                <c:formatCode>#,##0</c:formatCode>
                <c:ptCount val="4"/>
                <c:pt idx="0">
                  <c:v>3295000</c:v>
                </c:pt>
                <c:pt idx="1">
                  <c:v>1101759</c:v>
                </c:pt>
                <c:pt idx="2">
                  <c:v>1288767</c:v>
                </c:pt>
                <c:pt idx="3">
                  <c:v>897334</c:v>
                </c:pt>
              </c:numCache>
            </c:numRef>
          </c:val>
          <c:extLst xmlns:c16r2="http://schemas.microsoft.com/office/drawing/2015/06/chart">
            <c:ext xmlns:c16="http://schemas.microsoft.com/office/drawing/2014/chart" uri="{C3380CC4-5D6E-409C-BE32-E72D297353CC}">
              <c16:uniqueId val="{00000000-D7A1-4610-82CA-CAC845D5CBB6}"/>
            </c:ext>
          </c:extLst>
        </c:ser>
      </c:pie3DChart>
    </c:plotArea>
    <c:plotVisOnly val="1"/>
    <c:dispBlanksAs val="zero"/>
  </c:chart>
  <c:spPr>
    <a:ln>
      <a:noFill/>
    </a:ln>
  </c:spPr>
  <c:txPr>
    <a:bodyPr/>
    <a:lstStyle/>
    <a:p>
      <a:pPr>
        <a:defRPr sz="600">
          <a:latin typeface="News Gothic Cyr" panose="020B0503020103020203" pitchFamily="34" charset="-52"/>
        </a:defRPr>
      </a:pPr>
      <a:endParaRPr lang="bg-BG"/>
    </a:p>
  </c:txPr>
  <c:externalData r:id="rId1"/>
</c:chartSpace>
</file>

<file path=word/drawings/drawing1.xml><?xml version="1.0" encoding="utf-8"?>
<c:userShapes xmlns:c="http://schemas.openxmlformats.org/drawingml/2006/chart">
  <cdr:relSizeAnchor xmlns:cdr="http://schemas.openxmlformats.org/drawingml/2006/chartDrawing">
    <cdr:from>
      <cdr:x>0.51971</cdr:x>
      <cdr:y>0.02653</cdr:y>
    </cdr:from>
    <cdr:to>
      <cdr:x>0.97172</cdr:x>
      <cdr:y>0.86563</cdr:y>
    </cdr:to>
    <cdr:sp macro="" textlink="">
      <cdr:nvSpPr>
        <cdr:cNvPr id="2" name="Rectangle 1"/>
        <cdr:cNvSpPr/>
      </cdr:nvSpPr>
      <cdr:spPr>
        <a:xfrm xmlns:a="http://schemas.openxmlformats.org/drawingml/2006/main">
          <a:off x="1553766" y="54768"/>
          <a:ext cx="1351360" cy="1732360"/>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2.xml><?xml version="1.0" encoding="utf-8"?>
<c:userShapes xmlns:c="http://schemas.openxmlformats.org/drawingml/2006/chart">
  <cdr:relSizeAnchor xmlns:cdr="http://schemas.openxmlformats.org/drawingml/2006/chartDrawing">
    <cdr:from>
      <cdr:x>0.51971</cdr:x>
      <cdr:y>0.02653</cdr:y>
    </cdr:from>
    <cdr:to>
      <cdr:x>0.97172</cdr:x>
      <cdr:y>0.86563</cdr:y>
    </cdr:to>
    <cdr:sp macro="" textlink="">
      <cdr:nvSpPr>
        <cdr:cNvPr id="2" name="Rectangle 1"/>
        <cdr:cNvSpPr/>
      </cdr:nvSpPr>
      <cdr:spPr>
        <a:xfrm xmlns:a="http://schemas.openxmlformats.org/drawingml/2006/main">
          <a:off x="1553766" y="54768"/>
          <a:ext cx="1351360" cy="1732360"/>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3.xml><?xml version="1.0" encoding="utf-8"?>
<c:userShapes xmlns:c="http://schemas.openxmlformats.org/drawingml/2006/chart">
  <cdr:relSizeAnchor xmlns:cdr="http://schemas.openxmlformats.org/drawingml/2006/chartDrawing">
    <cdr:from>
      <cdr:x>0.51971</cdr:x>
      <cdr:y>0.02653</cdr:y>
    </cdr:from>
    <cdr:to>
      <cdr:x>0.97172</cdr:x>
      <cdr:y>0.86563</cdr:y>
    </cdr:to>
    <cdr:sp macro="" textlink="">
      <cdr:nvSpPr>
        <cdr:cNvPr id="2" name="Rectangle 1"/>
        <cdr:cNvSpPr/>
      </cdr:nvSpPr>
      <cdr:spPr>
        <a:xfrm xmlns:a="http://schemas.openxmlformats.org/drawingml/2006/main">
          <a:off x="1553766" y="54768"/>
          <a:ext cx="1351360" cy="1732360"/>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4.xml><?xml version="1.0" encoding="utf-8"?>
<c:userShapes xmlns:c="http://schemas.openxmlformats.org/drawingml/2006/chart">
  <cdr:relSizeAnchor xmlns:cdr="http://schemas.openxmlformats.org/drawingml/2006/chartDrawing">
    <cdr:from>
      <cdr:x>0.51971</cdr:x>
      <cdr:y>0.02653</cdr:y>
    </cdr:from>
    <cdr:to>
      <cdr:x>0.97172</cdr:x>
      <cdr:y>0.86563</cdr:y>
    </cdr:to>
    <cdr:sp macro="" textlink="">
      <cdr:nvSpPr>
        <cdr:cNvPr id="2" name="Rectangle 1"/>
        <cdr:cNvSpPr/>
      </cdr:nvSpPr>
      <cdr:spPr>
        <a:xfrm xmlns:a="http://schemas.openxmlformats.org/drawingml/2006/main">
          <a:off x="1553766" y="54768"/>
          <a:ext cx="1351360" cy="1732360"/>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5.xml><?xml version="1.0" encoding="utf-8"?>
<c:userShapes xmlns:c="http://schemas.openxmlformats.org/drawingml/2006/chart">
  <cdr:relSizeAnchor xmlns:cdr="http://schemas.openxmlformats.org/drawingml/2006/chartDrawing">
    <cdr:from>
      <cdr:x>0.52398</cdr:x>
      <cdr:y>0.05098</cdr:y>
    </cdr:from>
    <cdr:to>
      <cdr:x>0.9504</cdr:x>
      <cdr:y>0.79817</cdr:y>
    </cdr:to>
    <cdr:sp macro="" textlink="">
      <cdr:nvSpPr>
        <cdr:cNvPr id="2" name="Rectangle 1"/>
        <cdr:cNvSpPr/>
      </cdr:nvSpPr>
      <cdr:spPr>
        <a:xfrm xmlns:a="http://schemas.openxmlformats.org/drawingml/2006/main">
          <a:off x="2035683" y="138233"/>
          <a:ext cx="1656659" cy="2025927"/>
        </a:xfrm>
        <a:prstGeom xmlns:a="http://schemas.openxmlformats.org/drawingml/2006/main" prst="rect">
          <a:avLst/>
        </a:prstGeom>
        <a:solidFill xmlns:a="http://schemas.openxmlformats.org/drawingml/2006/main">
          <a:schemeClr val="accent6">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0.25566</cdr:x>
      <cdr:y>0.04675</cdr:y>
    </cdr:from>
    <cdr:to>
      <cdr:x>0.38918</cdr:x>
      <cdr:y>0.11843</cdr:y>
    </cdr:to>
    <cdr:sp macro="" textlink="">
      <cdr:nvSpPr>
        <cdr:cNvPr id="3" name="TextBox 2"/>
        <cdr:cNvSpPr txBox="1"/>
      </cdr:nvSpPr>
      <cdr:spPr>
        <a:xfrm xmlns:a="http://schemas.openxmlformats.org/drawingml/2006/main">
          <a:off x="1247943" y="128566"/>
          <a:ext cx="651759" cy="1971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r>
            <a:rPr lang="en-US" sz="1100" baseline="0"/>
            <a:t> '19</a:t>
          </a:r>
          <a:endParaRPr lang="en-US" sz="1100"/>
        </a:p>
      </cdr:txBody>
    </cdr:sp>
  </cdr:relSizeAnchor>
  <cdr:relSizeAnchor xmlns:cdr="http://schemas.openxmlformats.org/drawingml/2006/chartDrawing">
    <cdr:from>
      <cdr:x>0.66715</cdr:x>
      <cdr:y>0.04417</cdr:y>
    </cdr:from>
    <cdr:to>
      <cdr:x>0.80068</cdr:x>
      <cdr:y>0.11585</cdr:y>
    </cdr:to>
    <cdr:sp macro="" textlink="">
      <cdr:nvSpPr>
        <cdr:cNvPr id="4" name="TextBox 1"/>
        <cdr:cNvSpPr txBox="1"/>
      </cdr:nvSpPr>
      <cdr:spPr>
        <a:xfrm xmlns:a="http://schemas.openxmlformats.org/drawingml/2006/main">
          <a:off x="3256609" y="121451"/>
          <a:ext cx="651808" cy="19711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r>
            <a:rPr lang="en-US" sz="1100" baseline="0"/>
            <a:t> '20</a:t>
          </a:r>
          <a:endParaRPr lang="en-US" sz="1100"/>
        </a:p>
      </cdr:txBody>
    </cdr:sp>
  </cdr:relSizeAnchor>
</c:userShapes>
</file>

<file path=word/drawings/drawing6.xml><?xml version="1.0" encoding="utf-8"?>
<c:userShapes xmlns:c="http://schemas.openxmlformats.org/drawingml/2006/chart">
  <cdr:relSizeAnchor xmlns:cdr="http://schemas.openxmlformats.org/drawingml/2006/chartDrawing">
    <cdr:from>
      <cdr:x>0.5283</cdr:x>
      <cdr:y>0.02324</cdr:y>
    </cdr:from>
    <cdr:to>
      <cdr:x>0.98031</cdr:x>
      <cdr:y>0.86234</cdr:y>
    </cdr:to>
    <cdr:sp macro="" textlink="">
      <cdr:nvSpPr>
        <cdr:cNvPr id="2" name="Rectangle 1"/>
        <cdr:cNvSpPr/>
      </cdr:nvSpPr>
      <cdr:spPr>
        <a:xfrm xmlns:a="http://schemas.openxmlformats.org/drawingml/2006/main">
          <a:off x="1735193" y="49763"/>
          <a:ext cx="1484612" cy="1797075"/>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8BAED4-EB30-41E6-8A6C-3587D368C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306</TotalTime>
  <Pages>32</Pages>
  <Words>9050</Words>
  <Characters>51587</Characters>
  <Application>Microsoft Office Word</Application>
  <DocSecurity>0</DocSecurity>
  <Lines>429</Lines>
  <Paragraphs>121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През 2013 година</vt:lpstr>
      <vt:lpstr>През първите шест месеца на 2006г</vt:lpstr>
    </vt:vector>
  </TitlesOfParts>
  <Company/>
  <LinksUpToDate>false</LinksUpToDate>
  <CharactersWithSpaces>60516</CharactersWithSpaces>
  <SharedDoc>false</SharedDoc>
  <HLinks>
    <vt:vector size="186" baseType="variant">
      <vt:variant>
        <vt:i4>1835059</vt:i4>
      </vt:variant>
      <vt:variant>
        <vt:i4>182</vt:i4>
      </vt:variant>
      <vt:variant>
        <vt:i4>0</vt:i4>
      </vt:variant>
      <vt:variant>
        <vt:i4>5</vt:i4>
      </vt:variant>
      <vt:variant>
        <vt:lpwstr/>
      </vt:variant>
      <vt:variant>
        <vt:lpwstr>_Toc291160636</vt:lpwstr>
      </vt:variant>
      <vt:variant>
        <vt:i4>1835059</vt:i4>
      </vt:variant>
      <vt:variant>
        <vt:i4>176</vt:i4>
      </vt:variant>
      <vt:variant>
        <vt:i4>0</vt:i4>
      </vt:variant>
      <vt:variant>
        <vt:i4>5</vt:i4>
      </vt:variant>
      <vt:variant>
        <vt:lpwstr/>
      </vt:variant>
      <vt:variant>
        <vt:lpwstr>_Toc291160635</vt:lpwstr>
      </vt:variant>
      <vt:variant>
        <vt:i4>1835059</vt:i4>
      </vt:variant>
      <vt:variant>
        <vt:i4>170</vt:i4>
      </vt:variant>
      <vt:variant>
        <vt:i4>0</vt:i4>
      </vt:variant>
      <vt:variant>
        <vt:i4>5</vt:i4>
      </vt:variant>
      <vt:variant>
        <vt:lpwstr/>
      </vt:variant>
      <vt:variant>
        <vt:lpwstr>_Toc291160634</vt:lpwstr>
      </vt:variant>
      <vt:variant>
        <vt:i4>1835059</vt:i4>
      </vt:variant>
      <vt:variant>
        <vt:i4>164</vt:i4>
      </vt:variant>
      <vt:variant>
        <vt:i4>0</vt:i4>
      </vt:variant>
      <vt:variant>
        <vt:i4>5</vt:i4>
      </vt:variant>
      <vt:variant>
        <vt:lpwstr/>
      </vt:variant>
      <vt:variant>
        <vt:lpwstr>_Toc291160633</vt:lpwstr>
      </vt:variant>
      <vt:variant>
        <vt:i4>1835059</vt:i4>
      </vt:variant>
      <vt:variant>
        <vt:i4>158</vt:i4>
      </vt:variant>
      <vt:variant>
        <vt:i4>0</vt:i4>
      </vt:variant>
      <vt:variant>
        <vt:i4>5</vt:i4>
      </vt:variant>
      <vt:variant>
        <vt:lpwstr/>
      </vt:variant>
      <vt:variant>
        <vt:lpwstr>_Toc291160632</vt:lpwstr>
      </vt:variant>
      <vt:variant>
        <vt:i4>1835059</vt:i4>
      </vt:variant>
      <vt:variant>
        <vt:i4>152</vt:i4>
      </vt:variant>
      <vt:variant>
        <vt:i4>0</vt:i4>
      </vt:variant>
      <vt:variant>
        <vt:i4>5</vt:i4>
      </vt:variant>
      <vt:variant>
        <vt:lpwstr/>
      </vt:variant>
      <vt:variant>
        <vt:lpwstr>_Toc291160631</vt:lpwstr>
      </vt:variant>
      <vt:variant>
        <vt:i4>1835059</vt:i4>
      </vt:variant>
      <vt:variant>
        <vt:i4>146</vt:i4>
      </vt:variant>
      <vt:variant>
        <vt:i4>0</vt:i4>
      </vt:variant>
      <vt:variant>
        <vt:i4>5</vt:i4>
      </vt:variant>
      <vt:variant>
        <vt:lpwstr/>
      </vt:variant>
      <vt:variant>
        <vt:lpwstr>_Toc291160630</vt:lpwstr>
      </vt:variant>
      <vt:variant>
        <vt:i4>1900595</vt:i4>
      </vt:variant>
      <vt:variant>
        <vt:i4>140</vt:i4>
      </vt:variant>
      <vt:variant>
        <vt:i4>0</vt:i4>
      </vt:variant>
      <vt:variant>
        <vt:i4>5</vt:i4>
      </vt:variant>
      <vt:variant>
        <vt:lpwstr/>
      </vt:variant>
      <vt:variant>
        <vt:lpwstr>_Toc291160629</vt:lpwstr>
      </vt:variant>
      <vt:variant>
        <vt:i4>1900595</vt:i4>
      </vt:variant>
      <vt:variant>
        <vt:i4>134</vt:i4>
      </vt:variant>
      <vt:variant>
        <vt:i4>0</vt:i4>
      </vt:variant>
      <vt:variant>
        <vt:i4>5</vt:i4>
      </vt:variant>
      <vt:variant>
        <vt:lpwstr/>
      </vt:variant>
      <vt:variant>
        <vt:lpwstr>_Toc291160628</vt:lpwstr>
      </vt:variant>
      <vt:variant>
        <vt:i4>1900595</vt:i4>
      </vt:variant>
      <vt:variant>
        <vt:i4>128</vt:i4>
      </vt:variant>
      <vt:variant>
        <vt:i4>0</vt:i4>
      </vt:variant>
      <vt:variant>
        <vt:i4>5</vt:i4>
      </vt:variant>
      <vt:variant>
        <vt:lpwstr/>
      </vt:variant>
      <vt:variant>
        <vt:lpwstr>_Toc291160627</vt:lpwstr>
      </vt:variant>
      <vt:variant>
        <vt:i4>1900595</vt:i4>
      </vt:variant>
      <vt:variant>
        <vt:i4>122</vt:i4>
      </vt:variant>
      <vt:variant>
        <vt:i4>0</vt:i4>
      </vt:variant>
      <vt:variant>
        <vt:i4>5</vt:i4>
      </vt:variant>
      <vt:variant>
        <vt:lpwstr/>
      </vt:variant>
      <vt:variant>
        <vt:lpwstr>_Toc291160626</vt:lpwstr>
      </vt:variant>
      <vt:variant>
        <vt:i4>1900595</vt:i4>
      </vt:variant>
      <vt:variant>
        <vt:i4>116</vt:i4>
      </vt:variant>
      <vt:variant>
        <vt:i4>0</vt:i4>
      </vt:variant>
      <vt:variant>
        <vt:i4>5</vt:i4>
      </vt:variant>
      <vt:variant>
        <vt:lpwstr/>
      </vt:variant>
      <vt:variant>
        <vt:lpwstr>_Toc291160625</vt:lpwstr>
      </vt:variant>
      <vt:variant>
        <vt:i4>1900595</vt:i4>
      </vt:variant>
      <vt:variant>
        <vt:i4>110</vt:i4>
      </vt:variant>
      <vt:variant>
        <vt:i4>0</vt:i4>
      </vt:variant>
      <vt:variant>
        <vt:i4>5</vt:i4>
      </vt:variant>
      <vt:variant>
        <vt:lpwstr/>
      </vt:variant>
      <vt:variant>
        <vt:lpwstr>_Toc291160624</vt:lpwstr>
      </vt:variant>
      <vt:variant>
        <vt:i4>1900595</vt:i4>
      </vt:variant>
      <vt:variant>
        <vt:i4>104</vt:i4>
      </vt:variant>
      <vt:variant>
        <vt:i4>0</vt:i4>
      </vt:variant>
      <vt:variant>
        <vt:i4>5</vt:i4>
      </vt:variant>
      <vt:variant>
        <vt:lpwstr/>
      </vt:variant>
      <vt:variant>
        <vt:lpwstr>_Toc291160623</vt:lpwstr>
      </vt:variant>
      <vt:variant>
        <vt:i4>1900595</vt:i4>
      </vt:variant>
      <vt:variant>
        <vt:i4>98</vt:i4>
      </vt:variant>
      <vt:variant>
        <vt:i4>0</vt:i4>
      </vt:variant>
      <vt:variant>
        <vt:i4>5</vt:i4>
      </vt:variant>
      <vt:variant>
        <vt:lpwstr/>
      </vt:variant>
      <vt:variant>
        <vt:lpwstr>_Toc291160622</vt:lpwstr>
      </vt:variant>
      <vt:variant>
        <vt:i4>1900595</vt:i4>
      </vt:variant>
      <vt:variant>
        <vt:i4>92</vt:i4>
      </vt:variant>
      <vt:variant>
        <vt:i4>0</vt:i4>
      </vt:variant>
      <vt:variant>
        <vt:i4>5</vt:i4>
      </vt:variant>
      <vt:variant>
        <vt:lpwstr/>
      </vt:variant>
      <vt:variant>
        <vt:lpwstr>_Toc291160621</vt:lpwstr>
      </vt:variant>
      <vt:variant>
        <vt:i4>1900595</vt:i4>
      </vt:variant>
      <vt:variant>
        <vt:i4>86</vt:i4>
      </vt:variant>
      <vt:variant>
        <vt:i4>0</vt:i4>
      </vt:variant>
      <vt:variant>
        <vt:i4>5</vt:i4>
      </vt:variant>
      <vt:variant>
        <vt:lpwstr/>
      </vt:variant>
      <vt:variant>
        <vt:lpwstr>_Toc291160620</vt:lpwstr>
      </vt:variant>
      <vt:variant>
        <vt:i4>1966131</vt:i4>
      </vt:variant>
      <vt:variant>
        <vt:i4>80</vt:i4>
      </vt:variant>
      <vt:variant>
        <vt:i4>0</vt:i4>
      </vt:variant>
      <vt:variant>
        <vt:i4>5</vt:i4>
      </vt:variant>
      <vt:variant>
        <vt:lpwstr/>
      </vt:variant>
      <vt:variant>
        <vt:lpwstr>_Toc291160619</vt:lpwstr>
      </vt:variant>
      <vt:variant>
        <vt:i4>1966131</vt:i4>
      </vt:variant>
      <vt:variant>
        <vt:i4>74</vt:i4>
      </vt:variant>
      <vt:variant>
        <vt:i4>0</vt:i4>
      </vt:variant>
      <vt:variant>
        <vt:i4>5</vt:i4>
      </vt:variant>
      <vt:variant>
        <vt:lpwstr/>
      </vt:variant>
      <vt:variant>
        <vt:lpwstr>_Toc291160618</vt:lpwstr>
      </vt:variant>
      <vt:variant>
        <vt:i4>1966131</vt:i4>
      </vt:variant>
      <vt:variant>
        <vt:i4>68</vt:i4>
      </vt:variant>
      <vt:variant>
        <vt:i4>0</vt:i4>
      </vt:variant>
      <vt:variant>
        <vt:i4>5</vt:i4>
      </vt:variant>
      <vt:variant>
        <vt:lpwstr/>
      </vt:variant>
      <vt:variant>
        <vt:lpwstr>_Toc291160617</vt:lpwstr>
      </vt:variant>
      <vt:variant>
        <vt:i4>1966131</vt:i4>
      </vt:variant>
      <vt:variant>
        <vt:i4>62</vt:i4>
      </vt:variant>
      <vt:variant>
        <vt:i4>0</vt:i4>
      </vt:variant>
      <vt:variant>
        <vt:i4>5</vt:i4>
      </vt:variant>
      <vt:variant>
        <vt:lpwstr/>
      </vt:variant>
      <vt:variant>
        <vt:lpwstr>_Toc291160616</vt:lpwstr>
      </vt:variant>
      <vt:variant>
        <vt:i4>1966131</vt:i4>
      </vt:variant>
      <vt:variant>
        <vt:i4>56</vt:i4>
      </vt:variant>
      <vt:variant>
        <vt:i4>0</vt:i4>
      </vt:variant>
      <vt:variant>
        <vt:i4>5</vt:i4>
      </vt:variant>
      <vt:variant>
        <vt:lpwstr/>
      </vt:variant>
      <vt:variant>
        <vt:lpwstr>_Toc291160615</vt:lpwstr>
      </vt:variant>
      <vt:variant>
        <vt:i4>1966131</vt:i4>
      </vt:variant>
      <vt:variant>
        <vt:i4>50</vt:i4>
      </vt:variant>
      <vt:variant>
        <vt:i4>0</vt:i4>
      </vt:variant>
      <vt:variant>
        <vt:i4>5</vt:i4>
      </vt:variant>
      <vt:variant>
        <vt:lpwstr/>
      </vt:variant>
      <vt:variant>
        <vt:lpwstr>_Toc291160614</vt:lpwstr>
      </vt:variant>
      <vt:variant>
        <vt:i4>1966131</vt:i4>
      </vt:variant>
      <vt:variant>
        <vt:i4>44</vt:i4>
      </vt:variant>
      <vt:variant>
        <vt:i4>0</vt:i4>
      </vt:variant>
      <vt:variant>
        <vt:i4>5</vt:i4>
      </vt:variant>
      <vt:variant>
        <vt:lpwstr/>
      </vt:variant>
      <vt:variant>
        <vt:lpwstr>_Toc291160613</vt:lpwstr>
      </vt:variant>
      <vt:variant>
        <vt:i4>1966131</vt:i4>
      </vt:variant>
      <vt:variant>
        <vt:i4>38</vt:i4>
      </vt:variant>
      <vt:variant>
        <vt:i4>0</vt:i4>
      </vt:variant>
      <vt:variant>
        <vt:i4>5</vt:i4>
      </vt:variant>
      <vt:variant>
        <vt:lpwstr/>
      </vt:variant>
      <vt:variant>
        <vt:lpwstr>_Toc291160612</vt:lpwstr>
      </vt:variant>
      <vt:variant>
        <vt:i4>1966131</vt:i4>
      </vt:variant>
      <vt:variant>
        <vt:i4>32</vt:i4>
      </vt:variant>
      <vt:variant>
        <vt:i4>0</vt:i4>
      </vt:variant>
      <vt:variant>
        <vt:i4>5</vt:i4>
      </vt:variant>
      <vt:variant>
        <vt:lpwstr/>
      </vt:variant>
      <vt:variant>
        <vt:lpwstr>_Toc291160611</vt:lpwstr>
      </vt:variant>
      <vt:variant>
        <vt:i4>1966131</vt:i4>
      </vt:variant>
      <vt:variant>
        <vt:i4>26</vt:i4>
      </vt:variant>
      <vt:variant>
        <vt:i4>0</vt:i4>
      </vt:variant>
      <vt:variant>
        <vt:i4>5</vt:i4>
      </vt:variant>
      <vt:variant>
        <vt:lpwstr/>
      </vt:variant>
      <vt:variant>
        <vt:lpwstr>_Toc291160610</vt:lpwstr>
      </vt:variant>
      <vt:variant>
        <vt:i4>2031667</vt:i4>
      </vt:variant>
      <vt:variant>
        <vt:i4>20</vt:i4>
      </vt:variant>
      <vt:variant>
        <vt:i4>0</vt:i4>
      </vt:variant>
      <vt:variant>
        <vt:i4>5</vt:i4>
      </vt:variant>
      <vt:variant>
        <vt:lpwstr/>
      </vt:variant>
      <vt:variant>
        <vt:lpwstr>_Toc291160609</vt:lpwstr>
      </vt:variant>
      <vt:variant>
        <vt:i4>2031667</vt:i4>
      </vt:variant>
      <vt:variant>
        <vt:i4>14</vt:i4>
      </vt:variant>
      <vt:variant>
        <vt:i4>0</vt:i4>
      </vt:variant>
      <vt:variant>
        <vt:i4>5</vt:i4>
      </vt:variant>
      <vt:variant>
        <vt:lpwstr/>
      </vt:variant>
      <vt:variant>
        <vt:lpwstr>_Toc291160608</vt:lpwstr>
      </vt:variant>
      <vt:variant>
        <vt:i4>2031667</vt:i4>
      </vt:variant>
      <vt:variant>
        <vt:i4>8</vt:i4>
      </vt:variant>
      <vt:variant>
        <vt:i4>0</vt:i4>
      </vt:variant>
      <vt:variant>
        <vt:i4>5</vt:i4>
      </vt:variant>
      <vt:variant>
        <vt:lpwstr/>
      </vt:variant>
      <vt:variant>
        <vt:lpwstr>_Toc291160607</vt:lpwstr>
      </vt:variant>
      <vt:variant>
        <vt:i4>2031667</vt:i4>
      </vt:variant>
      <vt:variant>
        <vt:i4>2</vt:i4>
      </vt:variant>
      <vt:variant>
        <vt:i4>0</vt:i4>
      </vt:variant>
      <vt:variant>
        <vt:i4>5</vt:i4>
      </vt:variant>
      <vt:variant>
        <vt:lpwstr/>
      </vt:variant>
      <vt:variant>
        <vt:lpwstr>_Toc291160606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През 2013 година</dc:title>
  <dc:creator>ivo stankov</dc:creator>
  <cp:lastModifiedBy>snezhana</cp:lastModifiedBy>
  <cp:revision>70</cp:revision>
  <cp:lastPrinted>2015-08-27T12:53:00Z</cp:lastPrinted>
  <dcterms:created xsi:type="dcterms:W3CDTF">2020-06-18T13:45:00Z</dcterms:created>
  <dcterms:modified xsi:type="dcterms:W3CDTF">2020-06-24T07:42:00Z</dcterms:modified>
</cp:coreProperties>
</file>