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231" w:rsidRPr="00161F04" w:rsidRDefault="003D0231" w:rsidP="00161F04"/>
    <w:p w:rsidR="003D0231" w:rsidRDefault="003D0231" w:rsidP="00161F04"/>
    <w:p w:rsidR="00161F04" w:rsidRDefault="00161F04" w:rsidP="00161F04"/>
    <w:p w:rsidR="00161F04" w:rsidRDefault="00161F04" w:rsidP="00161F04"/>
    <w:p w:rsidR="00161F04" w:rsidRDefault="00161F04" w:rsidP="00161F04"/>
    <w:p w:rsidR="00161F04" w:rsidRDefault="00161F04" w:rsidP="00161F04"/>
    <w:p w:rsidR="00161F04" w:rsidRDefault="00161F04" w:rsidP="00161F04"/>
    <w:p w:rsidR="00161F04" w:rsidRDefault="00161F04" w:rsidP="00161F04"/>
    <w:p w:rsidR="00161F04" w:rsidRDefault="00161F04" w:rsidP="00161F04"/>
    <w:p w:rsidR="00161F04" w:rsidRDefault="00161F04" w:rsidP="00161F04"/>
    <w:p w:rsidR="00161F04" w:rsidRDefault="00161F04" w:rsidP="00161F04"/>
    <w:p w:rsidR="00161F04" w:rsidRDefault="00161F04" w:rsidP="00161F04"/>
    <w:p w:rsidR="00161F04" w:rsidRDefault="00161F04" w:rsidP="00161F04"/>
    <w:p w:rsidR="00161F04" w:rsidRDefault="00161F04" w:rsidP="00161F04"/>
    <w:p w:rsidR="00161F04" w:rsidRDefault="00161F04" w:rsidP="00161F04"/>
    <w:p w:rsidR="00161F04" w:rsidRPr="00161F04" w:rsidRDefault="00161F04" w:rsidP="00161F04"/>
    <w:p w:rsidR="008137D0" w:rsidRPr="008137D0" w:rsidRDefault="003D0231" w:rsidP="008137D0">
      <w:pPr>
        <w:jc w:val="center"/>
        <w:rPr>
          <w:rFonts w:ascii="Times New Roman Bold" w:hAnsi="Times New Roman Bold"/>
          <w:b/>
          <w:caps/>
        </w:rPr>
      </w:pPr>
      <w:r w:rsidRPr="008137D0">
        <w:rPr>
          <w:rFonts w:ascii="Times New Roman Bold" w:hAnsi="Times New Roman Bold"/>
          <w:b/>
          <w:caps/>
        </w:rPr>
        <w:t>OECD Review of the Corporate Governance of State-Owned Enterprises</w:t>
      </w:r>
    </w:p>
    <w:p w:rsidR="003D0231" w:rsidRPr="008137D0" w:rsidRDefault="008137D0" w:rsidP="008137D0">
      <w:pPr>
        <w:jc w:val="center"/>
        <w:rPr>
          <w:rFonts w:ascii="Times New Roman Bold" w:hAnsi="Times New Roman Bold"/>
          <w:b/>
          <w:caps/>
        </w:rPr>
      </w:pPr>
      <w:r w:rsidRPr="008137D0">
        <w:rPr>
          <w:rFonts w:ascii="Times New Roman Bold" w:hAnsi="Times New Roman Bold"/>
          <w:b/>
          <w:caps/>
        </w:rPr>
        <w:t>Q</w:t>
      </w:r>
      <w:r w:rsidR="003D0231" w:rsidRPr="008137D0">
        <w:rPr>
          <w:rFonts w:ascii="Times New Roman Bold" w:hAnsi="Times New Roman Bold"/>
          <w:b/>
          <w:caps/>
        </w:rPr>
        <w:t>uestionnaire part 1 of 2: data describing the state-owned sector</w:t>
      </w:r>
    </w:p>
    <w:p w:rsidR="008137D0" w:rsidRDefault="008137D0" w:rsidP="008137D0"/>
    <w:p w:rsidR="00B438EE" w:rsidRPr="008137D0" w:rsidRDefault="00B438EE" w:rsidP="008137D0"/>
    <w:tbl>
      <w:tblPr>
        <w:tblStyle w:val="TableGrid"/>
        <w:tblW w:w="0" w:type="auto"/>
        <w:tblLook w:val="04A0" w:firstRow="1" w:lastRow="0" w:firstColumn="1" w:lastColumn="0" w:noHBand="0" w:noVBand="1"/>
      </w:tblPr>
      <w:tblGrid>
        <w:gridCol w:w="9684"/>
      </w:tblGrid>
      <w:tr w:rsidR="003D0231" w:rsidTr="00C34EE7">
        <w:tc>
          <w:tcPr>
            <w:tcW w:w="9684" w:type="dxa"/>
          </w:tcPr>
          <w:p w:rsidR="003D0231" w:rsidRPr="007B186D" w:rsidRDefault="005A3FCD" w:rsidP="00C407AA">
            <w:pPr>
              <w:pStyle w:val="Heading2"/>
              <w:outlineLvl w:val="1"/>
              <w:rPr>
                <w:b w:val="0"/>
                <w:sz w:val="22"/>
                <w:szCs w:val="22"/>
              </w:rPr>
            </w:pPr>
            <w:r w:rsidRPr="007B186D">
              <w:rPr>
                <w:b w:val="0"/>
                <w:sz w:val="22"/>
                <w:szCs w:val="22"/>
              </w:rPr>
              <w:t>This questionnaire is for use by the OECD</w:t>
            </w:r>
            <w:r w:rsidR="00186B0B" w:rsidRPr="007B186D">
              <w:rPr>
                <w:b w:val="0"/>
                <w:sz w:val="22"/>
                <w:szCs w:val="22"/>
              </w:rPr>
              <w:t xml:space="preserve"> Secretariat </w:t>
            </w:r>
            <w:r w:rsidRPr="007B186D">
              <w:rPr>
                <w:b w:val="0"/>
                <w:sz w:val="22"/>
                <w:szCs w:val="22"/>
              </w:rPr>
              <w:t xml:space="preserve">in conducting national reviews of state-owned enterprise (SOE) governance relative to the </w:t>
            </w:r>
            <w:r w:rsidRPr="007B186D">
              <w:rPr>
                <w:b w:val="0"/>
                <w:i/>
                <w:sz w:val="22"/>
                <w:szCs w:val="22"/>
              </w:rPr>
              <w:t>OECD Guidelines on Corporate Governance of State-Owned Enterprises</w:t>
            </w:r>
            <w:r w:rsidRPr="007B186D">
              <w:rPr>
                <w:b w:val="0"/>
                <w:sz w:val="22"/>
                <w:szCs w:val="22"/>
              </w:rPr>
              <w:t xml:space="preserve"> (</w:t>
            </w:r>
            <w:r w:rsidR="00D32BC9" w:rsidRPr="007B186D">
              <w:rPr>
                <w:b w:val="0"/>
                <w:sz w:val="22"/>
                <w:szCs w:val="22"/>
              </w:rPr>
              <w:t>“</w:t>
            </w:r>
            <w:r w:rsidRPr="007B186D">
              <w:rPr>
                <w:b w:val="0"/>
                <w:sz w:val="22"/>
                <w:szCs w:val="22"/>
              </w:rPr>
              <w:t>SOE</w:t>
            </w:r>
            <w:r w:rsidR="00D32BC9" w:rsidRPr="007B186D">
              <w:rPr>
                <w:b w:val="0"/>
                <w:sz w:val="22"/>
                <w:szCs w:val="22"/>
              </w:rPr>
              <w:t xml:space="preserve"> Guidelines”</w:t>
            </w:r>
            <w:r w:rsidRPr="007B186D">
              <w:rPr>
                <w:b w:val="0"/>
                <w:sz w:val="22"/>
                <w:szCs w:val="22"/>
              </w:rPr>
              <w:t>). This P</w:t>
            </w:r>
            <w:r w:rsidR="003D0231" w:rsidRPr="007B186D">
              <w:rPr>
                <w:b w:val="0"/>
                <w:sz w:val="22"/>
                <w:szCs w:val="22"/>
              </w:rPr>
              <w:t xml:space="preserve">art </w:t>
            </w:r>
            <w:r w:rsidRPr="007B186D">
              <w:rPr>
                <w:b w:val="0"/>
                <w:sz w:val="22"/>
                <w:szCs w:val="22"/>
              </w:rPr>
              <w:t xml:space="preserve">1 </w:t>
            </w:r>
            <w:r w:rsidR="003D0231" w:rsidRPr="007B186D">
              <w:rPr>
                <w:b w:val="0"/>
                <w:sz w:val="22"/>
                <w:szCs w:val="22"/>
              </w:rPr>
              <w:t xml:space="preserve">of the questionnaire seeks to establish an overview of the main characteristics of </w:t>
            </w:r>
            <w:r w:rsidRPr="007B186D">
              <w:rPr>
                <w:b w:val="0"/>
                <w:sz w:val="22"/>
                <w:szCs w:val="22"/>
              </w:rPr>
              <w:t xml:space="preserve">the SOE </w:t>
            </w:r>
            <w:r w:rsidR="003D0231" w:rsidRPr="007B186D">
              <w:rPr>
                <w:b w:val="0"/>
                <w:sz w:val="22"/>
                <w:szCs w:val="22"/>
              </w:rPr>
              <w:t xml:space="preserve">sector, including the size of SOEs (by value and employment), their sectors of operation and their </w:t>
            </w:r>
            <w:r w:rsidRPr="007B186D">
              <w:rPr>
                <w:b w:val="0"/>
                <w:sz w:val="22"/>
                <w:szCs w:val="22"/>
              </w:rPr>
              <w:t>corporate</w:t>
            </w:r>
            <w:r w:rsidR="003D0231" w:rsidRPr="007B186D">
              <w:rPr>
                <w:b w:val="0"/>
                <w:sz w:val="22"/>
                <w:szCs w:val="22"/>
              </w:rPr>
              <w:t xml:space="preserve"> forms. In completing the data tables, respondents are invited to not only to take recourse to the resources available within the part of the public sector they represent, but also to share the questionnaire widely within their national administration, including as appropriate with statistical agencies. </w:t>
            </w:r>
            <w:r w:rsidR="00352423" w:rsidRPr="007B186D">
              <w:rPr>
                <w:b w:val="0"/>
                <w:sz w:val="22"/>
                <w:szCs w:val="22"/>
              </w:rPr>
              <w:t>If respondents are unable to provide a full coverage of SOEs then they are asked to inform the Secretariat of the exact limitations in their reporting.</w:t>
            </w:r>
          </w:p>
        </w:tc>
      </w:tr>
    </w:tbl>
    <w:p w:rsidR="008137D0" w:rsidRDefault="008137D0" w:rsidP="00161F04">
      <w:pPr>
        <w:pStyle w:val="TOC1"/>
      </w:pPr>
    </w:p>
    <w:p w:rsidR="00B438EE" w:rsidRDefault="00B438EE">
      <w:pPr>
        <w:tabs>
          <w:tab w:val="clear" w:pos="850"/>
          <w:tab w:val="clear" w:pos="1191"/>
          <w:tab w:val="clear" w:pos="1531"/>
        </w:tabs>
        <w:spacing w:after="200" w:line="276" w:lineRule="auto"/>
        <w:jc w:val="left"/>
      </w:pPr>
      <w:r>
        <w:br w:type="page"/>
      </w:r>
    </w:p>
    <w:p w:rsidR="00B438EE" w:rsidRPr="00161F04" w:rsidRDefault="00B438EE" w:rsidP="00161F04"/>
    <w:p w:rsidR="00F2306D" w:rsidRPr="00161F04" w:rsidRDefault="00F2306D" w:rsidP="00161F04"/>
    <w:p w:rsidR="00F2306D" w:rsidRPr="00161F04" w:rsidRDefault="00F2306D" w:rsidP="00161F04"/>
    <w:p w:rsidR="00F2306D" w:rsidRPr="00161F04" w:rsidRDefault="00F2306D" w:rsidP="00161F04"/>
    <w:p w:rsidR="00F2306D" w:rsidRPr="00161F04" w:rsidRDefault="00F2306D" w:rsidP="00161F04"/>
    <w:p w:rsidR="00F2306D" w:rsidRPr="00161F04" w:rsidRDefault="00F2306D" w:rsidP="00161F04"/>
    <w:p w:rsidR="00F2306D" w:rsidRPr="00161F04" w:rsidRDefault="00F2306D" w:rsidP="00161F04"/>
    <w:p w:rsidR="00F2306D" w:rsidRPr="00161F04" w:rsidRDefault="00F2306D" w:rsidP="00161F04"/>
    <w:p w:rsidR="00F2306D" w:rsidRPr="00161F04" w:rsidRDefault="00F2306D" w:rsidP="00161F04"/>
    <w:p w:rsidR="00F2306D" w:rsidRPr="00161F04" w:rsidRDefault="00F2306D" w:rsidP="00161F04"/>
    <w:p w:rsidR="00161F04" w:rsidRDefault="00161F04" w:rsidP="00161F04">
      <w:pPr>
        <w:pStyle w:val="TOC1"/>
      </w:pPr>
    </w:p>
    <w:p w:rsidR="00161F04" w:rsidRDefault="00161F04" w:rsidP="00161F04">
      <w:pPr>
        <w:pStyle w:val="TOC1"/>
      </w:pPr>
    </w:p>
    <w:p w:rsidR="00161F04" w:rsidRDefault="00161F04" w:rsidP="00161F04">
      <w:pPr>
        <w:pStyle w:val="TOC1"/>
      </w:pPr>
    </w:p>
    <w:p w:rsidR="00161F04" w:rsidRDefault="00161F04" w:rsidP="00161F04">
      <w:pPr>
        <w:pStyle w:val="TOC1"/>
      </w:pPr>
    </w:p>
    <w:p w:rsidR="00161F04" w:rsidRDefault="00161F04" w:rsidP="00161F04">
      <w:pPr>
        <w:pStyle w:val="TOC1"/>
      </w:pPr>
    </w:p>
    <w:p w:rsidR="00B438EE" w:rsidRDefault="00B438EE" w:rsidP="00161F04">
      <w:pPr>
        <w:pStyle w:val="TOC1"/>
      </w:pPr>
      <w:r w:rsidRPr="00B438EE">
        <w:t>T</w:t>
      </w:r>
      <w:r w:rsidR="00F2306D">
        <w:t>ABLE OF CONTENTS</w:t>
      </w:r>
    </w:p>
    <w:p w:rsidR="00F31AF7" w:rsidRPr="00F31AF7" w:rsidRDefault="00F31AF7" w:rsidP="00F31AF7"/>
    <w:p w:rsidR="005F4C54" w:rsidRPr="005F4C54" w:rsidRDefault="008137D0">
      <w:pPr>
        <w:pStyle w:val="TOC1"/>
        <w:rPr>
          <w:rFonts w:asciiTheme="minorHAnsi" w:eastAsiaTheme="minorEastAsia" w:hAnsiTheme="minorHAnsi" w:cstheme="minorBidi"/>
          <w:b w:val="0"/>
          <w:noProof/>
          <w:lang w:eastAsia="en-GB"/>
        </w:rPr>
      </w:pPr>
      <w:r w:rsidRPr="005F4C54">
        <w:rPr>
          <w:b w:val="0"/>
        </w:rPr>
        <w:fldChar w:fldCharType="begin"/>
      </w:r>
      <w:r w:rsidRPr="005F4C54">
        <w:rPr>
          <w:b w:val="0"/>
        </w:rPr>
        <w:instrText xml:space="preserve"> TOC \o "1-1" \h \z \u </w:instrText>
      </w:r>
      <w:r w:rsidRPr="005F4C54">
        <w:rPr>
          <w:b w:val="0"/>
        </w:rPr>
        <w:fldChar w:fldCharType="separate"/>
      </w:r>
      <w:hyperlink w:anchor="_Toc433277191" w:history="1">
        <w:r w:rsidR="005F4C54" w:rsidRPr="005F4C54">
          <w:rPr>
            <w:rStyle w:val="Hyperlink"/>
            <w:b w:val="0"/>
            <w:noProof/>
          </w:rPr>
          <w:t>Scope and definitions</w:t>
        </w:r>
        <w:r w:rsidR="005F4C54" w:rsidRPr="005F4C54">
          <w:rPr>
            <w:b w:val="0"/>
            <w:noProof/>
            <w:webHidden/>
          </w:rPr>
          <w:tab/>
        </w:r>
        <w:r w:rsidR="005F4C54" w:rsidRPr="005F4C54">
          <w:rPr>
            <w:b w:val="0"/>
            <w:noProof/>
            <w:webHidden/>
          </w:rPr>
          <w:fldChar w:fldCharType="begin"/>
        </w:r>
        <w:r w:rsidR="005F4C54" w:rsidRPr="005F4C54">
          <w:rPr>
            <w:b w:val="0"/>
            <w:noProof/>
            <w:webHidden/>
          </w:rPr>
          <w:instrText xml:space="preserve"> PAGEREF _Toc433277191 \h </w:instrText>
        </w:r>
        <w:r w:rsidR="005F4C54" w:rsidRPr="005F4C54">
          <w:rPr>
            <w:b w:val="0"/>
            <w:noProof/>
            <w:webHidden/>
          </w:rPr>
        </w:r>
        <w:r w:rsidR="005F4C54" w:rsidRPr="005F4C54">
          <w:rPr>
            <w:b w:val="0"/>
            <w:noProof/>
            <w:webHidden/>
          </w:rPr>
          <w:fldChar w:fldCharType="separate"/>
        </w:r>
        <w:r w:rsidR="005F4C54" w:rsidRPr="005F4C54">
          <w:rPr>
            <w:b w:val="0"/>
            <w:noProof/>
            <w:webHidden/>
          </w:rPr>
          <w:t>3</w:t>
        </w:r>
        <w:r w:rsidR="005F4C54" w:rsidRPr="005F4C54">
          <w:rPr>
            <w:b w:val="0"/>
            <w:noProof/>
            <w:webHidden/>
          </w:rPr>
          <w:fldChar w:fldCharType="end"/>
        </w:r>
      </w:hyperlink>
    </w:p>
    <w:p w:rsidR="005F4C54" w:rsidRPr="005F4C54" w:rsidRDefault="00B90E75">
      <w:pPr>
        <w:pStyle w:val="TOC1"/>
        <w:rPr>
          <w:rFonts w:asciiTheme="minorHAnsi" w:eastAsiaTheme="minorEastAsia" w:hAnsiTheme="minorHAnsi" w:cstheme="minorBidi"/>
          <w:b w:val="0"/>
          <w:noProof/>
          <w:lang w:eastAsia="en-GB"/>
        </w:rPr>
      </w:pPr>
      <w:hyperlink w:anchor="_Toc433277192" w:history="1">
        <w:r w:rsidR="005F4C54" w:rsidRPr="005F4C54">
          <w:rPr>
            <w:rStyle w:val="Hyperlink"/>
            <w:b w:val="0"/>
            <w:noProof/>
          </w:rPr>
          <w:fldChar w:fldCharType="begin"/>
        </w:r>
        <w:r w:rsidR="005F4C54" w:rsidRPr="005F4C54">
          <w:rPr>
            <w:rStyle w:val="Hyperlink"/>
            <w:b w:val="0"/>
            <w:noProof/>
          </w:rPr>
          <w:instrText xml:space="preserve"> MACROBUTTON NUMBERING </w:instrText>
        </w:r>
        <w:r w:rsidR="005F4C54" w:rsidRPr="005F4C54">
          <w:rPr>
            <w:rStyle w:val="Hyperlink"/>
            <w:b w:val="0"/>
            <w:noProof/>
          </w:rPr>
          <w:fldChar w:fldCharType="begin"/>
        </w:r>
        <w:r w:rsidR="005F4C54" w:rsidRPr="005F4C54">
          <w:rPr>
            <w:rStyle w:val="Hyperlink"/>
            <w:b w:val="0"/>
            <w:noProof/>
          </w:rPr>
          <w:instrText xml:space="preserve"> SEQ  cpara \h \r 0</w:instrText>
        </w:r>
        <w:r w:rsidR="005F4C54" w:rsidRPr="005F4C54">
          <w:rPr>
            <w:rStyle w:val="Hyperlink"/>
            <w:b w:val="0"/>
            <w:noProof/>
          </w:rPr>
          <w:fldChar w:fldCharType="end"/>
        </w:r>
        <w:r w:rsidR="005F4C54" w:rsidRPr="005F4C54">
          <w:rPr>
            <w:rStyle w:val="Hyperlink"/>
            <w:b w:val="0"/>
            <w:noProof/>
          </w:rPr>
          <w:fldChar w:fldCharType="begin"/>
        </w:r>
        <w:r w:rsidR="005F4C54" w:rsidRPr="005F4C54">
          <w:rPr>
            <w:rStyle w:val="Hyperlink"/>
            <w:b w:val="0"/>
            <w:noProof/>
          </w:rPr>
          <w:instrText xml:space="preserve"> SEQ  ccount \h</w:instrText>
        </w:r>
        <w:r w:rsidR="005F4C54" w:rsidRPr="005F4C54">
          <w:rPr>
            <w:rStyle w:val="Hyperlink"/>
            <w:b w:val="0"/>
            <w:noProof/>
          </w:rPr>
          <w:fldChar w:fldCharType="end"/>
        </w:r>
        <w:r w:rsidR="005F4C54" w:rsidRPr="005F4C54">
          <w:rPr>
            <w:rStyle w:val="Hyperlink"/>
            <w:b w:val="0"/>
            <w:noProof/>
          </w:rPr>
          <w:fldChar w:fldCharType="end"/>
        </w:r>
        <w:r w:rsidR="005F4C54" w:rsidRPr="005F4C54">
          <w:rPr>
            <w:rStyle w:val="Hyperlink"/>
            <w:b w:val="0"/>
            <w:noProof/>
          </w:rPr>
          <w:t>Table 1: Aggregate data on state-owned enterprises held at the central level of government</w:t>
        </w:r>
        <w:r w:rsidR="005F4C54" w:rsidRPr="005F4C54">
          <w:rPr>
            <w:b w:val="0"/>
            <w:noProof/>
            <w:webHidden/>
          </w:rPr>
          <w:tab/>
        </w:r>
        <w:r w:rsidR="005F4C54" w:rsidRPr="005F4C54">
          <w:rPr>
            <w:b w:val="0"/>
            <w:noProof/>
            <w:webHidden/>
          </w:rPr>
          <w:fldChar w:fldCharType="begin"/>
        </w:r>
        <w:r w:rsidR="005F4C54" w:rsidRPr="005F4C54">
          <w:rPr>
            <w:b w:val="0"/>
            <w:noProof/>
            <w:webHidden/>
          </w:rPr>
          <w:instrText xml:space="preserve"> PAGEREF _Toc433277192 \h </w:instrText>
        </w:r>
        <w:r w:rsidR="005F4C54" w:rsidRPr="005F4C54">
          <w:rPr>
            <w:b w:val="0"/>
            <w:noProof/>
            <w:webHidden/>
          </w:rPr>
        </w:r>
        <w:r w:rsidR="005F4C54" w:rsidRPr="005F4C54">
          <w:rPr>
            <w:b w:val="0"/>
            <w:noProof/>
            <w:webHidden/>
          </w:rPr>
          <w:fldChar w:fldCharType="separate"/>
        </w:r>
        <w:r w:rsidR="005F4C54" w:rsidRPr="005F4C54">
          <w:rPr>
            <w:b w:val="0"/>
            <w:noProof/>
            <w:webHidden/>
          </w:rPr>
          <w:t>6</w:t>
        </w:r>
        <w:r w:rsidR="005F4C54" w:rsidRPr="005F4C54">
          <w:rPr>
            <w:b w:val="0"/>
            <w:noProof/>
            <w:webHidden/>
          </w:rPr>
          <w:fldChar w:fldCharType="end"/>
        </w:r>
      </w:hyperlink>
    </w:p>
    <w:p w:rsidR="005F4C54" w:rsidRPr="005F4C54" w:rsidRDefault="00B90E75">
      <w:pPr>
        <w:pStyle w:val="TOC1"/>
        <w:rPr>
          <w:rFonts w:asciiTheme="minorHAnsi" w:eastAsiaTheme="minorEastAsia" w:hAnsiTheme="minorHAnsi" w:cstheme="minorBidi"/>
          <w:b w:val="0"/>
          <w:noProof/>
          <w:lang w:eastAsia="en-GB"/>
        </w:rPr>
      </w:pPr>
      <w:hyperlink w:anchor="_Toc433277193" w:history="1">
        <w:r w:rsidR="005F4C54" w:rsidRPr="005F4C54">
          <w:rPr>
            <w:rStyle w:val="Hyperlink"/>
            <w:b w:val="0"/>
            <w:noProof/>
          </w:rPr>
          <w:t>Table 2: Aggregate data on enterprises held at the sub-national level of government</w:t>
        </w:r>
        <w:r w:rsidR="005F4C54" w:rsidRPr="005F4C54">
          <w:rPr>
            <w:b w:val="0"/>
            <w:noProof/>
            <w:webHidden/>
          </w:rPr>
          <w:tab/>
        </w:r>
        <w:r w:rsidR="005F4C54" w:rsidRPr="005F4C54">
          <w:rPr>
            <w:b w:val="0"/>
            <w:noProof/>
            <w:webHidden/>
          </w:rPr>
          <w:fldChar w:fldCharType="begin"/>
        </w:r>
        <w:r w:rsidR="005F4C54" w:rsidRPr="005F4C54">
          <w:rPr>
            <w:b w:val="0"/>
            <w:noProof/>
            <w:webHidden/>
          </w:rPr>
          <w:instrText xml:space="preserve"> PAGEREF _Toc433277193 \h </w:instrText>
        </w:r>
        <w:r w:rsidR="005F4C54" w:rsidRPr="005F4C54">
          <w:rPr>
            <w:b w:val="0"/>
            <w:noProof/>
            <w:webHidden/>
          </w:rPr>
        </w:r>
        <w:r w:rsidR="005F4C54" w:rsidRPr="005F4C54">
          <w:rPr>
            <w:b w:val="0"/>
            <w:noProof/>
            <w:webHidden/>
          </w:rPr>
          <w:fldChar w:fldCharType="separate"/>
        </w:r>
        <w:r w:rsidR="005F4C54" w:rsidRPr="005F4C54">
          <w:rPr>
            <w:b w:val="0"/>
            <w:noProof/>
            <w:webHidden/>
          </w:rPr>
          <w:t>7</w:t>
        </w:r>
        <w:r w:rsidR="005F4C54" w:rsidRPr="005F4C54">
          <w:rPr>
            <w:b w:val="0"/>
            <w:noProof/>
            <w:webHidden/>
          </w:rPr>
          <w:fldChar w:fldCharType="end"/>
        </w:r>
      </w:hyperlink>
    </w:p>
    <w:p w:rsidR="005F4C54" w:rsidRPr="005F4C54" w:rsidRDefault="00B90E75">
      <w:pPr>
        <w:pStyle w:val="TOC1"/>
        <w:rPr>
          <w:rFonts w:asciiTheme="minorHAnsi" w:eastAsiaTheme="minorEastAsia" w:hAnsiTheme="minorHAnsi" w:cstheme="minorBidi"/>
          <w:b w:val="0"/>
          <w:noProof/>
          <w:lang w:eastAsia="en-GB"/>
        </w:rPr>
      </w:pPr>
      <w:hyperlink w:anchor="_Toc433277194" w:history="1">
        <w:r w:rsidR="005F4C54" w:rsidRPr="005F4C54">
          <w:rPr>
            <w:rStyle w:val="Hyperlink"/>
            <w:b w:val="0"/>
            <w:noProof/>
          </w:rPr>
          <w:fldChar w:fldCharType="begin"/>
        </w:r>
        <w:r w:rsidR="005F4C54" w:rsidRPr="005F4C54">
          <w:rPr>
            <w:rStyle w:val="Hyperlink"/>
            <w:b w:val="0"/>
            <w:noProof/>
          </w:rPr>
          <w:instrText xml:space="preserve"> MACROBUTTON NUMBERING </w:instrText>
        </w:r>
        <w:r w:rsidR="005F4C54" w:rsidRPr="005F4C54">
          <w:rPr>
            <w:rStyle w:val="Hyperlink"/>
            <w:b w:val="0"/>
            <w:noProof/>
          </w:rPr>
          <w:fldChar w:fldCharType="begin"/>
        </w:r>
        <w:r w:rsidR="005F4C54" w:rsidRPr="005F4C54">
          <w:rPr>
            <w:rStyle w:val="Hyperlink"/>
            <w:b w:val="0"/>
            <w:noProof/>
          </w:rPr>
          <w:instrText xml:space="preserve"> SEQ  cpara \h \r 0</w:instrText>
        </w:r>
        <w:r w:rsidR="005F4C54" w:rsidRPr="005F4C54">
          <w:rPr>
            <w:rStyle w:val="Hyperlink"/>
            <w:b w:val="0"/>
            <w:noProof/>
          </w:rPr>
          <w:fldChar w:fldCharType="end"/>
        </w:r>
        <w:r w:rsidR="005F4C54" w:rsidRPr="005F4C54">
          <w:rPr>
            <w:rStyle w:val="Hyperlink"/>
            <w:b w:val="0"/>
            <w:noProof/>
          </w:rPr>
          <w:fldChar w:fldCharType="begin"/>
        </w:r>
        <w:r w:rsidR="005F4C54" w:rsidRPr="005F4C54">
          <w:rPr>
            <w:rStyle w:val="Hyperlink"/>
            <w:b w:val="0"/>
            <w:noProof/>
          </w:rPr>
          <w:instrText xml:space="preserve"> SEQ  ccount \h</w:instrText>
        </w:r>
        <w:r w:rsidR="005F4C54" w:rsidRPr="005F4C54">
          <w:rPr>
            <w:rStyle w:val="Hyperlink"/>
            <w:b w:val="0"/>
            <w:noProof/>
          </w:rPr>
          <w:fldChar w:fldCharType="end"/>
        </w:r>
        <w:r w:rsidR="005F4C54" w:rsidRPr="005F4C54">
          <w:rPr>
            <w:rStyle w:val="Hyperlink"/>
            <w:b w:val="0"/>
            <w:noProof/>
          </w:rPr>
          <w:fldChar w:fldCharType="end"/>
        </w:r>
        <w:r w:rsidR="005F4C54" w:rsidRPr="005F4C54">
          <w:rPr>
            <w:rStyle w:val="Hyperlink"/>
            <w:b w:val="0"/>
            <w:noProof/>
          </w:rPr>
          <w:t>Table 3: Listed companies with a consolidated public sector ownership of no less than 10%</w:t>
        </w:r>
        <w:r w:rsidR="005F4C54" w:rsidRPr="005F4C54">
          <w:rPr>
            <w:b w:val="0"/>
            <w:noProof/>
            <w:webHidden/>
          </w:rPr>
          <w:tab/>
        </w:r>
        <w:r w:rsidR="005F4C54" w:rsidRPr="005F4C54">
          <w:rPr>
            <w:b w:val="0"/>
            <w:noProof/>
            <w:webHidden/>
          </w:rPr>
          <w:fldChar w:fldCharType="begin"/>
        </w:r>
        <w:r w:rsidR="005F4C54" w:rsidRPr="005F4C54">
          <w:rPr>
            <w:b w:val="0"/>
            <w:noProof/>
            <w:webHidden/>
          </w:rPr>
          <w:instrText xml:space="preserve"> PAGEREF _Toc433277194 \h </w:instrText>
        </w:r>
        <w:r w:rsidR="005F4C54" w:rsidRPr="005F4C54">
          <w:rPr>
            <w:b w:val="0"/>
            <w:noProof/>
            <w:webHidden/>
          </w:rPr>
        </w:r>
        <w:r w:rsidR="005F4C54" w:rsidRPr="005F4C54">
          <w:rPr>
            <w:b w:val="0"/>
            <w:noProof/>
            <w:webHidden/>
          </w:rPr>
          <w:fldChar w:fldCharType="separate"/>
        </w:r>
        <w:r w:rsidR="005F4C54" w:rsidRPr="005F4C54">
          <w:rPr>
            <w:b w:val="0"/>
            <w:noProof/>
            <w:webHidden/>
          </w:rPr>
          <w:t>8</w:t>
        </w:r>
        <w:r w:rsidR="005F4C54" w:rsidRPr="005F4C54">
          <w:rPr>
            <w:b w:val="0"/>
            <w:noProof/>
            <w:webHidden/>
          </w:rPr>
          <w:fldChar w:fldCharType="end"/>
        </w:r>
      </w:hyperlink>
    </w:p>
    <w:p w:rsidR="005F4C54" w:rsidRPr="005F4C54" w:rsidRDefault="00B90E75">
      <w:pPr>
        <w:pStyle w:val="TOC1"/>
        <w:rPr>
          <w:rFonts w:asciiTheme="minorHAnsi" w:eastAsiaTheme="minorEastAsia" w:hAnsiTheme="minorHAnsi" w:cstheme="minorBidi"/>
          <w:b w:val="0"/>
          <w:noProof/>
          <w:lang w:eastAsia="en-GB"/>
        </w:rPr>
      </w:pPr>
      <w:hyperlink w:anchor="_Toc433277195" w:history="1">
        <w:r w:rsidR="005F4C54" w:rsidRPr="005F4C54">
          <w:rPr>
            <w:rStyle w:val="Hyperlink"/>
            <w:b w:val="0"/>
            <w:noProof/>
            <w:lang w:val="en-US"/>
          </w:rPr>
          <w:t>Table 4: Individual large state-owned enterprises</w:t>
        </w:r>
        <w:r w:rsidR="005F4C54" w:rsidRPr="005F4C54">
          <w:rPr>
            <w:b w:val="0"/>
            <w:noProof/>
            <w:webHidden/>
          </w:rPr>
          <w:tab/>
        </w:r>
        <w:r w:rsidR="005F4C54" w:rsidRPr="005F4C54">
          <w:rPr>
            <w:b w:val="0"/>
            <w:noProof/>
            <w:webHidden/>
          </w:rPr>
          <w:fldChar w:fldCharType="begin"/>
        </w:r>
        <w:r w:rsidR="005F4C54" w:rsidRPr="005F4C54">
          <w:rPr>
            <w:b w:val="0"/>
            <w:noProof/>
            <w:webHidden/>
          </w:rPr>
          <w:instrText xml:space="preserve"> PAGEREF _Toc433277195 \h </w:instrText>
        </w:r>
        <w:r w:rsidR="005F4C54" w:rsidRPr="005F4C54">
          <w:rPr>
            <w:b w:val="0"/>
            <w:noProof/>
            <w:webHidden/>
          </w:rPr>
        </w:r>
        <w:r w:rsidR="005F4C54" w:rsidRPr="005F4C54">
          <w:rPr>
            <w:b w:val="0"/>
            <w:noProof/>
            <w:webHidden/>
          </w:rPr>
          <w:fldChar w:fldCharType="separate"/>
        </w:r>
        <w:r w:rsidR="005F4C54" w:rsidRPr="005F4C54">
          <w:rPr>
            <w:b w:val="0"/>
            <w:noProof/>
            <w:webHidden/>
          </w:rPr>
          <w:t>9</w:t>
        </w:r>
        <w:r w:rsidR="005F4C54" w:rsidRPr="005F4C54">
          <w:rPr>
            <w:b w:val="0"/>
            <w:noProof/>
            <w:webHidden/>
          </w:rPr>
          <w:fldChar w:fldCharType="end"/>
        </w:r>
      </w:hyperlink>
    </w:p>
    <w:p w:rsidR="005F4C54" w:rsidRPr="005F4C54" w:rsidRDefault="00B90E75">
      <w:pPr>
        <w:pStyle w:val="TOC1"/>
        <w:rPr>
          <w:rFonts w:asciiTheme="minorHAnsi" w:eastAsiaTheme="minorEastAsia" w:hAnsiTheme="minorHAnsi" w:cstheme="minorBidi"/>
          <w:b w:val="0"/>
          <w:noProof/>
          <w:lang w:eastAsia="en-GB"/>
        </w:rPr>
      </w:pPr>
      <w:hyperlink w:anchor="_Toc433277196" w:history="1">
        <w:r w:rsidR="005F4C54" w:rsidRPr="005F4C54">
          <w:rPr>
            <w:rStyle w:val="Hyperlink"/>
            <w:b w:val="0"/>
            <w:noProof/>
            <w:lang w:val="en-US"/>
          </w:rPr>
          <w:t>Methodological note</w:t>
        </w:r>
        <w:r w:rsidR="005F4C54" w:rsidRPr="005F4C54">
          <w:rPr>
            <w:b w:val="0"/>
            <w:noProof/>
            <w:webHidden/>
          </w:rPr>
          <w:tab/>
        </w:r>
        <w:r w:rsidR="005F4C54" w:rsidRPr="005F4C54">
          <w:rPr>
            <w:b w:val="0"/>
            <w:noProof/>
            <w:webHidden/>
          </w:rPr>
          <w:fldChar w:fldCharType="begin"/>
        </w:r>
        <w:r w:rsidR="005F4C54" w:rsidRPr="005F4C54">
          <w:rPr>
            <w:b w:val="0"/>
            <w:noProof/>
            <w:webHidden/>
          </w:rPr>
          <w:instrText xml:space="preserve"> PAGEREF _Toc433277196 \h </w:instrText>
        </w:r>
        <w:r w:rsidR="005F4C54" w:rsidRPr="005F4C54">
          <w:rPr>
            <w:b w:val="0"/>
            <w:noProof/>
            <w:webHidden/>
          </w:rPr>
        </w:r>
        <w:r w:rsidR="005F4C54" w:rsidRPr="005F4C54">
          <w:rPr>
            <w:b w:val="0"/>
            <w:noProof/>
            <w:webHidden/>
          </w:rPr>
          <w:fldChar w:fldCharType="separate"/>
        </w:r>
        <w:r w:rsidR="005F4C54" w:rsidRPr="005F4C54">
          <w:rPr>
            <w:b w:val="0"/>
            <w:noProof/>
            <w:webHidden/>
          </w:rPr>
          <w:t>11</w:t>
        </w:r>
        <w:r w:rsidR="005F4C54" w:rsidRPr="005F4C54">
          <w:rPr>
            <w:b w:val="0"/>
            <w:noProof/>
            <w:webHidden/>
          </w:rPr>
          <w:fldChar w:fldCharType="end"/>
        </w:r>
      </w:hyperlink>
    </w:p>
    <w:p w:rsidR="005F4C54" w:rsidRPr="005F4C54" w:rsidRDefault="00B90E75">
      <w:pPr>
        <w:pStyle w:val="TOC1"/>
        <w:rPr>
          <w:rFonts w:asciiTheme="minorHAnsi" w:eastAsiaTheme="minorEastAsia" w:hAnsiTheme="minorHAnsi" w:cstheme="minorBidi"/>
          <w:b w:val="0"/>
          <w:noProof/>
          <w:lang w:eastAsia="en-GB"/>
        </w:rPr>
      </w:pPr>
      <w:hyperlink w:anchor="_Toc433277197" w:history="1">
        <w:r w:rsidR="005F4C54" w:rsidRPr="005F4C54">
          <w:rPr>
            <w:rStyle w:val="Hyperlink"/>
            <w:b w:val="0"/>
            <w:noProof/>
            <w:lang w:val="en-US" w:eastAsia="en-US"/>
          </w:rPr>
          <w:t>Annex 1: Definition of quasi-corporations according to the System of National Accounts</w:t>
        </w:r>
        <w:r w:rsidR="005F4C54" w:rsidRPr="005F4C54">
          <w:rPr>
            <w:b w:val="0"/>
            <w:noProof/>
            <w:webHidden/>
          </w:rPr>
          <w:tab/>
        </w:r>
        <w:r w:rsidR="005F4C54" w:rsidRPr="005F4C54">
          <w:rPr>
            <w:b w:val="0"/>
            <w:noProof/>
            <w:webHidden/>
          </w:rPr>
          <w:fldChar w:fldCharType="begin"/>
        </w:r>
        <w:r w:rsidR="005F4C54" w:rsidRPr="005F4C54">
          <w:rPr>
            <w:b w:val="0"/>
            <w:noProof/>
            <w:webHidden/>
          </w:rPr>
          <w:instrText xml:space="preserve"> PAGEREF _Toc433277197 \h </w:instrText>
        </w:r>
        <w:r w:rsidR="005F4C54" w:rsidRPr="005F4C54">
          <w:rPr>
            <w:b w:val="0"/>
            <w:noProof/>
            <w:webHidden/>
          </w:rPr>
        </w:r>
        <w:r w:rsidR="005F4C54" w:rsidRPr="005F4C54">
          <w:rPr>
            <w:b w:val="0"/>
            <w:noProof/>
            <w:webHidden/>
          </w:rPr>
          <w:fldChar w:fldCharType="separate"/>
        </w:r>
        <w:r w:rsidR="005F4C54" w:rsidRPr="005F4C54">
          <w:rPr>
            <w:b w:val="0"/>
            <w:noProof/>
            <w:webHidden/>
          </w:rPr>
          <w:t>12</w:t>
        </w:r>
        <w:r w:rsidR="005F4C54" w:rsidRPr="005F4C54">
          <w:rPr>
            <w:b w:val="0"/>
            <w:noProof/>
            <w:webHidden/>
          </w:rPr>
          <w:fldChar w:fldCharType="end"/>
        </w:r>
      </w:hyperlink>
    </w:p>
    <w:p w:rsidR="003D0231" w:rsidRDefault="008137D0" w:rsidP="00B438EE">
      <w:pPr>
        <w:pStyle w:val="Heading2"/>
      </w:pPr>
      <w:r w:rsidRPr="005F4C54">
        <w:rPr>
          <w:b w:val="0"/>
        </w:rPr>
        <w:fldChar w:fldCharType="end"/>
      </w:r>
    </w:p>
    <w:p w:rsidR="003D0231" w:rsidRDefault="003D0231" w:rsidP="003D0231">
      <w:pPr>
        <w:pStyle w:val="Num-DocParagraph"/>
      </w:pPr>
      <w:r>
        <w:br w:type="page"/>
      </w:r>
    </w:p>
    <w:p w:rsidR="003D0231" w:rsidRDefault="007E0F0D" w:rsidP="008137D0">
      <w:pPr>
        <w:pStyle w:val="Heading1"/>
      </w:pPr>
      <w:bookmarkStart w:id="0" w:name="_Toc433277191"/>
      <w:r>
        <w:lastRenderedPageBreak/>
        <w:t>S</w:t>
      </w:r>
      <w:r w:rsidR="009C7F84">
        <w:t>cope</w:t>
      </w:r>
      <w:r>
        <w:t xml:space="preserve"> </w:t>
      </w:r>
      <w:r w:rsidR="008137D0">
        <w:t>and definitions</w:t>
      </w:r>
      <w:bookmarkEnd w:id="0"/>
      <w:r w:rsidR="008137D0">
        <w:t xml:space="preserve"> </w:t>
      </w:r>
    </w:p>
    <w:p w:rsidR="008137D0" w:rsidRPr="008137D0" w:rsidRDefault="008137D0" w:rsidP="008137D0">
      <w:pPr>
        <w:pStyle w:val="Heading2"/>
      </w:pPr>
      <w:r>
        <w:t>Scope of the questionnaire</w:t>
      </w:r>
    </w:p>
    <w:p w:rsidR="003D0231" w:rsidRPr="0095787F" w:rsidRDefault="003D0231" w:rsidP="00D32BC9">
      <w:pPr>
        <w:pStyle w:val="ListParagraph"/>
        <w:numPr>
          <w:ilvl w:val="0"/>
          <w:numId w:val="2"/>
        </w:numPr>
      </w:pPr>
      <w:r w:rsidRPr="00D32BC9">
        <w:rPr>
          <w:b/>
        </w:rPr>
        <w:t>Table 1</w:t>
      </w:r>
      <w:r w:rsidRPr="0095787F">
        <w:t xml:space="preserve"> requests</w:t>
      </w:r>
      <w:r w:rsidR="003B0779">
        <w:t xml:space="preserve"> aggregate</w:t>
      </w:r>
      <w:r w:rsidRPr="0095787F">
        <w:t xml:space="preserve"> data on </w:t>
      </w:r>
      <w:r w:rsidR="00827D6C">
        <w:t xml:space="preserve">enterprises </w:t>
      </w:r>
      <w:r w:rsidRPr="0095787F">
        <w:t xml:space="preserve">held </w:t>
      </w:r>
      <w:r w:rsidR="00827D6C">
        <w:t>by</w:t>
      </w:r>
      <w:r w:rsidRPr="0095787F">
        <w:t xml:space="preserve"> the central level</w:t>
      </w:r>
      <w:r w:rsidR="00D32BC9">
        <w:t xml:space="preserve"> of government</w:t>
      </w:r>
      <w:r w:rsidR="00827D6C">
        <w:t xml:space="preserve"> (for the purpose of this exercise, “SOEs”</w:t>
      </w:r>
      <w:r w:rsidRPr="0095787F">
        <w:t xml:space="preserve">, </w:t>
      </w:r>
      <w:r w:rsidR="00144AB7">
        <w:t xml:space="preserve">a </w:t>
      </w:r>
      <w:r w:rsidRPr="0095787F">
        <w:t xml:space="preserve">breakdown by </w:t>
      </w:r>
      <w:r w:rsidR="00D32BC9">
        <w:t xml:space="preserve">corporate </w:t>
      </w:r>
      <w:r w:rsidRPr="0095787F">
        <w:t>form</w:t>
      </w:r>
      <w:r w:rsidR="004A7071">
        <w:t>, degree of state ownership</w:t>
      </w:r>
      <w:r w:rsidRPr="0095787F">
        <w:t xml:space="preserve"> and sectors of operation. </w:t>
      </w:r>
    </w:p>
    <w:p w:rsidR="0095787F" w:rsidRDefault="0095787F" w:rsidP="0095787F"/>
    <w:p w:rsidR="003D0231" w:rsidRPr="0095787F" w:rsidRDefault="003D0231" w:rsidP="00D32BC9">
      <w:pPr>
        <w:pStyle w:val="ListParagraph"/>
        <w:numPr>
          <w:ilvl w:val="0"/>
          <w:numId w:val="2"/>
        </w:numPr>
      </w:pPr>
      <w:r w:rsidRPr="00D32BC9">
        <w:rPr>
          <w:b/>
        </w:rPr>
        <w:t>Table 2</w:t>
      </w:r>
      <w:r w:rsidRPr="0095787F">
        <w:t xml:space="preserve"> requests aggregate data on enterprises </w:t>
      </w:r>
      <w:r w:rsidR="009C7F84">
        <w:t>held by</w:t>
      </w:r>
      <w:r w:rsidRPr="0095787F">
        <w:t xml:space="preserve"> the sub</w:t>
      </w:r>
      <w:r w:rsidR="00352423" w:rsidRPr="0095787F">
        <w:t>-</w:t>
      </w:r>
      <w:r w:rsidRPr="0095787F">
        <w:t>national level</w:t>
      </w:r>
      <w:r w:rsidR="009F5967">
        <w:t>(s)</w:t>
      </w:r>
      <w:r w:rsidR="009C7F84">
        <w:t xml:space="preserve"> of government</w:t>
      </w:r>
      <w:r w:rsidR="009F5967">
        <w:t xml:space="preserve"> (e.g. regional and municipal)</w:t>
      </w:r>
      <w:r w:rsidRPr="0095787F">
        <w:t xml:space="preserve">, if applicable. </w:t>
      </w:r>
      <w:r w:rsidR="005A3FCD" w:rsidRPr="0095787F">
        <w:t xml:space="preserve">While the </w:t>
      </w:r>
      <w:r w:rsidRPr="0095787F">
        <w:t xml:space="preserve">SOE Guidelines primarily focus on </w:t>
      </w:r>
      <w:r w:rsidR="009C7F84">
        <w:t>enterprises</w:t>
      </w:r>
      <w:r w:rsidR="003B0779">
        <w:t xml:space="preserve"> </w:t>
      </w:r>
      <w:r w:rsidRPr="0095787F">
        <w:t>under the purview of the central</w:t>
      </w:r>
      <w:r w:rsidR="003B0779">
        <w:t xml:space="preserve"> level of government</w:t>
      </w:r>
      <w:r w:rsidRPr="0095787F">
        <w:t xml:space="preserve">, a full picture of the </w:t>
      </w:r>
      <w:r w:rsidR="009C7F84">
        <w:t>government business sector</w:t>
      </w:r>
      <w:r w:rsidRPr="0095787F">
        <w:t xml:space="preserve"> requires at least an estimate of activi</w:t>
      </w:r>
      <w:r w:rsidR="009F5967">
        <w:t xml:space="preserve">ties at the sub-national level. </w:t>
      </w:r>
    </w:p>
    <w:p w:rsidR="0095787F" w:rsidRDefault="0095787F" w:rsidP="0095787F"/>
    <w:p w:rsidR="003D0231" w:rsidRPr="0095787F" w:rsidRDefault="003D0231" w:rsidP="00D32BC9">
      <w:pPr>
        <w:pStyle w:val="ListParagraph"/>
        <w:numPr>
          <w:ilvl w:val="0"/>
          <w:numId w:val="2"/>
        </w:numPr>
      </w:pPr>
      <w:r w:rsidRPr="004A7071">
        <w:rPr>
          <w:b/>
        </w:rPr>
        <w:t>Table 3</w:t>
      </w:r>
      <w:r w:rsidRPr="0095787F">
        <w:t xml:space="preserve"> requests a listing of majority or </w:t>
      </w:r>
      <w:r w:rsidR="00A87ABB">
        <w:t xml:space="preserve">minority </w:t>
      </w:r>
      <w:r w:rsidRPr="0095787F">
        <w:t xml:space="preserve">state-owned corporations </w:t>
      </w:r>
      <w:r w:rsidR="0012216D">
        <w:t>whose shares</w:t>
      </w:r>
      <w:r w:rsidRPr="0095787F">
        <w:t xml:space="preserve"> are listed on stock markets. Respondents are invited to take full recourse to available stock market data in filling out this part of the questionnaire.</w:t>
      </w:r>
    </w:p>
    <w:p w:rsidR="0095787F" w:rsidRDefault="0095787F" w:rsidP="0095787F"/>
    <w:p w:rsidR="003D0231" w:rsidRPr="0095787F" w:rsidRDefault="003D0231" w:rsidP="00231A95">
      <w:pPr>
        <w:pStyle w:val="ListParagraph"/>
        <w:numPr>
          <w:ilvl w:val="0"/>
          <w:numId w:val="2"/>
        </w:numPr>
      </w:pPr>
      <w:r w:rsidRPr="004A7071">
        <w:rPr>
          <w:b/>
        </w:rPr>
        <w:t>Table 4</w:t>
      </w:r>
      <w:r w:rsidRPr="0095787F">
        <w:t xml:space="preserve"> requests an overview of the country’s </w:t>
      </w:r>
      <w:r w:rsidR="004A7071">
        <w:t xml:space="preserve">largest </w:t>
      </w:r>
      <w:r w:rsidRPr="0095787F">
        <w:t>SOEs</w:t>
      </w:r>
      <w:r w:rsidR="004A7071">
        <w:t xml:space="preserve">, including their </w:t>
      </w:r>
      <w:r w:rsidR="00231A95">
        <w:t xml:space="preserve">size, </w:t>
      </w:r>
      <w:r w:rsidR="004A7071">
        <w:t>main activities, any subsidiaries</w:t>
      </w:r>
      <w:r w:rsidR="00231A95">
        <w:t xml:space="preserve"> and reporting on recent</w:t>
      </w:r>
      <w:r w:rsidR="00231A95" w:rsidRPr="00231A95">
        <w:t xml:space="preserve"> </w:t>
      </w:r>
      <w:r w:rsidR="00231A95">
        <w:t>material changes to their ownership and control structures.</w:t>
      </w:r>
      <w:r w:rsidR="007E3190">
        <w:t xml:space="preserve"> Criteria for inclusion are included in the relevant section. </w:t>
      </w:r>
      <w:r w:rsidR="00231A95">
        <w:t xml:space="preserve"> </w:t>
      </w:r>
    </w:p>
    <w:p w:rsidR="0095787F" w:rsidRDefault="0095787F" w:rsidP="0095787F"/>
    <w:p w:rsidR="003C640F" w:rsidRDefault="003C640F" w:rsidP="00D32BC9">
      <w:pPr>
        <w:pStyle w:val="ListParagraph"/>
        <w:numPr>
          <w:ilvl w:val="0"/>
          <w:numId w:val="2"/>
        </w:numPr>
      </w:pPr>
      <w:r w:rsidRPr="003C640F">
        <w:t xml:space="preserve">A </w:t>
      </w:r>
      <w:r w:rsidR="003D0231" w:rsidRPr="007E3190">
        <w:rPr>
          <w:b/>
        </w:rPr>
        <w:t>methodological note</w:t>
      </w:r>
      <w:r w:rsidR="003D0231" w:rsidRPr="0095787F">
        <w:t xml:space="preserve"> requests information on the methodology and definitions used to complete the tables. Respondents are invited to note any national specifics or data availability limitations which may have impacted their responses. </w:t>
      </w:r>
    </w:p>
    <w:p w:rsidR="003C640F" w:rsidRDefault="003C640F" w:rsidP="003C640F">
      <w:pPr>
        <w:pStyle w:val="ListParagraph"/>
      </w:pPr>
    </w:p>
    <w:p w:rsidR="003D0231" w:rsidRPr="0095787F" w:rsidRDefault="003C640F" w:rsidP="00D32BC9">
      <w:pPr>
        <w:pStyle w:val="ListParagraph"/>
        <w:numPr>
          <w:ilvl w:val="0"/>
          <w:numId w:val="2"/>
        </w:numPr>
      </w:pPr>
      <w:r w:rsidRPr="003C640F">
        <w:rPr>
          <w:b/>
        </w:rPr>
        <w:t>Annex 1</w:t>
      </w:r>
      <w:r>
        <w:t xml:space="preserve"> provides a definition of quasi-corporations according to the System of National Accounts (SNA)</w:t>
      </w:r>
      <w:r w:rsidR="003D0231" w:rsidRPr="0095787F">
        <w:t xml:space="preserve"> </w:t>
      </w:r>
      <w:r>
        <w:t xml:space="preserve">that respondents should refer to when determining which entities to include in the </w:t>
      </w:r>
      <w:r w:rsidR="009C7F84">
        <w:t xml:space="preserve">related </w:t>
      </w:r>
      <w:r>
        <w:t xml:space="preserve">reporting. </w:t>
      </w:r>
    </w:p>
    <w:p w:rsidR="003D0231" w:rsidRPr="00766DDD" w:rsidRDefault="003D0231" w:rsidP="008137D0">
      <w:pPr>
        <w:pStyle w:val="Heading2"/>
      </w:pPr>
      <w:r w:rsidRPr="00766DDD">
        <w:t>Timing of data</w:t>
      </w:r>
    </w:p>
    <w:p w:rsidR="003D0231" w:rsidRDefault="003D0231" w:rsidP="009C7F84">
      <w:pPr>
        <w:pStyle w:val="BodyText"/>
      </w:pPr>
      <w:r>
        <w:t xml:space="preserve">The information provided should be from </w:t>
      </w:r>
      <w:r w:rsidR="00054E3A">
        <w:t xml:space="preserve">the </w:t>
      </w:r>
      <w:r w:rsidR="005A3FCD">
        <w:t xml:space="preserve">end of the </w:t>
      </w:r>
      <w:r w:rsidR="00054E3A">
        <w:t xml:space="preserve">latest </w:t>
      </w:r>
      <w:r w:rsidR="00827D6C">
        <w:t xml:space="preserve">full </w:t>
      </w:r>
      <w:r w:rsidR="00054E3A">
        <w:t>year</w:t>
      </w:r>
      <w:r w:rsidR="00487EE9">
        <w:t xml:space="preserve"> (e.g. if the questionnaire is being completed in mid-201</w:t>
      </w:r>
      <w:r w:rsidR="00B90E75">
        <w:t>8</w:t>
      </w:r>
      <w:r w:rsidR="00487EE9">
        <w:t>, figures should relate to end</w:t>
      </w:r>
      <w:r w:rsidR="008E5962">
        <w:t>-</w:t>
      </w:r>
      <w:r w:rsidR="00487EE9">
        <w:t>201</w:t>
      </w:r>
      <w:r w:rsidR="00B90E75">
        <w:t>7</w:t>
      </w:r>
      <w:r w:rsidR="00487EE9">
        <w:t>)</w:t>
      </w:r>
      <w:bookmarkStart w:id="1" w:name="_GoBack"/>
      <w:bookmarkEnd w:id="1"/>
      <w:r>
        <w:t xml:space="preserve">. However, if this is not possible </w:t>
      </w:r>
      <w:r w:rsidR="008E5962">
        <w:t xml:space="preserve">– </w:t>
      </w:r>
      <w:r>
        <w:t xml:space="preserve">for example, some respondents may be constricted to reporting by financial years </w:t>
      </w:r>
      <w:r w:rsidR="008E5962">
        <w:t xml:space="preserve">– </w:t>
      </w:r>
      <w:r>
        <w:t xml:space="preserve">then respondents are asked to get as close to the desired dates as they can and clearly state in their reporting what cut-off dates have been applied. </w:t>
      </w:r>
      <w:r w:rsidR="005A3FCD">
        <w:t>For information on listed SOEs, r</w:t>
      </w:r>
      <w:r w:rsidRPr="00766DDD">
        <w:t>espondents should resist the temptation to provide stock market data “as fresh as possible”, since it jeopardises the comparability with the rest of the data set.</w:t>
      </w:r>
    </w:p>
    <w:p w:rsidR="003D0231" w:rsidRPr="00990A22" w:rsidRDefault="003D0231" w:rsidP="008137D0">
      <w:pPr>
        <w:pStyle w:val="Heading2"/>
      </w:pPr>
      <w:r w:rsidRPr="00990A22">
        <w:t>Definition of terms</w:t>
      </w:r>
    </w:p>
    <w:p w:rsidR="003D0231" w:rsidRPr="00962A85" w:rsidRDefault="003D0231" w:rsidP="003D0231">
      <w:pPr>
        <w:pStyle w:val="Heading3"/>
      </w:pPr>
      <w:r w:rsidRPr="00962A85">
        <w:t>State-</w:t>
      </w:r>
      <w:r w:rsidR="008E5962">
        <w:t>o</w:t>
      </w:r>
      <w:r w:rsidRPr="00962A85">
        <w:t xml:space="preserve">wned </w:t>
      </w:r>
      <w:r w:rsidR="008E5962">
        <w:t>e</w:t>
      </w:r>
      <w:r w:rsidRPr="00962A85">
        <w:t>nterprises</w:t>
      </w:r>
    </w:p>
    <w:p w:rsidR="003D0231" w:rsidRPr="00B211A8" w:rsidRDefault="003D0231" w:rsidP="009C7F84">
      <w:pPr>
        <w:pStyle w:val="BodyText"/>
      </w:pPr>
      <w:r w:rsidRPr="00E558EC">
        <w:rPr>
          <w:b/>
        </w:rPr>
        <w:t>State</w:t>
      </w:r>
      <w:r>
        <w:rPr>
          <w:b/>
        </w:rPr>
        <w:t>-</w:t>
      </w:r>
      <w:r w:rsidRPr="00E558EC">
        <w:rPr>
          <w:b/>
        </w:rPr>
        <w:t>owned enterprises (SOE</w:t>
      </w:r>
      <w:r>
        <w:rPr>
          <w:b/>
        </w:rPr>
        <w:t>s</w:t>
      </w:r>
      <w:r w:rsidRPr="00E558EC">
        <w:rPr>
          <w:b/>
        </w:rPr>
        <w:t>)</w:t>
      </w:r>
      <w:r>
        <w:rPr>
          <w:b/>
        </w:rPr>
        <w:t xml:space="preserve">, </w:t>
      </w:r>
      <w:r w:rsidRPr="0037128C">
        <w:t>as reported in this questionnaire</w:t>
      </w:r>
      <w:r>
        <w:t>, are understood to denote public corporations (as defined by the System of National Accounts – SNA) that are controlled</w:t>
      </w:r>
      <w:r w:rsidRPr="00B211A8">
        <w:t>, directly or via other government-controlled institutional units, by the central or federal level of government</w:t>
      </w:r>
      <w:r>
        <w:t>. “P</w:t>
      </w:r>
      <w:r w:rsidRPr="00B211A8">
        <w:t>ublic corporation</w:t>
      </w:r>
      <w:r>
        <w:t>”</w:t>
      </w:r>
      <w:r w:rsidRPr="00B211A8">
        <w:t xml:space="preserve"> is understood to denote any autonomous public entity involved in commercial activities</w:t>
      </w:r>
      <w:r>
        <w:t xml:space="preserve"> (not to be confused with publicly traded enterprises)</w:t>
      </w:r>
      <w:r w:rsidRPr="00B211A8">
        <w:t xml:space="preserve">. Respondents are asked to take full account of the following definition </w:t>
      </w:r>
      <w:r>
        <w:t>of “public corporation”, according to SNA</w:t>
      </w:r>
      <w:r w:rsidRPr="00B211A8">
        <w:t xml:space="preserve">: “To be classified as a public corporation, a corporation must be (1) controlled by </w:t>
      </w:r>
      <w:r>
        <w:t>another</w:t>
      </w:r>
      <w:r w:rsidRPr="00B211A8">
        <w:t xml:space="preserve"> public unit; and (2) it must be a market producer. Control is </w:t>
      </w:r>
      <w:r w:rsidRPr="00B211A8">
        <w:lastRenderedPageBreak/>
        <w:t xml:space="preserve">defined as the ability to determine the general policy or program of an institutional unit. The definition of being a ‘market producer’ depends on a separate assessment of whether or not </w:t>
      </w:r>
      <w:r>
        <w:t>the institutional unit charges ‘</w:t>
      </w:r>
      <w:r w:rsidRPr="00B211A8">
        <w:t xml:space="preserve">economically significant prices’.” </w:t>
      </w:r>
    </w:p>
    <w:p w:rsidR="003D0231" w:rsidRDefault="003D0231" w:rsidP="003D0231">
      <w:pPr>
        <w:pStyle w:val="Heading3"/>
      </w:pPr>
      <w:r>
        <w:t>Degree of ownership</w:t>
      </w:r>
      <w:r w:rsidRPr="0029270E">
        <w:t xml:space="preserve"> </w:t>
      </w:r>
    </w:p>
    <w:p w:rsidR="003D0231" w:rsidRDefault="003D0231" w:rsidP="0012216D">
      <w:pPr>
        <w:pStyle w:val="BodyText"/>
      </w:pPr>
      <w:r w:rsidRPr="00000DE0">
        <w:rPr>
          <w:b/>
          <w:bCs/>
        </w:rPr>
        <w:t>Majority</w:t>
      </w:r>
      <w:r>
        <w:rPr>
          <w:b/>
          <w:bCs/>
        </w:rPr>
        <w:t>-</w:t>
      </w:r>
      <w:r w:rsidRPr="00000DE0">
        <w:rPr>
          <w:b/>
          <w:bCs/>
        </w:rPr>
        <w:t>owned enterprises</w:t>
      </w:r>
      <w:r>
        <w:t xml:space="preserve"> will include all enterprises where the state owns more than 50 per cent of the shares or by other means holds effective control. Respondents are invited to follow the EU definition which effectively includes cases where the government: (i) holds the major part of the undertaking's subscribed capital; or (ii) controls the majority of the votes attaching to shares issued by the undertakings; or (iii) can appoint more than half of the members of the undertaking's administrative, managerial or supervisory body."  </w:t>
      </w:r>
    </w:p>
    <w:p w:rsidR="003D0231" w:rsidRPr="00766DDD" w:rsidRDefault="003D0231" w:rsidP="0012216D">
      <w:pPr>
        <w:pStyle w:val="BodyText"/>
      </w:pPr>
      <w:r w:rsidRPr="00766DDD">
        <w:rPr>
          <w:b/>
          <w:bCs/>
        </w:rPr>
        <w:t>Minority-owned enterprises</w:t>
      </w:r>
      <w:r w:rsidRPr="00766DDD">
        <w:t xml:space="preserve"> will include all those enterprises in which the state holds between 10 and 50 per cent of the ordinary share capital or voting rights (applying a similar definition as the above). All companies where the state holds a majority of shares or votes is seen as “controlled” and hence SOEs. Companies where the state holds between 10 and 50 percent of shares or votes are considered as</w:t>
      </w:r>
      <w:r w:rsidR="009F5967">
        <w:t xml:space="preserve"> partly state-owned enterprises</w:t>
      </w:r>
      <w:r w:rsidRPr="00766DDD">
        <w:t xml:space="preserve"> </w:t>
      </w:r>
      <w:r w:rsidR="009F5967">
        <w:t>(</w:t>
      </w:r>
      <w:r w:rsidRPr="00766DDD">
        <w:t>PSOEs</w:t>
      </w:r>
      <w:r w:rsidR="009F5967">
        <w:t>)</w:t>
      </w:r>
      <w:r w:rsidRPr="00766DDD">
        <w:t xml:space="preserve">. </w:t>
      </w:r>
    </w:p>
    <w:p w:rsidR="003D0231" w:rsidRPr="00766DDD" w:rsidRDefault="003D0231" w:rsidP="0012216D">
      <w:pPr>
        <w:pStyle w:val="BodyText"/>
      </w:pPr>
      <w:r w:rsidRPr="00766DDD">
        <w:t xml:space="preserve">Importantly, the above text about “another public unit” implies that the 50 and 10 per cent thresholds apply to direct as well as indirect shareholdings. For example, majority-owned subsidiaries of SOEs shall themselves be considered as SOEs. Furthermore, ownership shares should be consolidated across the state sector. For example, if a majority-state owned company itself owns 25 per cent of company X; and the state owns 30 per cent of company X; then the state ownership of company X shall be considered to be 55 per cent and it shall be considered as an SOE. </w:t>
      </w:r>
    </w:p>
    <w:p w:rsidR="003D0231" w:rsidRPr="00766DDD" w:rsidRDefault="003D0231" w:rsidP="0012216D">
      <w:pPr>
        <w:pStyle w:val="BodyText"/>
      </w:pPr>
      <w:r w:rsidRPr="00766DDD">
        <w:t xml:space="preserve">Enterprises in which the state and </w:t>
      </w:r>
      <w:r w:rsidR="009F5967">
        <w:t xml:space="preserve">sub-national </w:t>
      </w:r>
      <w:r w:rsidRPr="00766DDD">
        <w:t xml:space="preserve">levels of government jointly own the majority of shares may also – subject to the discretion of the questionnaire respondent – be reported as SOEs. A test of whether such enterprises should be considered as SOEs would be whether the state acts as a “sleeping partner” or uses its ownership share to exercise real influence. </w:t>
      </w:r>
    </w:p>
    <w:p w:rsidR="003D0231" w:rsidRDefault="005A427A" w:rsidP="003D0231">
      <w:pPr>
        <w:pStyle w:val="Heading3"/>
      </w:pPr>
      <w:r>
        <w:t xml:space="preserve">Corporate form </w:t>
      </w:r>
    </w:p>
    <w:p w:rsidR="003D0231" w:rsidRDefault="003D0231" w:rsidP="0012216D">
      <w:pPr>
        <w:pStyle w:val="BodyText"/>
      </w:pPr>
      <w:r>
        <w:t xml:space="preserve">The corporate forms of SOEs depend on national frameworks, and in providing a breakdown respondents are asked to exercise discretion. The questionnaire </w:t>
      </w:r>
      <w:r w:rsidR="009F5967">
        <w:t xml:space="preserve">uses </w:t>
      </w:r>
      <w:r>
        <w:t xml:space="preserve">four main categories of enterprises: listed enterprises, unlisted enterprises, statutory corporations and quasi-corporations (the latter two categories pooled in reporting). </w:t>
      </w:r>
      <w:r w:rsidR="005A427A" w:rsidRPr="00766DDD">
        <w:t xml:space="preserve">In countries which do not incorporate public corporations under general corporate law, but which have a comprehensive, generally-applicable law bearing on state-owned enterprises, </w:t>
      </w:r>
      <w:r w:rsidR="005A427A">
        <w:t xml:space="preserve">the </w:t>
      </w:r>
      <w:r w:rsidR="005A427A" w:rsidRPr="00766DDD">
        <w:t>companies that are subject to such laws should be reported as SOEs.</w:t>
      </w:r>
    </w:p>
    <w:p w:rsidR="003D0231" w:rsidRPr="00766DDD" w:rsidRDefault="003D0231" w:rsidP="0012216D">
      <w:pPr>
        <w:pStyle w:val="BodyText"/>
      </w:pPr>
      <w:r w:rsidRPr="0012216D">
        <w:rPr>
          <w:b/>
        </w:rPr>
        <w:t xml:space="preserve">Listed </w:t>
      </w:r>
      <w:r w:rsidR="0012216D" w:rsidRPr="0012216D">
        <w:rPr>
          <w:b/>
        </w:rPr>
        <w:t>enterprises</w:t>
      </w:r>
      <w:r w:rsidR="0012216D">
        <w:t xml:space="preserve"> </w:t>
      </w:r>
      <w:r w:rsidRPr="00766DDD">
        <w:t xml:space="preserve">are enterprises whose shares are quoted on a stock exchange or otherwise offered to the general public. </w:t>
      </w:r>
    </w:p>
    <w:p w:rsidR="003D0231" w:rsidRPr="00766DDD" w:rsidRDefault="003D0231" w:rsidP="0012216D">
      <w:pPr>
        <w:pStyle w:val="BodyText"/>
      </w:pPr>
      <w:r w:rsidRPr="0012216D">
        <w:rPr>
          <w:b/>
        </w:rPr>
        <w:t xml:space="preserve">Unlisted </w:t>
      </w:r>
      <w:r w:rsidR="0012216D">
        <w:rPr>
          <w:b/>
        </w:rPr>
        <w:t xml:space="preserve">SOEs </w:t>
      </w:r>
      <w:r w:rsidRPr="00766DDD">
        <w:t xml:space="preserve">are </w:t>
      </w:r>
      <w:r w:rsidR="0012216D">
        <w:t xml:space="preserve">SOEs </w:t>
      </w:r>
      <w:r w:rsidRPr="00766DDD">
        <w:t xml:space="preserve">whose shares are not publicly traded, but which are incorporated pursuant to general corporate law. </w:t>
      </w:r>
    </w:p>
    <w:p w:rsidR="003D0231" w:rsidRPr="00766DDD" w:rsidRDefault="003D0231" w:rsidP="0012216D">
      <w:pPr>
        <w:pStyle w:val="BodyText"/>
      </w:pPr>
      <w:r w:rsidRPr="005A427A">
        <w:rPr>
          <w:b/>
        </w:rPr>
        <w:t>Statutory corporations</w:t>
      </w:r>
      <w:r w:rsidRPr="00766DDD">
        <w:t xml:space="preserve"> are commercial entities operating subject to their own specific legal framework, outside general corporate law. </w:t>
      </w:r>
    </w:p>
    <w:p w:rsidR="003D0231" w:rsidRPr="005E241C" w:rsidRDefault="003D0231" w:rsidP="0012216D">
      <w:pPr>
        <w:pStyle w:val="BodyText"/>
      </w:pPr>
      <w:r w:rsidRPr="005A427A">
        <w:rPr>
          <w:b/>
        </w:rPr>
        <w:t>Quasi-corporations</w:t>
      </w:r>
      <w:r w:rsidRPr="005E241C">
        <w:t xml:space="preserve"> </w:t>
      </w:r>
      <w:r>
        <w:t xml:space="preserve">are </w:t>
      </w:r>
      <w:r w:rsidRPr="005E241C">
        <w:t>autonomous commercial activities carried out inside the general government sector without a specific legal framework</w:t>
      </w:r>
      <w:r>
        <w:t xml:space="preserve">. They charge economically significant prices and are ring-fenced from other parts of the public sector </w:t>
      </w:r>
      <w:r w:rsidRPr="00255C7A">
        <w:rPr>
          <w:i/>
        </w:rPr>
        <w:t>inter alia</w:t>
      </w:r>
      <w:r>
        <w:t xml:space="preserve"> by having separate assets and liabilities. </w:t>
      </w:r>
      <w:r w:rsidR="003C640F">
        <w:t xml:space="preserve">Annex 1 provides a full definition according to the System of National Accounts (SNA). </w:t>
      </w:r>
    </w:p>
    <w:p w:rsidR="003D0231" w:rsidRDefault="003D0231" w:rsidP="003D0231">
      <w:pPr>
        <w:pStyle w:val="Heading3"/>
      </w:pPr>
      <w:r>
        <w:t>Number of enterprises and valuation method</w:t>
      </w:r>
    </w:p>
    <w:p w:rsidR="003D0231" w:rsidRDefault="003D0231" w:rsidP="0012216D">
      <w:pPr>
        <w:pStyle w:val="BodyText"/>
      </w:pPr>
      <w:r>
        <w:t xml:space="preserve">The value of corporations should be reported on a </w:t>
      </w:r>
      <w:r w:rsidRPr="0050640B">
        <w:rPr>
          <w:b/>
        </w:rPr>
        <w:t>consolidated</w:t>
      </w:r>
      <w:r>
        <w:t xml:space="preserve"> basis: in the case of cascading ownership of companies, double counting should be eliminated; and if several public units are hold shares (directly or indirectly) in the same company then the ownership shares should be added together. </w:t>
      </w:r>
    </w:p>
    <w:p w:rsidR="003D0231" w:rsidRPr="00766DDD" w:rsidRDefault="003D0231" w:rsidP="0012216D">
      <w:pPr>
        <w:pStyle w:val="BodyText"/>
      </w:pPr>
      <w:r w:rsidRPr="00766DDD">
        <w:t xml:space="preserve">Valuation applies to the </w:t>
      </w:r>
      <w:r w:rsidRPr="00766DDD">
        <w:rPr>
          <w:b/>
        </w:rPr>
        <w:t>total value of a given corporation</w:t>
      </w:r>
      <w:r w:rsidRPr="00766DDD">
        <w:t xml:space="preserve"> – even if the public sector may not own 100% of its shares. If, for example, the state owns 55 per cent of a company with a value of US$ 5 billion then that company shall be considered as an SOE and its value reported as US$ 5 billion. The reporting unit is millions of national currency; in case of deviations, respondents should note this clearly.    </w:t>
      </w:r>
    </w:p>
    <w:p w:rsidR="003D0231" w:rsidRPr="00766DDD" w:rsidRDefault="003D0231" w:rsidP="0012216D">
      <w:pPr>
        <w:pStyle w:val="BodyText"/>
      </w:pPr>
      <w:r w:rsidRPr="00766DDD">
        <w:t xml:space="preserve">Corporate valuation ideally reflects enterprises’ market value. However, in recognition of the fact that many countries have market values only for listed companies the following methodology is proposed. In the case of listed companies, both the market capitalisation and the book equity value should be reported.  In the case of unlisted companies, the book equity value should be reported. Respondents that possess estimates of market value of unlisted SOEs are strongly encouraged also to report these.  </w:t>
      </w:r>
    </w:p>
    <w:p w:rsidR="003D0231" w:rsidRPr="00766DDD" w:rsidRDefault="003D0231" w:rsidP="0012216D">
      <w:pPr>
        <w:pStyle w:val="BodyText"/>
      </w:pPr>
      <w:r w:rsidRPr="00766DDD">
        <w:t>The number of state-owned enterprises is subject to a degree of discretion by the respondent. Subsidiaries of other companies that are purely “operational” and have no “independent corporate identity” should normally not be reported as individual enterprises. In practice this may imply an assessment about whether such companies engage in corporate activities that are materially different from those of their</w:t>
      </w:r>
      <w:r w:rsidR="00FF03CF">
        <w:t xml:space="preserve"> parent companies</w:t>
      </w:r>
      <w:r w:rsidRPr="00766DDD">
        <w:t xml:space="preserve">. </w:t>
      </w:r>
    </w:p>
    <w:p w:rsidR="003D0231" w:rsidRPr="005D1084" w:rsidRDefault="003D0231" w:rsidP="003D0231">
      <w:pPr>
        <w:pStyle w:val="BodyText"/>
      </w:pPr>
      <w:r w:rsidRPr="00D9232C">
        <w:t xml:space="preserve"> </w:t>
      </w:r>
    </w:p>
    <w:p w:rsidR="003D0231" w:rsidRPr="00000DE0" w:rsidRDefault="003D0231" w:rsidP="003D0231">
      <w:pPr>
        <w:pStyle w:val="BodyText"/>
        <w:rPr>
          <w:lang w:val="en-US"/>
        </w:rPr>
      </w:pPr>
      <w:r w:rsidRPr="00000DE0">
        <w:rPr>
          <w:lang w:val="en-US"/>
        </w:rPr>
        <w:t xml:space="preserve"> </w:t>
      </w:r>
    </w:p>
    <w:p w:rsidR="003D0231" w:rsidRPr="00842B3D" w:rsidRDefault="003D0231" w:rsidP="003D0231">
      <w:pPr>
        <w:pStyle w:val="BodyText"/>
        <w:rPr>
          <w:lang w:val="en-US"/>
        </w:rPr>
      </w:pPr>
    </w:p>
    <w:p w:rsidR="003D0231" w:rsidRDefault="003D0231" w:rsidP="003D0231">
      <w:pPr>
        <w:pStyle w:val="Num-DocParagraph"/>
        <w:rPr>
          <w:kern w:val="28"/>
        </w:rPr>
      </w:pPr>
      <w:r>
        <w:br w:type="page"/>
      </w:r>
    </w:p>
    <w:p w:rsidR="003D0231" w:rsidRDefault="003D0231" w:rsidP="003D0231">
      <w:pPr>
        <w:pStyle w:val="TableTitle"/>
        <w:sectPr w:rsidR="003D0231" w:rsidSect="00C34EE7">
          <w:footerReference w:type="even" r:id="rId9"/>
          <w:footerReference w:type="default" r:id="rId10"/>
          <w:endnotePr>
            <w:numFmt w:val="decimal"/>
          </w:endnotePr>
          <w:pgSz w:w="11906" w:h="16838"/>
          <w:pgMar w:top="1984" w:right="1247" w:bottom="1814" w:left="1191" w:header="1247" w:footer="1247" w:gutter="0"/>
          <w:cols w:space="720"/>
          <w:docGrid w:linePitch="299"/>
        </w:sectPr>
      </w:pPr>
    </w:p>
    <w:p w:rsidR="003D0231" w:rsidRPr="004C16F3" w:rsidRDefault="003D0231" w:rsidP="0019106C">
      <w:pPr>
        <w:pStyle w:val="Heading1"/>
        <w:spacing w:before="360" w:after="360"/>
      </w:pPr>
      <w:r>
        <w:fldChar w:fldCharType="begin"/>
      </w:r>
      <w:r>
        <w:instrText xml:space="preserve"> MACROBUTTON NUMBERING </w:instrText>
      </w:r>
      <w:r>
        <w:fldChar w:fldCharType="begin"/>
      </w:r>
      <w:r>
        <w:instrText xml:space="preserve"> SEQ  cpara \h \r 0</w:instrText>
      </w:r>
      <w:r>
        <w:fldChar w:fldCharType="end"/>
      </w:r>
      <w:r>
        <w:fldChar w:fldCharType="begin"/>
      </w:r>
      <w:r>
        <w:instrText xml:space="preserve"> SEQ  ccount \h</w:instrText>
      </w:r>
      <w:r>
        <w:fldChar w:fldCharType="end"/>
      </w:r>
      <w:bookmarkStart w:id="2" w:name="_Toc433277192"/>
      <w:r>
        <w:fldChar w:fldCharType="end"/>
      </w:r>
      <w:r>
        <w:t>T</w:t>
      </w:r>
      <w:r w:rsidR="008137D0">
        <w:t>able</w:t>
      </w:r>
      <w:r>
        <w:t xml:space="preserve"> 1: A</w:t>
      </w:r>
      <w:r w:rsidR="008137D0">
        <w:t>ggregate data on state-owned enterprises held at the central</w:t>
      </w:r>
      <w:r w:rsidR="009C7F84">
        <w:t xml:space="preserve"> </w:t>
      </w:r>
      <w:r w:rsidR="008137D0">
        <w:t>level</w:t>
      </w:r>
      <w:r w:rsidR="009C7F84">
        <w:t xml:space="preserve"> of government</w:t>
      </w:r>
      <w:r>
        <w:rPr>
          <w:rStyle w:val="FootnoteReference"/>
        </w:rPr>
        <w:footnoteReference w:id="1"/>
      </w:r>
      <w:bookmarkEnd w:id="2"/>
      <w:r>
        <w:t xml:space="preserve">  </w:t>
      </w:r>
    </w:p>
    <w:tbl>
      <w:tblPr>
        <w:tblW w:w="15847"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0"/>
        <w:gridCol w:w="1134"/>
        <w:gridCol w:w="1134"/>
        <w:gridCol w:w="851"/>
        <w:gridCol w:w="709"/>
        <w:gridCol w:w="1134"/>
        <w:gridCol w:w="1134"/>
        <w:gridCol w:w="850"/>
        <w:gridCol w:w="709"/>
        <w:gridCol w:w="1082"/>
        <w:gridCol w:w="1080"/>
        <w:gridCol w:w="1170"/>
        <w:gridCol w:w="1080"/>
        <w:gridCol w:w="1170"/>
        <w:gridCol w:w="1170"/>
      </w:tblGrid>
      <w:tr w:rsidR="003D0231" w:rsidRPr="00797419" w:rsidTr="00B438EE">
        <w:tc>
          <w:tcPr>
            <w:tcW w:w="1440" w:type="dxa"/>
            <w:vAlign w:val="center"/>
          </w:tcPr>
          <w:p w:rsidR="003D0231" w:rsidRPr="00797419" w:rsidRDefault="003D0231" w:rsidP="00C34EE7">
            <w:pPr>
              <w:jc w:val="center"/>
              <w:rPr>
                <w:b/>
                <w:sz w:val="16"/>
                <w:szCs w:val="16"/>
              </w:rPr>
            </w:pPr>
          </w:p>
        </w:tc>
        <w:tc>
          <w:tcPr>
            <w:tcW w:w="3828" w:type="dxa"/>
            <w:gridSpan w:val="4"/>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Majority-owned listed entities</w:t>
            </w:r>
          </w:p>
        </w:tc>
        <w:tc>
          <w:tcPr>
            <w:tcW w:w="3827" w:type="dxa"/>
            <w:gridSpan w:val="4"/>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Minority-owned listed entities</w:t>
            </w:r>
            <w:r w:rsidR="009F5967">
              <w:rPr>
                <w:rFonts w:ascii="Times New Roman" w:hAnsi="Times New Roman" w:cs="Times New Roman"/>
                <w:b/>
                <w:bCs/>
                <w:sz w:val="16"/>
                <w:szCs w:val="16"/>
              </w:rPr>
              <w:t xml:space="preserve"> (PSOEs)</w:t>
            </w:r>
          </w:p>
        </w:tc>
        <w:tc>
          <w:tcPr>
            <w:tcW w:w="3332" w:type="dxa"/>
            <w:gridSpan w:val="3"/>
            <w:vAlign w:val="center"/>
          </w:tcPr>
          <w:p w:rsidR="003D0231" w:rsidRPr="00797419" w:rsidRDefault="003D0231" w:rsidP="009F596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 xml:space="preserve">Majority owned </w:t>
            </w:r>
            <w:r w:rsidR="009F5967">
              <w:rPr>
                <w:rFonts w:ascii="Times New Roman" w:hAnsi="Times New Roman" w:cs="Times New Roman"/>
                <w:b/>
                <w:bCs/>
                <w:sz w:val="16"/>
                <w:szCs w:val="16"/>
              </w:rPr>
              <w:t>un</w:t>
            </w:r>
            <w:r w:rsidRPr="00797419">
              <w:rPr>
                <w:rFonts w:ascii="Times New Roman" w:hAnsi="Times New Roman" w:cs="Times New Roman"/>
                <w:b/>
                <w:bCs/>
                <w:sz w:val="16"/>
                <w:szCs w:val="16"/>
              </w:rPr>
              <w:t>listed enterprises</w:t>
            </w:r>
          </w:p>
        </w:tc>
        <w:tc>
          <w:tcPr>
            <w:tcW w:w="3420" w:type="dxa"/>
            <w:gridSpan w:val="3"/>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Statutory corporations and quasi-corporations</w:t>
            </w:r>
          </w:p>
        </w:tc>
      </w:tr>
      <w:tr w:rsidR="003D0231" w:rsidRPr="00797419" w:rsidTr="00B438EE">
        <w:trPr>
          <w:trHeight w:val="308"/>
        </w:trPr>
        <w:tc>
          <w:tcPr>
            <w:tcW w:w="1440" w:type="dxa"/>
            <w:vMerge w:val="restart"/>
            <w:vAlign w:val="center"/>
          </w:tcPr>
          <w:p w:rsidR="003D0231" w:rsidRPr="00797419" w:rsidRDefault="003D0231" w:rsidP="00C34EE7">
            <w:pPr>
              <w:pStyle w:val="ColumnsHeading"/>
              <w:rPr>
                <w:rFonts w:ascii="Times New Roman" w:hAnsi="Times New Roman" w:cs="Times New Roman"/>
                <w:sz w:val="16"/>
                <w:szCs w:val="16"/>
              </w:rPr>
            </w:pPr>
            <w:r w:rsidRPr="00797419">
              <w:rPr>
                <w:rFonts w:ascii="Times New Roman" w:hAnsi="Times New Roman" w:cs="Times New Roman"/>
                <w:sz w:val="16"/>
                <w:szCs w:val="16"/>
              </w:rPr>
              <w:t xml:space="preserve"> </w:t>
            </w:r>
          </w:p>
        </w:tc>
        <w:tc>
          <w:tcPr>
            <w:tcW w:w="1134"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enterprises</w:t>
            </w:r>
          </w:p>
        </w:tc>
        <w:tc>
          <w:tcPr>
            <w:tcW w:w="1134"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employees</w:t>
            </w:r>
          </w:p>
        </w:tc>
        <w:tc>
          <w:tcPr>
            <w:tcW w:w="1560" w:type="dxa"/>
            <w:gridSpan w:val="2"/>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Value of enterprises</w:t>
            </w:r>
            <w:r w:rsidR="0019106C">
              <w:rPr>
                <w:rFonts w:ascii="Times New Roman" w:hAnsi="Times New Roman" w:cs="Times New Roman"/>
                <w:b/>
                <w:bCs/>
                <w:sz w:val="16"/>
                <w:szCs w:val="16"/>
              </w:rPr>
              <w:t xml:space="preserve"> (USD mn)</w:t>
            </w:r>
          </w:p>
        </w:tc>
        <w:tc>
          <w:tcPr>
            <w:tcW w:w="1134"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enterprises</w:t>
            </w:r>
          </w:p>
        </w:tc>
        <w:tc>
          <w:tcPr>
            <w:tcW w:w="1134"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employees</w:t>
            </w:r>
          </w:p>
        </w:tc>
        <w:tc>
          <w:tcPr>
            <w:tcW w:w="1559" w:type="dxa"/>
            <w:gridSpan w:val="2"/>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Value of enterprises</w:t>
            </w:r>
            <w:r w:rsidR="0019106C">
              <w:rPr>
                <w:rFonts w:ascii="Times New Roman" w:hAnsi="Times New Roman" w:cs="Times New Roman"/>
                <w:b/>
                <w:bCs/>
                <w:sz w:val="16"/>
                <w:szCs w:val="16"/>
              </w:rPr>
              <w:t xml:space="preserve"> (USD mn)</w:t>
            </w:r>
          </w:p>
        </w:tc>
        <w:tc>
          <w:tcPr>
            <w:tcW w:w="1082"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enterprises</w:t>
            </w:r>
          </w:p>
        </w:tc>
        <w:tc>
          <w:tcPr>
            <w:tcW w:w="1080"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employees</w:t>
            </w:r>
          </w:p>
        </w:tc>
        <w:tc>
          <w:tcPr>
            <w:tcW w:w="1170"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Value of enterprises</w:t>
            </w:r>
            <w:r w:rsidR="0019106C">
              <w:rPr>
                <w:rFonts w:ascii="Times New Roman" w:hAnsi="Times New Roman" w:cs="Times New Roman"/>
                <w:b/>
                <w:bCs/>
                <w:sz w:val="16"/>
                <w:szCs w:val="16"/>
              </w:rPr>
              <w:t xml:space="preserve"> (USD mn)</w:t>
            </w:r>
            <w:r w:rsidRPr="00797419">
              <w:rPr>
                <w:rStyle w:val="FootnoteReference"/>
                <w:rFonts w:ascii="Times New Roman" w:hAnsi="Times New Roman" w:cs="Times New Roman"/>
                <w:b/>
                <w:bCs/>
                <w:sz w:val="16"/>
                <w:szCs w:val="16"/>
              </w:rPr>
              <w:footnoteReference w:id="2"/>
            </w:r>
          </w:p>
        </w:tc>
        <w:tc>
          <w:tcPr>
            <w:tcW w:w="1080"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enterprises</w:t>
            </w:r>
          </w:p>
        </w:tc>
        <w:tc>
          <w:tcPr>
            <w:tcW w:w="1170"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Number of employees</w:t>
            </w:r>
          </w:p>
        </w:tc>
        <w:tc>
          <w:tcPr>
            <w:tcW w:w="1170"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Value of enterprises</w:t>
            </w:r>
            <w:r w:rsidR="0019106C">
              <w:rPr>
                <w:rFonts w:ascii="Times New Roman" w:hAnsi="Times New Roman" w:cs="Times New Roman"/>
                <w:b/>
                <w:bCs/>
                <w:sz w:val="16"/>
                <w:szCs w:val="16"/>
              </w:rPr>
              <w:t xml:space="preserve"> (USD mn)</w:t>
            </w:r>
            <w:r w:rsidRPr="00797419">
              <w:rPr>
                <w:rFonts w:ascii="Times New Roman" w:hAnsi="Times New Roman" w:cs="Times New Roman"/>
                <w:b/>
                <w:bCs/>
                <w:sz w:val="16"/>
                <w:szCs w:val="16"/>
                <w:vertAlign w:val="superscript"/>
              </w:rPr>
              <w:t>2</w:t>
            </w:r>
          </w:p>
        </w:tc>
      </w:tr>
      <w:tr w:rsidR="003D0231" w:rsidRPr="00797419" w:rsidTr="00B438EE">
        <w:trPr>
          <w:trHeight w:val="307"/>
        </w:trPr>
        <w:tc>
          <w:tcPr>
            <w:tcW w:w="1440" w:type="dxa"/>
            <w:vMerge/>
            <w:vAlign w:val="center"/>
          </w:tcPr>
          <w:p w:rsidR="003D0231" w:rsidRPr="00797419" w:rsidRDefault="003D0231" w:rsidP="00C34EE7">
            <w:pPr>
              <w:pStyle w:val="ColumnsHeading"/>
              <w:rPr>
                <w:rFonts w:ascii="Times New Roman" w:hAnsi="Times New Roman" w:cs="Times New Roman"/>
                <w:sz w:val="16"/>
                <w:szCs w:val="16"/>
              </w:rPr>
            </w:pPr>
          </w:p>
        </w:tc>
        <w:tc>
          <w:tcPr>
            <w:tcW w:w="1134" w:type="dxa"/>
            <w:vMerge/>
            <w:vAlign w:val="center"/>
          </w:tcPr>
          <w:p w:rsidR="003D0231" w:rsidRPr="00797419" w:rsidRDefault="003D0231" w:rsidP="00C34EE7">
            <w:pPr>
              <w:pStyle w:val="ColumnsHeading"/>
              <w:rPr>
                <w:rFonts w:ascii="Times New Roman" w:hAnsi="Times New Roman" w:cs="Times New Roman"/>
                <w:b/>
                <w:bCs/>
                <w:sz w:val="16"/>
                <w:szCs w:val="16"/>
              </w:rPr>
            </w:pPr>
          </w:p>
        </w:tc>
        <w:tc>
          <w:tcPr>
            <w:tcW w:w="1134" w:type="dxa"/>
            <w:vMerge/>
            <w:vAlign w:val="center"/>
          </w:tcPr>
          <w:p w:rsidR="003D0231" w:rsidRPr="00797419" w:rsidRDefault="003D0231" w:rsidP="00C34EE7">
            <w:pPr>
              <w:pStyle w:val="ColumnsHeading"/>
              <w:rPr>
                <w:rFonts w:ascii="Times New Roman" w:hAnsi="Times New Roman" w:cs="Times New Roman"/>
                <w:b/>
                <w:bCs/>
                <w:sz w:val="16"/>
                <w:szCs w:val="16"/>
              </w:rPr>
            </w:pPr>
          </w:p>
        </w:tc>
        <w:tc>
          <w:tcPr>
            <w:tcW w:w="851" w:type="dxa"/>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Market</w:t>
            </w:r>
          </w:p>
        </w:tc>
        <w:tc>
          <w:tcPr>
            <w:tcW w:w="709" w:type="dxa"/>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Book equity</w:t>
            </w:r>
          </w:p>
        </w:tc>
        <w:tc>
          <w:tcPr>
            <w:tcW w:w="1134" w:type="dxa"/>
            <w:vMerge/>
            <w:vAlign w:val="center"/>
          </w:tcPr>
          <w:p w:rsidR="003D0231" w:rsidRPr="00797419" w:rsidRDefault="003D0231" w:rsidP="00C34EE7">
            <w:pPr>
              <w:pStyle w:val="ColumnsHeading"/>
              <w:rPr>
                <w:rFonts w:ascii="Times New Roman" w:hAnsi="Times New Roman" w:cs="Times New Roman"/>
                <w:b/>
                <w:bCs/>
                <w:sz w:val="16"/>
                <w:szCs w:val="16"/>
              </w:rPr>
            </w:pPr>
          </w:p>
        </w:tc>
        <w:tc>
          <w:tcPr>
            <w:tcW w:w="1134" w:type="dxa"/>
            <w:vMerge/>
            <w:vAlign w:val="center"/>
          </w:tcPr>
          <w:p w:rsidR="003D0231" w:rsidRPr="00797419" w:rsidRDefault="003D0231" w:rsidP="00C34EE7">
            <w:pPr>
              <w:pStyle w:val="ColumnsHeading"/>
              <w:rPr>
                <w:rFonts w:ascii="Times New Roman" w:hAnsi="Times New Roman" w:cs="Times New Roman"/>
                <w:b/>
                <w:bCs/>
                <w:sz w:val="16"/>
                <w:szCs w:val="16"/>
              </w:rPr>
            </w:pPr>
          </w:p>
        </w:tc>
        <w:tc>
          <w:tcPr>
            <w:tcW w:w="850" w:type="dxa"/>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Market</w:t>
            </w:r>
          </w:p>
        </w:tc>
        <w:tc>
          <w:tcPr>
            <w:tcW w:w="709" w:type="dxa"/>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Book equity</w:t>
            </w:r>
          </w:p>
        </w:tc>
        <w:tc>
          <w:tcPr>
            <w:tcW w:w="1082" w:type="dxa"/>
            <w:vMerge/>
            <w:vAlign w:val="center"/>
          </w:tcPr>
          <w:p w:rsidR="003D0231" w:rsidRPr="00797419" w:rsidRDefault="003D0231" w:rsidP="00C34EE7">
            <w:pPr>
              <w:jc w:val="center"/>
              <w:rPr>
                <w:b/>
                <w:bCs/>
                <w:sz w:val="16"/>
                <w:szCs w:val="16"/>
              </w:rPr>
            </w:pPr>
          </w:p>
        </w:tc>
        <w:tc>
          <w:tcPr>
            <w:tcW w:w="1080" w:type="dxa"/>
            <w:vMerge/>
            <w:vAlign w:val="center"/>
          </w:tcPr>
          <w:p w:rsidR="003D0231" w:rsidRPr="00797419" w:rsidRDefault="003D0231" w:rsidP="00C34EE7">
            <w:pPr>
              <w:jc w:val="center"/>
              <w:rPr>
                <w:b/>
                <w:bCs/>
                <w:sz w:val="16"/>
                <w:szCs w:val="16"/>
              </w:rPr>
            </w:pPr>
          </w:p>
        </w:tc>
        <w:tc>
          <w:tcPr>
            <w:tcW w:w="1170" w:type="dxa"/>
            <w:vMerge/>
            <w:vAlign w:val="center"/>
          </w:tcPr>
          <w:p w:rsidR="003D0231" w:rsidRPr="00797419" w:rsidRDefault="003D0231" w:rsidP="00C34EE7">
            <w:pPr>
              <w:jc w:val="center"/>
              <w:rPr>
                <w:b/>
                <w:bCs/>
                <w:sz w:val="16"/>
                <w:szCs w:val="16"/>
              </w:rPr>
            </w:pPr>
          </w:p>
        </w:tc>
        <w:tc>
          <w:tcPr>
            <w:tcW w:w="1080" w:type="dxa"/>
            <w:vMerge/>
            <w:vAlign w:val="center"/>
          </w:tcPr>
          <w:p w:rsidR="003D0231" w:rsidRPr="00797419" w:rsidRDefault="003D0231" w:rsidP="00C34EE7">
            <w:pPr>
              <w:jc w:val="center"/>
              <w:rPr>
                <w:b/>
                <w:bCs/>
                <w:sz w:val="16"/>
                <w:szCs w:val="16"/>
              </w:rPr>
            </w:pPr>
          </w:p>
        </w:tc>
        <w:tc>
          <w:tcPr>
            <w:tcW w:w="1170" w:type="dxa"/>
            <w:vMerge/>
            <w:vAlign w:val="center"/>
          </w:tcPr>
          <w:p w:rsidR="003D0231" w:rsidRPr="00797419" w:rsidRDefault="003D0231" w:rsidP="00C34EE7">
            <w:pPr>
              <w:jc w:val="center"/>
              <w:rPr>
                <w:b/>
                <w:bCs/>
                <w:sz w:val="16"/>
                <w:szCs w:val="16"/>
              </w:rPr>
            </w:pPr>
          </w:p>
        </w:tc>
        <w:tc>
          <w:tcPr>
            <w:tcW w:w="1170" w:type="dxa"/>
            <w:vMerge/>
            <w:vAlign w:val="center"/>
          </w:tcPr>
          <w:p w:rsidR="003D0231" w:rsidRPr="00797419" w:rsidRDefault="003D0231" w:rsidP="00C34EE7">
            <w:pPr>
              <w:jc w:val="center"/>
              <w:rPr>
                <w:b/>
                <w:bCs/>
                <w:sz w:val="16"/>
                <w:szCs w:val="16"/>
              </w:rPr>
            </w:pPr>
          </w:p>
        </w:tc>
      </w:tr>
      <w:tr w:rsidR="00231A95" w:rsidRPr="00797419" w:rsidTr="00B438EE">
        <w:trPr>
          <w:trHeight w:val="343"/>
        </w:trPr>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Primary sectors</w:t>
            </w:r>
            <w:r w:rsidRPr="00797419">
              <w:rPr>
                <w:rStyle w:val="FootnoteReference"/>
                <w:rFonts w:ascii="Times New Roman" w:hAnsi="Times New Roman" w:cs="Times New Roman"/>
                <w:sz w:val="16"/>
                <w:szCs w:val="16"/>
              </w:rPr>
              <w:footnoteReference w:id="3"/>
            </w:r>
            <w:r w:rsidRPr="00797419">
              <w:rPr>
                <w:rFonts w:ascii="Times New Roman" w:hAnsi="Times New Roman" w:cs="Times New Roman"/>
                <w:sz w:val="16"/>
                <w:szCs w:val="16"/>
              </w:rPr>
              <w:t xml:space="preserve">  </w:t>
            </w:r>
          </w:p>
        </w:tc>
        <w:tc>
          <w:tcPr>
            <w:tcW w:w="1134" w:type="dxa"/>
            <w:vAlign w:val="center"/>
          </w:tcPr>
          <w:p w:rsidR="00231A95" w:rsidRPr="00797419" w:rsidRDefault="00231A95" w:rsidP="00C34EE7">
            <w:pPr>
              <w:spacing w:before="120" w:after="120"/>
              <w:rPr>
                <w:b/>
                <w:bCs/>
                <w:sz w:val="16"/>
                <w:szCs w:val="16"/>
              </w:rPr>
            </w:pPr>
          </w:p>
        </w:tc>
        <w:tc>
          <w:tcPr>
            <w:tcW w:w="1134" w:type="dxa"/>
            <w:vAlign w:val="center"/>
          </w:tcPr>
          <w:p w:rsidR="00231A95" w:rsidRPr="00797419" w:rsidRDefault="00231A95" w:rsidP="00C34EE7">
            <w:pPr>
              <w:spacing w:before="120" w:after="120"/>
              <w:rPr>
                <w:b/>
                <w:bCs/>
                <w:sz w:val="16"/>
                <w:szCs w:val="16"/>
              </w:rPr>
            </w:pPr>
          </w:p>
        </w:tc>
        <w:tc>
          <w:tcPr>
            <w:tcW w:w="851" w:type="dxa"/>
            <w:vAlign w:val="center"/>
          </w:tcPr>
          <w:p w:rsidR="00231A95" w:rsidRPr="00797419" w:rsidRDefault="00231A95" w:rsidP="00C34EE7">
            <w:pPr>
              <w:spacing w:before="120" w:after="120"/>
              <w:rPr>
                <w:b/>
                <w:bCs/>
                <w:sz w:val="16"/>
                <w:szCs w:val="16"/>
              </w:rPr>
            </w:pPr>
          </w:p>
        </w:tc>
        <w:tc>
          <w:tcPr>
            <w:tcW w:w="709" w:type="dxa"/>
            <w:vAlign w:val="center"/>
          </w:tcPr>
          <w:p w:rsidR="00231A95" w:rsidRPr="00797419" w:rsidRDefault="00231A95" w:rsidP="00C34EE7">
            <w:pPr>
              <w:spacing w:before="120" w:after="120"/>
              <w:rPr>
                <w:b/>
                <w:bCs/>
                <w:sz w:val="16"/>
                <w:szCs w:val="16"/>
              </w:rPr>
            </w:pPr>
          </w:p>
        </w:tc>
        <w:tc>
          <w:tcPr>
            <w:tcW w:w="1134" w:type="dxa"/>
            <w:vAlign w:val="center"/>
          </w:tcPr>
          <w:p w:rsidR="00231A95" w:rsidRPr="00797419" w:rsidRDefault="00231A95" w:rsidP="00C34EE7">
            <w:pPr>
              <w:spacing w:before="120" w:after="120"/>
              <w:rPr>
                <w:b/>
                <w:bCs/>
                <w:sz w:val="16"/>
                <w:szCs w:val="16"/>
              </w:rPr>
            </w:pPr>
          </w:p>
        </w:tc>
        <w:tc>
          <w:tcPr>
            <w:tcW w:w="1134" w:type="dxa"/>
            <w:vAlign w:val="center"/>
          </w:tcPr>
          <w:p w:rsidR="00231A95" w:rsidRPr="00797419" w:rsidRDefault="00231A95" w:rsidP="00C34EE7">
            <w:pPr>
              <w:spacing w:before="120" w:after="120"/>
              <w:rPr>
                <w:b/>
                <w:bCs/>
                <w:sz w:val="16"/>
                <w:szCs w:val="16"/>
              </w:rPr>
            </w:pPr>
          </w:p>
        </w:tc>
        <w:tc>
          <w:tcPr>
            <w:tcW w:w="850" w:type="dxa"/>
            <w:vAlign w:val="center"/>
          </w:tcPr>
          <w:p w:rsidR="00231A95" w:rsidRPr="00797419" w:rsidRDefault="00231A95" w:rsidP="00C34EE7">
            <w:pPr>
              <w:spacing w:before="120" w:after="120"/>
              <w:rPr>
                <w:b/>
                <w:bCs/>
                <w:sz w:val="16"/>
                <w:szCs w:val="16"/>
              </w:rPr>
            </w:pPr>
          </w:p>
        </w:tc>
        <w:tc>
          <w:tcPr>
            <w:tcW w:w="709" w:type="dxa"/>
            <w:vAlign w:val="center"/>
          </w:tcPr>
          <w:p w:rsidR="00231A95" w:rsidRPr="00797419" w:rsidRDefault="00231A95" w:rsidP="00C34EE7">
            <w:pPr>
              <w:spacing w:before="120" w:after="120"/>
              <w:rPr>
                <w:b/>
                <w:bCs/>
                <w:sz w:val="16"/>
                <w:szCs w:val="16"/>
              </w:rPr>
            </w:pPr>
          </w:p>
        </w:tc>
        <w:tc>
          <w:tcPr>
            <w:tcW w:w="1082" w:type="dxa"/>
            <w:vAlign w:val="center"/>
          </w:tcPr>
          <w:p w:rsidR="00231A95" w:rsidRPr="00797419" w:rsidRDefault="00231A95" w:rsidP="00C34EE7">
            <w:pPr>
              <w:spacing w:before="120" w:after="120"/>
              <w:rPr>
                <w:b/>
                <w:bCs/>
                <w:sz w:val="16"/>
                <w:szCs w:val="16"/>
              </w:rPr>
            </w:pPr>
          </w:p>
        </w:tc>
        <w:tc>
          <w:tcPr>
            <w:tcW w:w="1080" w:type="dxa"/>
            <w:vAlign w:val="center"/>
          </w:tcPr>
          <w:p w:rsidR="00231A95" w:rsidRPr="00797419" w:rsidRDefault="00231A95" w:rsidP="00C34EE7">
            <w:pPr>
              <w:spacing w:before="120" w:after="120"/>
              <w:rPr>
                <w:b/>
                <w:bCs/>
                <w:sz w:val="16"/>
                <w:szCs w:val="16"/>
              </w:rPr>
            </w:pPr>
          </w:p>
        </w:tc>
        <w:tc>
          <w:tcPr>
            <w:tcW w:w="1170" w:type="dxa"/>
            <w:vAlign w:val="center"/>
          </w:tcPr>
          <w:p w:rsidR="00231A95" w:rsidRPr="00797419" w:rsidRDefault="00231A95" w:rsidP="00C34EE7">
            <w:pPr>
              <w:spacing w:before="120" w:after="120"/>
              <w:rPr>
                <w:b/>
                <w:bCs/>
                <w:sz w:val="16"/>
                <w:szCs w:val="16"/>
              </w:rPr>
            </w:pPr>
          </w:p>
        </w:tc>
        <w:tc>
          <w:tcPr>
            <w:tcW w:w="1080" w:type="dxa"/>
            <w:vAlign w:val="center"/>
          </w:tcPr>
          <w:p w:rsidR="00231A95" w:rsidRPr="00797419" w:rsidRDefault="00231A95" w:rsidP="00C34EE7">
            <w:pPr>
              <w:spacing w:before="120" w:after="120"/>
              <w:rPr>
                <w:b/>
                <w:bCs/>
                <w:sz w:val="16"/>
                <w:szCs w:val="16"/>
              </w:rPr>
            </w:pPr>
          </w:p>
        </w:tc>
        <w:tc>
          <w:tcPr>
            <w:tcW w:w="1170" w:type="dxa"/>
            <w:vAlign w:val="center"/>
          </w:tcPr>
          <w:p w:rsidR="00231A95" w:rsidRPr="00797419" w:rsidRDefault="00231A95" w:rsidP="00C34EE7">
            <w:pPr>
              <w:spacing w:before="120" w:after="120"/>
              <w:rPr>
                <w:b/>
                <w:bCs/>
                <w:sz w:val="16"/>
                <w:szCs w:val="16"/>
              </w:rPr>
            </w:pPr>
          </w:p>
        </w:tc>
        <w:tc>
          <w:tcPr>
            <w:tcW w:w="1170" w:type="dxa"/>
            <w:vAlign w:val="center"/>
          </w:tcPr>
          <w:p w:rsidR="00231A95" w:rsidRPr="00797419" w:rsidRDefault="00231A95" w:rsidP="00C34EE7">
            <w:pPr>
              <w:spacing w:before="120" w:after="120"/>
              <w:rPr>
                <w:b/>
                <w:bCs/>
                <w:sz w:val="16"/>
                <w:szCs w:val="16"/>
              </w:rPr>
            </w:pPr>
          </w:p>
        </w:tc>
      </w:tr>
      <w:tr w:rsidR="00231A95" w:rsidRPr="00797419" w:rsidTr="00B438EE">
        <w:trPr>
          <w:trHeight w:val="316"/>
        </w:trPr>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 xml:space="preserve">Manufacturing </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rPr>
          <w:trHeight w:val="343"/>
        </w:trPr>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Finance</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 xml:space="preserve">Telecoms </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Electricity and gas</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rPr>
          <w:trHeight w:val="289"/>
        </w:trPr>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Transportation</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rPr>
          <w:trHeight w:val="289"/>
        </w:trPr>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 xml:space="preserve">Other utilities </w:t>
            </w:r>
            <w:r w:rsidR="00345B3C">
              <w:rPr>
                <w:rFonts w:ascii="Times New Roman" w:hAnsi="Times New Roman" w:cs="Times New Roman"/>
                <w:sz w:val="16"/>
                <w:szCs w:val="16"/>
              </w:rPr>
              <w:t>(including postal services)</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 xml:space="preserve">Real estate </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rPr>
          <w:trHeight w:val="361"/>
        </w:trPr>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 xml:space="preserve">Other activities </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231A95" w:rsidTr="00B438EE">
        <w:trPr>
          <w:trHeight w:val="433"/>
        </w:trPr>
        <w:tc>
          <w:tcPr>
            <w:tcW w:w="1440" w:type="dxa"/>
            <w:vAlign w:val="center"/>
          </w:tcPr>
          <w:p w:rsidR="00231A95" w:rsidRPr="00231A95" w:rsidRDefault="00231A95" w:rsidP="00C34EE7">
            <w:pPr>
              <w:pStyle w:val="RowsHeading"/>
              <w:rPr>
                <w:rFonts w:ascii="Times New Roman" w:hAnsi="Times New Roman" w:cs="Times New Roman"/>
                <w:b/>
                <w:sz w:val="16"/>
                <w:szCs w:val="16"/>
              </w:rPr>
            </w:pPr>
            <w:r w:rsidRPr="00231A95">
              <w:rPr>
                <w:rFonts w:ascii="Times New Roman" w:hAnsi="Times New Roman" w:cs="Times New Roman"/>
                <w:b/>
                <w:sz w:val="16"/>
                <w:szCs w:val="16"/>
              </w:rPr>
              <w:t>Total</w:t>
            </w:r>
          </w:p>
        </w:tc>
        <w:tc>
          <w:tcPr>
            <w:tcW w:w="1134" w:type="dxa"/>
            <w:vAlign w:val="center"/>
          </w:tcPr>
          <w:p w:rsidR="00231A95" w:rsidRPr="00231A95" w:rsidRDefault="00231A95" w:rsidP="00C34EE7">
            <w:pPr>
              <w:spacing w:before="120" w:after="120"/>
              <w:rPr>
                <w:b/>
                <w:sz w:val="16"/>
                <w:szCs w:val="16"/>
              </w:rPr>
            </w:pPr>
          </w:p>
        </w:tc>
        <w:tc>
          <w:tcPr>
            <w:tcW w:w="1134" w:type="dxa"/>
            <w:vAlign w:val="center"/>
          </w:tcPr>
          <w:p w:rsidR="00231A95" w:rsidRPr="00231A95" w:rsidRDefault="00231A95" w:rsidP="00C34EE7">
            <w:pPr>
              <w:spacing w:before="120" w:after="120"/>
              <w:rPr>
                <w:b/>
                <w:sz w:val="16"/>
                <w:szCs w:val="16"/>
              </w:rPr>
            </w:pPr>
          </w:p>
        </w:tc>
        <w:tc>
          <w:tcPr>
            <w:tcW w:w="851" w:type="dxa"/>
            <w:vAlign w:val="center"/>
          </w:tcPr>
          <w:p w:rsidR="00231A95" w:rsidRPr="00231A95" w:rsidRDefault="00231A95" w:rsidP="00C34EE7">
            <w:pPr>
              <w:spacing w:before="120" w:after="120"/>
              <w:rPr>
                <w:b/>
                <w:sz w:val="16"/>
                <w:szCs w:val="16"/>
              </w:rPr>
            </w:pPr>
          </w:p>
        </w:tc>
        <w:tc>
          <w:tcPr>
            <w:tcW w:w="709" w:type="dxa"/>
            <w:vAlign w:val="center"/>
          </w:tcPr>
          <w:p w:rsidR="00231A95" w:rsidRPr="00231A95" w:rsidRDefault="00231A95" w:rsidP="00C34EE7">
            <w:pPr>
              <w:spacing w:before="120" w:after="120"/>
              <w:rPr>
                <w:b/>
                <w:sz w:val="16"/>
                <w:szCs w:val="16"/>
              </w:rPr>
            </w:pPr>
          </w:p>
        </w:tc>
        <w:tc>
          <w:tcPr>
            <w:tcW w:w="1134" w:type="dxa"/>
            <w:vAlign w:val="center"/>
          </w:tcPr>
          <w:p w:rsidR="00231A95" w:rsidRPr="00231A95" w:rsidRDefault="00231A95" w:rsidP="00C34EE7">
            <w:pPr>
              <w:spacing w:before="120" w:after="120"/>
              <w:rPr>
                <w:b/>
                <w:sz w:val="16"/>
                <w:szCs w:val="16"/>
              </w:rPr>
            </w:pPr>
          </w:p>
        </w:tc>
        <w:tc>
          <w:tcPr>
            <w:tcW w:w="1134" w:type="dxa"/>
            <w:vAlign w:val="center"/>
          </w:tcPr>
          <w:p w:rsidR="00231A95" w:rsidRPr="00231A95" w:rsidRDefault="00231A95" w:rsidP="00C34EE7">
            <w:pPr>
              <w:spacing w:before="120" w:after="120"/>
              <w:rPr>
                <w:b/>
                <w:sz w:val="16"/>
                <w:szCs w:val="16"/>
              </w:rPr>
            </w:pPr>
          </w:p>
        </w:tc>
        <w:tc>
          <w:tcPr>
            <w:tcW w:w="850" w:type="dxa"/>
            <w:vAlign w:val="center"/>
          </w:tcPr>
          <w:p w:rsidR="00231A95" w:rsidRPr="00231A95" w:rsidRDefault="00231A95" w:rsidP="00C34EE7">
            <w:pPr>
              <w:spacing w:before="120" w:after="120"/>
              <w:rPr>
                <w:b/>
                <w:sz w:val="16"/>
                <w:szCs w:val="16"/>
              </w:rPr>
            </w:pPr>
          </w:p>
        </w:tc>
        <w:tc>
          <w:tcPr>
            <w:tcW w:w="709" w:type="dxa"/>
            <w:vAlign w:val="center"/>
          </w:tcPr>
          <w:p w:rsidR="00231A95" w:rsidRPr="00231A95" w:rsidRDefault="00231A95" w:rsidP="00C34EE7">
            <w:pPr>
              <w:spacing w:before="120" w:after="120"/>
              <w:rPr>
                <w:b/>
                <w:sz w:val="16"/>
                <w:szCs w:val="16"/>
              </w:rPr>
            </w:pPr>
          </w:p>
        </w:tc>
        <w:tc>
          <w:tcPr>
            <w:tcW w:w="1082" w:type="dxa"/>
            <w:vAlign w:val="center"/>
          </w:tcPr>
          <w:p w:rsidR="00231A95" w:rsidRPr="00231A95" w:rsidRDefault="00231A95" w:rsidP="00C34EE7">
            <w:pPr>
              <w:spacing w:before="120" w:after="120"/>
              <w:rPr>
                <w:b/>
                <w:sz w:val="16"/>
                <w:szCs w:val="16"/>
              </w:rPr>
            </w:pPr>
          </w:p>
        </w:tc>
        <w:tc>
          <w:tcPr>
            <w:tcW w:w="1080" w:type="dxa"/>
            <w:vAlign w:val="center"/>
          </w:tcPr>
          <w:p w:rsidR="00231A95" w:rsidRPr="00231A95" w:rsidRDefault="00231A95" w:rsidP="00C34EE7">
            <w:pPr>
              <w:spacing w:before="120" w:after="120"/>
              <w:rPr>
                <w:b/>
                <w:sz w:val="16"/>
                <w:szCs w:val="16"/>
              </w:rPr>
            </w:pPr>
          </w:p>
        </w:tc>
        <w:tc>
          <w:tcPr>
            <w:tcW w:w="1170" w:type="dxa"/>
            <w:vAlign w:val="center"/>
          </w:tcPr>
          <w:p w:rsidR="00231A95" w:rsidRPr="00231A95" w:rsidRDefault="00231A95" w:rsidP="00C34EE7">
            <w:pPr>
              <w:spacing w:before="120" w:after="120"/>
              <w:rPr>
                <w:b/>
                <w:sz w:val="16"/>
                <w:szCs w:val="16"/>
              </w:rPr>
            </w:pPr>
          </w:p>
        </w:tc>
        <w:tc>
          <w:tcPr>
            <w:tcW w:w="1080" w:type="dxa"/>
            <w:vAlign w:val="center"/>
          </w:tcPr>
          <w:p w:rsidR="00231A95" w:rsidRPr="00231A95" w:rsidRDefault="00231A95" w:rsidP="00C34EE7">
            <w:pPr>
              <w:spacing w:before="120" w:after="120"/>
              <w:rPr>
                <w:b/>
                <w:sz w:val="16"/>
                <w:szCs w:val="16"/>
              </w:rPr>
            </w:pPr>
          </w:p>
        </w:tc>
        <w:tc>
          <w:tcPr>
            <w:tcW w:w="1170" w:type="dxa"/>
            <w:vAlign w:val="center"/>
          </w:tcPr>
          <w:p w:rsidR="00231A95" w:rsidRPr="00231A95" w:rsidRDefault="00231A95" w:rsidP="00C34EE7">
            <w:pPr>
              <w:spacing w:before="120" w:after="120"/>
              <w:rPr>
                <w:b/>
                <w:sz w:val="16"/>
                <w:szCs w:val="16"/>
              </w:rPr>
            </w:pPr>
          </w:p>
        </w:tc>
        <w:tc>
          <w:tcPr>
            <w:tcW w:w="1170" w:type="dxa"/>
            <w:vAlign w:val="center"/>
          </w:tcPr>
          <w:p w:rsidR="00231A95" w:rsidRPr="00231A95" w:rsidRDefault="00231A95" w:rsidP="00C34EE7">
            <w:pPr>
              <w:spacing w:before="120" w:after="120"/>
              <w:rPr>
                <w:b/>
                <w:sz w:val="16"/>
                <w:szCs w:val="16"/>
              </w:rPr>
            </w:pPr>
          </w:p>
        </w:tc>
      </w:tr>
      <w:tr w:rsidR="00231A95" w:rsidRPr="00231A95" w:rsidTr="009F5967">
        <w:trPr>
          <w:cantSplit/>
          <w:trHeight w:hRule="exact" w:val="312"/>
        </w:trPr>
        <w:tc>
          <w:tcPr>
            <w:tcW w:w="15847" w:type="dxa"/>
            <w:gridSpan w:val="15"/>
            <w:vAlign w:val="center"/>
          </w:tcPr>
          <w:p w:rsidR="00231A95" w:rsidRPr="00231A95" w:rsidRDefault="00052A23" w:rsidP="009F5967">
            <w:pPr>
              <w:spacing w:before="80" w:after="80"/>
              <w:jc w:val="center"/>
              <w:rPr>
                <w:b/>
                <w:i/>
                <w:sz w:val="16"/>
                <w:szCs w:val="16"/>
              </w:rPr>
            </w:pPr>
            <w:r>
              <w:rPr>
                <w:b/>
                <w:i/>
                <w:sz w:val="16"/>
                <w:szCs w:val="16"/>
              </w:rPr>
              <w:t>Memorandum items</w:t>
            </w:r>
          </w:p>
        </w:tc>
      </w:tr>
      <w:tr w:rsidR="00231A95" w:rsidRPr="00231A95" w:rsidTr="009F5967">
        <w:trPr>
          <w:cantSplit/>
          <w:trHeight w:hRule="exact" w:val="312"/>
        </w:trPr>
        <w:tc>
          <w:tcPr>
            <w:tcW w:w="5268" w:type="dxa"/>
            <w:gridSpan w:val="5"/>
            <w:vAlign w:val="center"/>
          </w:tcPr>
          <w:p w:rsidR="00231A95" w:rsidRPr="0019106C" w:rsidRDefault="00231A95" w:rsidP="00F927B7">
            <w:pPr>
              <w:spacing w:before="120" w:after="120"/>
              <w:rPr>
                <w:sz w:val="16"/>
                <w:szCs w:val="16"/>
              </w:rPr>
            </w:pPr>
            <w:r w:rsidRPr="0019106C">
              <w:rPr>
                <w:sz w:val="16"/>
                <w:szCs w:val="16"/>
              </w:rPr>
              <w:t>Listed SOEs as % of market capitalisation</w:t>
            </w:r>
          </w:p>
        </w:tc>
        <w:tc>
          <w:tcPr>
            <w:tcW w:w="10579" w:type="dxa"/>
            <w:gridSpan w:val="10"/>
            <w:vAlign w:val="center"/>
          </w:tcPr>
          <w:p w:rsidR="00231A95" w:rsidRPr="00231A95" w:rsidRDefault="00231A95" w:rsidP="00C34EE7">
            <w:pPr>
              <w:spacing w:before="120" w:after="120"/>
              <w:rPr>
                <w:b/>
                <w:sz w:val="16"/>
                <w:szCs w:val="16"/>
              </w:rPr>
            </w:pPr>
          </w:p>
        </w:tc>
      </w:tr>
      <w:tr w:rsidR="00231A95" w:rsidRPr="00231A95" w:rsidTr="009F5967">
        <w:trPr>
          <w:cantSplit/>
          <w:trHeight w:hRule="exact" w:val="312"/>
        </w:trPr>
        <w:tc>
          <w:tcPr>
            <w:tcW w:w="5268" w:type="dxa"/>
            <w:gridSpan w:val="5"/>
            <w:vAlign w:val="center"/>
          </w:tcPr>
          <w:p w:rsidR="00231A95" w:rsidRPr="0019106C" w:rsidRDefault="00231A95" w:rsidP="00C34EE7">
            <w:pPr>
              <w:spacing w:before="120" w:after="120"/>
              <w:rPr>
                <w:sz w:val="16"/>
                <w:szCs w:val="16"/>
              </w:rPr>
            </w:pPr>
            <w:r w:rsidRPr="0019106C">
              <w:rPr>
                <w:sz w:val="16"/>
                <w:szCs w:val="16"/>
              </w:rPr>
              <w:t>SOEs’ share of domestic value added (GDP)</w:t>
            </w:r>
          </w:p>
        </w:tc>
        <w:tc>
          <w:tcPr>
            <w:tcW w:w="10579" w:type="dxa"/>
            <w:gridSpan w:val="10"/>
            <w:vAlign w:val="center"/>
          </w:tcPr>
          <w:p w:rsidR="00231A95" w:rsidRPr="00231A95" w:rsidRDefault="00231A95" w:rsidP="00C34EE7">
            <w:pPr>
              <w:spacing w:before="120" w:after="120"/>
              <w:rPr>
                <w:b/>
                <w:sz w:val="16"/>
                <w:szCs w:val="16"/>
              </w:rPr>
            </w:pPr>
          </w:p>
        </w:tc>
      </w:tr>
      <w:tr w:rsidR="00231A95" w:rsidRPr="00231A95" w:rsidTr="009F5967">
        <w:trPr>
          <w:cantSplit/>
          <w:trHeight w:hRule="exact" w:val="312"/>
        </w:trPr>
        <w:tc>
          <w:tcPr>
            <w:tcW w:w="5268" w:type="dxa"/>
            <w:gridSpan w:val="5"/>
            <w:vAlign w:val="center"/>
          </w:tcPr>
          <w:p w:rsidR="00231A95" w:rsidRPr="0019106C" w:rsidRDefault="00231A95" w:rsidP="00C34EE7">
            <w:pPr>
              <w:spacing w:before="120" w:after="120"/>
              <w:rPr>
                <w:sz w:val="16"/>
                <w:szCs w:val="16"/>
              </w:rPr>
            </w:pPr>
            <w:r w:rsidRPr="0019106C">
              <w:rPr>
                <w:sz w:val="16"/>
                <w:szCs w:val="16"/>
              </w:rPr>
              <w:t>SOE employment as share of total employment</w:t>
            </w:r>
          </w:p>
        </w:tc>
        <w:tc>
          <w:tcPr>
            <w:tcW w:w="10579" w:type="dxa"/>
            <w:gridSpan w:val="10"/>
            <w:vAlign w:val="center"/>
          </w:tcPr>
          <w:p w:rsidR="00231A95" w:rsidRPr="00231A95" w:rsidRDefault="00231A95" w:rsidP="00C34EE7">
            <w:pPr>
              <w:spacing w:before="120" w:after="120"/>
              <w:rPr>
                <w:b/>
                <w:sz w:val="16"/>
                <w:szCs w:val="16"/>
              </w:rPr>
            </w:pPr>
          </w:p>
        </w:tc>
      </w:tr>
    </w:tbl>
    <w:p w:rsidR="003D0231" w:rsidRPr="004C16F3" w:rsidRDefault="003D0231" w:rsidP="0019106C">
      <w:pPr>
        <w:pStyle w:val="Heading1"/>
        <w:spacing w:before="360" w:after="360"/>
      </w:pPr>
      <w:r>
        <w:br w:type="page"/>
      </w:r>
      <w:bookmarkStart w:id="3" w:name="_Toc433277193"/>
      <w:r>
        <w:t>T</w:t>
      </w:r>
      <w:r w:rsidR="008137D0">
        <w:t>able</w:t>
      </w:r>
      <w:r>
        <w:t xml:space="preserve"> 2: </w:t>
      </w:r>
      <w:r w:rsidR="008137D0">
        <w:t>Aggregate data on enterprises held at the sub-national level</w:t>
      </w:r>
      <w:r w:rsidR="009C7F84">
        <w:t xml:space="preserve"> of government</w:t>
      </w:r>
      <w:r>
        <w:rPr>
          <w:rStyle w:val="FootnoteReference"/>
        </w:rPr>
        <w:footnoteReference w:id="4"/>
      </w:r>
      <w:bookmarkEnd w:id="3"/>
      <w:r>
        <w:t xml:space="preserve">  </w:t>
      </w:r>
    </w:p>
    <w:tbl>
      <w:tblPr>
        <w:tblW w:w="15847"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0"/>
        <w:gridCol w:w="1134"/>
        <w:gridCol w:w="1134"/>
        <w:gridCol w:w="851"/>
        <w:gridCol w:w="709"/>
        <w:gridCol w:w="1134"/>
        <w:gridCol w:w="1134"/>
        <w:gridCol w:w="850"/>
        <w:gridCol w:w="709"/>
        <w:gridCol w:w="1082"/>
        <w:gridCol w:w="1080"/>
        <w:gridCol w:w="1170"/>
        <w:gridCol w:w="1080"/>
        <w:gridCol w:w="1170"/>
        <w:gridCol w:w="1170"/>
      </w:tblGrid>
      <w:tr w:rsidR="003D0231" w:rsidRPr="00797419" w:rsidTr="00B438EE">
        <w:tc>
          <w:tcPr>
            <w:tcW w:w="1440" w:type="dxa"/>
            <w:vAlign w:val="center"/>
          </w:tcPr>
          <w:p w:rsidR="003D0231" w:rsidRPr="00797419" w:rsidRDefault="003D0231" w:rsidP="00C34EE7">
            <w:pPr>
              <w:jc w:val="center"/>
              <w:rPr>
                <w:b/>
                <w:sz w:val="16"/>
                <w:szCs w:val="16"/>
              </w:rPr>
            </w:pPr>
          </w:p>
        </w:tc>
        <w:tc>
          <w:tcPr>
            <w:tcW w:w="3828" w:type="dxa"/>
            <w:gridSpan w:val="4"/>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Majority-owned listed entities</w:t>
            </w:r>
          </w:p>
        </w:tc>
        <w:tc>
          <w:tcPr>
            <w:tcW w:w="3827" w:type="dxa"/>
            <w:gridSpan w:val="4"/>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Minority-owned listed entities</w:t>
            </w:r>
            <w:r w:rsidR="009F5967">
              <w:rPr>
                <w:rFonts w:ascii="Times New Roman" w:hAnsi="Times New Roman" w:cs="Times New Roman"/>
                <w:b/>
                <w:bCs/>
                <w:sz w:val="16"/>
                <w:szCs w:val="16"/>
              </w:rPr>
              <w:t xml:space="preserve"> (PSOEs)</w:t>
            </w:r>
          </w:p>
        </w:tc>
        <w:tc>
          <w:tcPr>
            <w:tcW w:w="3332" w:type="dxa"/>
            <w:gridSpan w:val="3"/>
            <w:vAlign w:val="center"/>
          </w:tcPr>
          <w:p w:rsidR="003D0231" w:rsidRPr="00797419" w:rsidRDefault="003D0231" w:rsidP="009F596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 xml:space="preserve">Majority owned </w:t>
            </w:r>
            <w:r w:rsidR="009F5967">
              <w:rPr>
                <w:rFonts w:ascii="Times New Roman" w:hAnsi="Times New Roman" w:cs="Times New Roman"/>
                <w:b/>
                <w:bCs/>
                <w:sz w:val="16"/>
                <w:szCs w:val="16"/>
              </w:rPr>
              <w:t>un</w:t>
            </w:r>
            <w:r w:rsidRPr="00797419">
              <w:rPr>
                <w:rFonts w:ascii="Times New Roman" w:hAnsi="Times New Roman" w:cs="Times New Roman"/>
                <w:b/>
                <w:bCs/>
                <w:sz w:val="16"/>
                <w:szCs w:val="16"/>
              </w:rPr>
              <w:t>listed enterprises</w:t>
            </w:r>
          </w:p>
        </w:tc>
        <w:tc>
          <w:tcPr>
            <w:tcW w:w="3420" w:type="dxa"/>
            <w:gridSpan w:val="3"/>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Statutory corporations and quasi-corporations</w:t>
            </w:r>
          </w:p>
        </w:tc>
      </w:tr>
      <w:tr w:rsidR="003D0231" w:rsidRPr="00797419" w:rsidTr="00B438EE">
        <w:trPr>
          <w:trHeight w:val="308"/>
        </w:trPr>
        <w:tc>
          <w:tcPr>
            <w:tcW w:w="1440" w:type="dxa"/>
            <w:vMerge w:val="restart"/>
            <w:vAlign w:val="center"/>
          </w:tcPr>
          <w:p w:rsidR="003D0231" w:rsidRPr="00797419" w:rsidRDefault="003D0231" w:rsidP="00C34EE7">
            <w:pPr>
              <w:pStyle w:val="ColumnsHeading"/>
              <w:rPr>
                <w:rFonts w:ascii="Times New Roman" w:hAnsi="Times New Roman" w:cs="Times New Roman"/>
                <w:sz w:val="16"/>
                <w:szCs w:val="16"/>
              </w:rPr>
            </w:pPr>
            <w:r w:rsidRPr="00797419">
              <w:rPr>
                <w:rFonts w:ascii="Times New Roman" w:hAnsi="Times New Roman" w:cs="Times New Roman"/>
                <w:sz w:val="16"/>
                <w:szCs w:val="16"/>
              </w:rPr>
              <w:t xml:space="preserve"> </w:t>
            </w:r>
          </w:p>
        </w:tc>
        <w:tc>
          <w:tcPr>
            <w:tcW w:w="1134"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enterprises</w:t>
            </w:r>
          </w:p>
        </w:tc>
        <w:tc>
          <w:tcPr>
            <w:tcW w:w="1134"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employees</w:t>
            </w:r>
          </w:p>
        </w:tc>
        <w:tc>
          <w:tcPr>
            <w:tcW w:w="1560" w:type="dxa"/>
            <w:gridSpan w:val="2"/>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Value of enterprises</w:t>
            </w:r>
            <w:r w:rsidR="009F5967">
              <w:rPr>
                <w:rFonts w:ascii="Times New Roman" w:hAnsi="Times New Roman" w:cs="Times New Roman"/>
                <w:b/>
                <w:bCs/>
                <w:sz w:val="16"/>
                <w:szCs w:val="16"/>
              </w:rPr>
              <w:t xml:space="preserve"> (USD mn)</w:t>
            </w:r>
          </w:p>
        </w:tc>
        <w:tc>
          <w:tcPr>
            <w:tcW w:w="1134"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enterprises</w:t>
            </w:r>
          </w:p>
        </w:tc>
        <w:tc>
          <w:tcPr>
            <w:tcW w:w="1134"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employees</w:t>
            </w:r>
          </w:p>
        </w:tc>
        <w:tc>
          <w:tcPr>
            <w:tcW w:w="1559" w:type="dxa"/>
            <w:gridSpan w:val="2"/>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Value of enterprises</w:t>
            </w:r>
            <w:r w:rsidR="009F5967">
              <w:rPr>
                <w:rFonts w:ascii="Times New Roman" w:hAnsi="Times New Roman" w:cs="Times New Roman"/>
                <w:b/>
                <w:bCs/>
                <w:sz w:val="16"/>
                <w:szCs w:val="16"/>
              </w:rPr>
              <w:t xml:space="preserve"> (USD mn)</w:t>
            </w:r>
          </w:p>
        </w:tc>
        <w:tc>
          <w:tcPr>
            <w:tcW w:w="1082"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enterprises</w:t>
            </w:r>
          </w:p>
        </w:tc>
        <w:tc>
          <w:tcPr>
            <w:tcW w:w="1080"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employees</w:t>
            </w:r>
          </w:p>
        </w:tc>
        <w:tc>
          <w:tcPr>
            <w:tcW w:w="1170"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Value of enterprises</w:t>
            </w:r>
            <w:r w:rsidR="009F5967">
              <w:rPr>
                <w:rFonts w:ascii="Times New Roman" w:hAnsi="Times New Roman" w:cs="Times New Roman"/>
                <w:b/>
                <w:bCs/>
                <w:sz w:val="16"/>
                <w:szCs w:val="16"/>
              </w:rPr>
              <w:t xml:space="preserve"> (USD mn)</w:t>
            </w:r>
            <w:r w:rsidRPr="00797419">
              <w:rPr>
                <w:rStyle w:val="FootnoteReference"/>
                <w:rFonts w:ascii="Times New Roman" w:hAnsi="Times New Roman" w:cs="Times New Roman"/>
                <w:b/>
                <w:bCs/>
                <w:sz w:val="16"/>
                <w:szCs w:val="16"/>
              </w:rPr>
              <w:footnoteReference w:id="5"/>
            </w:r>
          </w:p>
        </w:tc>
        <w:tc>
          <w:tcPr>
            <w:tcW w:w="1080"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 of enterprises</w:t>
            </w:r>
          </w:p>
        </w:tc>
        <w:tc>
          <w:tcPr>
            <w:tcW w:w="1170"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Number of employees</w:t>
            </w:r>
          </w:p>
        </w:tc>
        <w:tc>
          <w:tcPr>
            <w:tcW w:w="1170" w:type="dxa"/>
            <w:vMerge w:val="restart"/>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Value of enterprises</w:t>
            </w:r>
            <w:r w:rsidR="009F5967">
              <w:rPr>
                <w:rFonts w:ascii="Times New Roman" w:hAnsi="Times New Roman" w:cs="Times New Roman"/>
                <w:b/>
                <w:bCs/>
                <w:sz w:val="16"/>
                <w:szCs w:val="16"/>
              </w:rPr>
              <w:t xml:space="preserve"> (USD mn)</w:t>
            </w:r>
            <w:r w:rsidRPr="00797419">
              <w:rPr>
                <w:rFonts w:ascii="Times New Roman" w:hAnsi="Times New Roman" w:cs="Times New Roman"/>
                <w:b/>
                <w:bCs/>
                <w:sz w:val="16"/>
                <w:szCs w:val="16"/>
                <w:vertAlign w:val="superscript"/>
              </w:rPr>
              <w:t>2</w:t>
            </w:r>
          </w:p>
        </w:tc>
      </w:tr>
      <w:tr w:rsidR="003D0231" w:rsidRPr="00797419" w:rsidTr="00B438EE">
        <w:trPr>
          <w:trHeight w:val="307"/>
        </w:trPr>
        <w:tc>
          <w:tcPr>
            <w:tcW w:w="1440" w:type="dxa"/>
            <w:vMerge/>
            <w:vAlign w:val="center"/>
          </w:tcPr>
          <w:p w:rsidR="003D0231" w:rsidRPr="00797419" w:rsidRDefault="003D0231" w:rsidP="00C34EE7">
            <w:pPr>
              <w:pStyle w:val="ColumnsHeading"/>
              <w:rPr>
                <w:rFonts w:ascii="Times New Roman" w:hAnsi="Times New Roman" w:cs="Times New Roman"/>
                <w:sz w:val="16"/>
                <w:szCs w:val="16"/>
              </w:rPr>
            </w:pPr>
          </w:p>
        </w:tc>
        <w:tc>
          <w:tcPr>
            <w:tcW w:w="1134" w:type="dxa"/>
            <w:vMerge/>
            <w:vAlign w:val="center"/>
          </w:tcPr>
          <w:p w:rsidR="003D0231" w:rsidRPr="00797419" w:rsidRDefault="003D0231" w:rsidP="00C34EE7">
            <w:pPr>
              <w:pStyle w:val="ColumnsHeading"/>
              <w:rPr>
                <w:rFonts w:ascii="Times New Roman" w:hAnsi="Times New Roman" w:cs="Times New Roman"/>
                <w:b/>
                <w:bCs/>
                <w:sz w:val="16"/>
                <w:szCs w:val="16"/>
              </w:rPr>
            </w:pPr>
          </w:p>
        </w:tc>
        <w:tc>
          <w:tcPr>
            <w:tcW w:w="1134" w:type="dxa"/>
            <w:vMerge/>
            <w:vAlign w:val="center"/>
          </w:tcPr>
          <w:p w:rsidR="003D0231" w:rsidRPr="00797419" w:rsidRDefault="003D0231" w:rsidP="00C34EE7">
            <w:pPr>
              <w:pStyle w:val="ColumnsHeading"/>
              <w:rPr>
                <w:rFonts w:ascii="Times New Roman" w:hAnsi="Times New Roman" w:cs="Times New Roman"/>
                <w:b/>
                <w:bCs/>
                <w:sz w:val="16"/>
                <w:szCs w:val="16"/>
              </w:rPr>
            </w:pPr>
          </w:p>
        </w:tc>
        <w:tc>
          <w:tcPr>
            <w:tcW w:w="851" w:type="dxa"/>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Market</w:t>
            </w:r>
          </w:p>
        </w:tc>
        <w:tc>
          <w:tcPr>
            <w:tcW w:w="709" w:type="dxa"/>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Book equity</w:t>
            </w:r>
          </w:p>
        </w:tc>
        <w:tc>
          <w:tcPr>
            <w:tcW w:w="1134" w:type="dxa"/>
            <w:vMerge/>
            <w:vAlign w:val="center"/>
          </w:tcPr>
          <w:p w:rsidR="003D0231" w:rsidRPr="00797419" w:rsidRDefault="003D0231" w:rsidP="00C34EE7">
            <w:pPr>
              <w:pStyle w:val="ColumnsHeading"/>
              <w:rPr>
                <w:rFonts w:ascii="Times New Roman" w:hAnsi="Times New Roman" w:cs="Times New Roman"/>
                <w:b/>
                <w:bCs/>
                <w:sz w:val="16"/>
                <w:szCs w:val="16"/>
              </w:rPr>
            </w:pPr>
          </w:p>
        </w:tc>
        <w:tc>
          <w:tcPr>
            <w:tcW w:w="1134" w:type="dxa"/>
            <w:vMerge/>
            <w:vAlign w:val="center"/>
          </w:tcPr>
          <w:p w:rsidR="003D0231" w:rsidRPr="00797419" w:rsidRDefault="003D0231" w:rsidP="00C34EE7">
            <w:pPr>
              <w:pStyle w:val="ColumnsHeading"/>
              <w:rPr>
                <w:rFonts w:ascii="Times New Roman" w:hAnsi="Times New Roman" w:cs="Times New Roman"/>
                <w:b/>
                <w:bCs/>
                <w:sz w:val="16"/>
                <w:szCs w:val="16"/>
              </w:rPr>
            </w:pPr>
          </w:p>
        </w:tc>
        <w:tc>
          <w:tcPr>
            <w:tcW w:w="850" w:type="dxa"/>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Market</w:t>
            </w:r>
          </w:p>
        </w:tc>
        <w:tc>
          <w:tcPr>
            <w:tcW w:w="709" w:type="dxa"/>
            <w:vAlign w:val="center"/>
          </w:tcPr>
          <w:p w:rsidR="003D0231" w:rsidRPr="00797419" w:rsidRDefault="003D0231" w:rsidP="00C34EE7">
            <w:pPr>
              <w:pStyle w:val="ColumnsHeading"/>
              <w:rPr>
                <w:rFonts w:ascii="Times New Roman" w:hAnsi="Times New Roman" w:cs="Times New Roman"/>
                <w:b/>
                <w:bCs/>
                <w:sz w:val="16"/>
                <w:szCs w:val="16"/>
              </w:rPr>
            </w:pPr>
            <w:r w:rsidRPr="00797419">
              <w:rPr>
                <w:rFonts w:ascii="Times New Roman" w:hAnsi="Times New Roman" w:cs="Times New Roman"/>
                <w:b/>
                <w:bCs/>
                <w:sz w:val="16"/>
                <w:szCs w:val="16"/>
              </w:rPr>
              <w:t>Book equity</w:t>
            </w:r>
          </w:p>
        </w:tc>
        <w:tc>
          <w:tcPr>
            <w:tcW w:w="1082" w:type="dxa"/>
            <w:vMerge/>
            <w:vAlign w:val="center"/>
          </w:tcPr>
          <w:p w:rsidR="003D0231" w:rsidRPr="00797419" w:rsidRDefault="003D0231" w:rsidP="00C34EE7">
            <w:pPr>
              <w:jc w:val="center"/>
              <w:rPr>
                <w:b/>
                <w:bCs/>
                <w:sz w:val="16"/>
                <w:szCs w:val="16"/>
              </w:rPr>
            </w:pPr>
          </w:p>
        </w:tc>
        <w:tc>
          <w:tcPr>
            <w:tcW w:w="1080" w:type="dxa"/>
            <w:vMerge/>
            <w:vAlign w:val="center"/>
          </w:tcPr>
          <w:p w:rsidR="003D0231" w:rsidRPr="00797419" w:rsidRDefault="003D0231" w:rsidP="00C34EE7">
            <w:pPr>
              <w:jc w:val="center"/>
              <w:rPr>
                <w:b/>
                <w:bCs/>
                <w:sz w:val="16"/>
                <w:szCs w:val="16"/>
              </w:rPr>
            </w:pPr>
          </w:p>
        </w:tc>
        <w:tc>
          <w:tcPr>
            <w:tcW w:w="1170" w:type="dxa"/>
            <w:vMerge/>
            <w:vAlign w:val="center"/>
          </w:tcPr>
          <w:p w:rsidR="003D0231" w:rsidRPr="00797419" w:rsidRDefault="003D0231" w:rsidP="00C34EE7">
            <w:pPr>
              <w:jc w:val="center"/>
              <w:rPr>
                <w:b/>
                <w:bCs/>
                <w:sz w:val="16"/>
                <w:szCs w:val="16"/>
              </w:rPr>
            </w:pPr>
          </w:p>
        </w:tc>
        <w:tc>
          <w:tcPr>
            <w:tcW w:w="1080" w:type="dxa"/>
            <w:vMerge/>
            <w:vAlign w:val="center"/>
          </w:tcPr>
          <w:p w:rsidR="003D0231" w:rsidRPr="00797419" w:rsidRDefault="003D0231" w:rsidP="00C34EE7">
            <w:pPr>
              <w:jc w:val="center"/>
              <w:rPr>
                <w:b/>
                <w:bCs/>
                <w:sz w:val="16"/>
                <w:szCs w:val="16"/>
              </w:rPr>
            </w:pPr>
          </w:p>
        </w:tc>
        <w:tc>
          <w:tcPr>
            <w:tcW w:w="1170" w:type="dxa"/>
            <w:vMerge/>
            <w:vAlign w:val="center"/>
          </w:tcPr>
          <w:p w:rsidR="003D0231" w:rsidRPr="00797419" w:rsidRDefault="003D0231" w:rsidP="00C34EE7">
            <w:pPr>
              <w:jc w:val="center"/>
              <w:rPr>
                <w:b/>
                <w:bCs/>
                <w:sz w:val="16"/>
                <w:szCs w:val="16"/>
              </w:rPr>
            </w:pPr>
          </w:p>
        </w:tc>
        <w:tc>
          <w:tcPr>
            <w:tcW w:w="1170" w:type="dxa"/>
            <w:vMerge/>
            <w:vAlign w:val="center"/>
          </w:tcPr>
          <w:p w:rsidR="003D0231" w:rsidRPr="00797419" w:rsidRDefault="003D0231" w:rsidP="00C34EE7">
            <w:pPr>
              <w:jc w:val="center"/>
              <w:rPr>
                <w:b/>
                <w:bCs/>
                <w:sz w:val="16"/>
                <w:szCs w:val="16"/>
              </w:rPr>
            </w:pPr>
          </w:p>
        </w:tc>
      </w:tr>
      <w:tr w:rsidR="00231A95" w:rsidRPr="00797419" w:rsidTr="00B438EE">
        <w:trPr>
          <w:trHeight w:val="343"/>
        </w:trPr>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Primary sectors</w:t>
            </w:r>
            <w:r w:rsidRPr="00797419">
              <w:rPr>
                <w:rStyle w:val="FootnoteReference"/>
                <w:rFonts w:ascii="Times New Roman" w:hAnsi="Times New Roman" w:cs="Times New Roman"/>
                <w:sz w:val="16"/>
                <w:szCs w:val="16"/>
              </w:rPr>
              <w:footnoteReference w:id="6"/>
            </w:r>
            <w:r w:rsidRPr="00797419">
              <w:rPr>
                <w:rFonts w:ascii="Times New Roman" w:hAnsi="Times New Roman" w:cs="Times New Roman"/>
                <w:sz w:val="16"/>
                <w:szCs w:val="16"/>
              </w:rPr>
              <w:t xml:space="preserve">  </w:t>
            </w:r>
          </w:p>
        </w:tc>
        <w:tc>
          <w:tcPr>
            <w:tcW w:w="1134" w:type="dxa"/>
            <w:vAlign w:val="center"/>
          </w:tcPr>
          <w:p w:rsidR="00231A95" w:rsidRPr="00797419" w:rsidRDefault="00231A95" w:rsidP="00C34EE7">
            <w:pPr>
              <w:spacing w:before="120" w:after="120"/>
              <w:rPr>
                <w:b/>
                <w:bCs/>
                <w:sz w:val="16"/>
                <w:szCs w:val="16"/>
              </w:rPr>
            </w:pPr>
          </w:p>
        </w:tc>
        <w:tc>
          <w:tcPr>
            <w:tcW w:w="1134" w:type="dxa"/>
            <w:vAlign w:val="center"/>
          </w:tcPr>
          <w:p w:rsidR="00231A95" w:rsidRPr="00797419" w:rsidRDefault="00231A95" w:rsidP="00C34EE7">
            <w:pPr>
              <w:spacing w:before="120" w:after="120"/>
              <w:rPr>
                <w:b/>
                <w:bCs/>
                <w:sz w:val="16"/>
                <w:szCs w:val="16"/>
              </w:rPr>
            </w:pPr>
          </w:p>
        </w:tc>
        <w:tc>
          <w:tcPr>
            <w:tcW w:w="851" w:type="dxa"/>
            <w:vAlign w:val="center"/>
          </w:tcPr>
          <w:p w:rsidR="00231A95" w:rsidRPr="00797419" w:rsidRDefault="00231A95" w:rsidP="00C34EE7">
            <w:pPr>
              <w:spacing w:before="120" w:after="120"/>
              <w:rPr>
                <w:b/>
                <w:bCs/>
                <w:sz w:val="16"/>
                <w:szCs w:val="16"/>
              </w:rPr>
            </w:pPr>
          </w:p>
        </w:tc>
        <w:tc>
          <w:tcPr>
            <w:tcW w:w="709" w:type="dxa"/>
            <w:vAlign w:val="center"/>
          </w:tcPr>
          <w:p w:rsidR="00231A95" w:rsidRPr="00797419" w:rsidRDefault="00231A95" w:rsidP="00C34EE7">
            <w:pPr>
              <w:spacing w:before="120" w:after="120"/>
              <w:rPr>
                <w:b/>
                <w:bCs/>
                <w:sz w:val="16"/>
                <w:szCs w:val="16"/>
              </w:rPr>
            </w:pPr>
          </w:p>
        </w:tc>
        <w:tc>
          <w:tcPr>
            <w:tcW w:w="1134" w:type="dxa"/>
            <w:vAlign w:val="center"/>
          </w:tcPr>
          <w:p w:rsidR="00231A95" w:rsidRPr="00797419" w:rsidRDefault="00231A95" w:rsidP="00C34EE7">
            <w:pPr>
              <w:spacing w:before="120" w:after="120"/>
              <w:rPr>
                <w:b/>
                <w:bCs/>
                <w:sz w:val="16"/>
                <w:szCs w:val="16"/>
              </w:rPr>
            </w:pPr>
          </w:p>
        </w:tc>
        <w:tc>
          <w:tcPr>
            <w:tcW w:w="1134" w:type="dxa"/>
            <w:vAlign w:val="center"/>
          </w:tcPr>
          <w:p w:rsidR="00231A95" w:rsidRPr="00797419" w:rsidRDefault="00231A95" w:rsidP="00C34EE7">
            <w:pPr>
              <w:spacing w:before="120" w:after="120"/>
              <w:rPr>
                <w:b/>
                <w:bCs/>
                <w:sz w:val="16"/>
                <w:szCs w:val="16"/>
              </w:rPr>
            </w:pPr>
          </w:p>
        </w:tc>
        <w:tc>
          <w:tcPr>
            <w:tcW w:w="850" w:type="dxa"/>
            <w:vAlign w:val="center"/>
          </w:tcPr>
          <w:p w:rsidR="00231A95" w:rsidRPr="00797419" w:rsidRDefault="00231A95" w:rsidP="00C34EE7">
            <w:pPr>
              <w:spacing w:before="120" w:after="120"/>
              <w:rPr>
                <w:b/>
                <w:bCs/>
                <w:sz w:val="16"/>
                <w:szCs w:val="16"/>
              </w:rPr>
            </w:pPr>
          </w:p>
        </w:tc>
        <w:tc>
          <w:tcPr>
            <w:tcW w:w="709" w:type="dxa"/>
            <w:vAlign w:val="center"/>
          </w:tcPr>
          <w:p w:rsidR="00231A95" w:rsidRPr="00797419" w:rsidRDefault="00231A95" w:rsidP="00C34EE7">
            <w:pPr>
              <w:spacing w:before="120" w:after="120"/>
              <w:rPr>
                <w:b/>
                <w:bCs/>
                <w:sz w:val="16"/>
                <w:szCs w:val="16"/>
              </w:rPr>
            </w:pPr>
          </w:p>
        </w:tc>
        <w:tc>
          <w:tcPr>
            <w:tcW w:w="1082" w:type="dxa"/>
            <w:vAlign w:val="center"/>
          </w:tcPr>
          <w:p w:rsidR="00231A95" w:rsidRPr="00797419" w:rsidRDefault="00231A95" w:rsidP="00C34EE7">
            <w:pPr>
              <w:spacing w:before="120" w:after="120"/>
              <w:rPr>
                <w:b/>
                <w:bCs/>
                <w:sz w:val="16"/>
                <w:szCs w:val="16"/>
              </w:rPr>
            </w:pPr>
          </w:p>
        </w:tc>
        <w:tc>
          <w:tcPr>
            <w:tcW w:w="1080" w:type="dxa"/>
            <w:vAlign w:val="center"/>
          </w:tcPr>
          <w:p w:rsidR="00231A95" w:rsidRPr="00797419" w:rsidRDefault="00231A95" w:rsidP="00C34EE7">
            <w:pPr>
              <w:spacing w:before="120" w:after="120"/>
              <w:rPr>
                <w:b/>
                <w:bCs/>
                <w:sz w:val="16"/>
                <w:szCs w:val="16"/>
              </w:rPr>
            </w:pPr>
          </w:p>
        </w:tc>
        <w:tc>
          <w:tcPr>
            <w:tcW w:w="1170" w:type="dxa"/>
            <w:vAlign w:val="center"/>
          </w:tcPr>
          <w:p w:rsidR="00231A95" w:rsidRPr="00797419" w:rsidRDefault="00231A95" w:rsidP="00C34EE7">
            <w:pPr>
              <w:spacing w:before="120" w:after="120"/>
              <w:rPr>
                <w:b/>
                <w:bCs/>
                <w:sz w:val="16"/>
                <w:szCs w:val="16"/>
              </w:rPr>
            </w:pPr>
          </w:p>
        </w:tc>
        <w:tc>
          <w:tcPr>
            <w:tcW w:w="1080" w:type="dxa"/>
            <w:vAlign w:val="center"/>
          </w:tcPr>
          <w:p w:rsidR="00231A95" w:rsidRPr="00797419" w:rsidRDefault="00231A95" w:rsidP="00C34EE7">
            <w:pPr>
              <w:spacing w:before="120" w:after="120"/>
              <w:rPr>
                <w:b/>
                <w:bCs/>
                <w:sz w:val="16"/>
                <w:szCs w:val="16"/>
              </w:rPr>
            </w:pPr>
          </w:p>
        </w:tc>
        <w:tc>
          <w:tcPr>
            <w:tcW w:w="1170" w:type="dxa"/>
            <w:vAlign w:val="center"/>
          </w:tcPr>
          <w:p w:rsidR="00231A95" w:rsidRPr="00797419" w:rsidRDefault="00231A95" w:rsidP="00C34EE7">
            <w:pPr>
              <w:spacing w:before="120" w:after="120"/>
              <w:rPr>
                <w:b/>
                <w:bCs/>
                <w:sz w:val="16"/>
                <w:szCs w:val="16"/>
              </w:rPr>
            </w:pPr>
          </w:p>
        </w:tc>
        <w:tc>
          <w:tcPr>
            <w:tcW w:w="1170" w:type="dxa"/>
            <w:vAlign w:val="center"/>
          </w:tcPr>
          <w:p w:rsidR="00231A95" w:rsidRPr="00797419" w:rsidRDefault="00231A95" w:rsidP="00C34EE7">
            <w:pPr>
              <w:spacing w:before="120" w:after="120"/>
              <w:rPr>
                <w:b/>
                <w:bCs/>
                <w:sz w:val="16"/>
                <w:szCs w:val="16"/>
              </w:rPr>
            </w:pPr>
          </w:p>
        </w:tc>
      </w:tr>
      <w:tr w:rsidR="00231A95" w:rsidRPr="00797419" w:rsidTr="00B438EE">
        <w:trPr>
          <w:trHeight w:val="316"/>
        </w:trPr>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 xml:space="preserve">Manufacturing </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rPr>
          <w:trHeight w:val="343"/>
        </w:trPr>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Finance</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 xml:space="preserve">Telecoms </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Electricity and gas</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rPr>
          <w:trHeight w:val="289"/>
        </w:trPr>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Transportation</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rPr>
          <w:trHeight w:val="289"/>
        </w:trPr>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 xml:space="preserve">Other utilities </w:t>
            </w:r>
            <w:r w:rsidR="00345B3C">
              <w:rPr>
                <w:rFonts w:ascii="Times New Roman" w:hAnsi="Times New Roman" w:cs="Times New Roman"/>
                <w:sz w:val="16"/>
                <w:szCs w:val="16"/>
              </w:rPr>
              <w:t>(including postal services)</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 xml:space="preserve">Real estate </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rPr>
          <w:trHeight w:val="361"/>
        </w:trPr>
        <w:tc>
          <w:tcPr>
            <w:tcW w:w="1440" w:type="dxa"/>
            <w:vAlign w:val="center"/>
          </w:tcPr>
          <w:p w:rsidR="00231A95" w:rsidRPr="00797419" w:rsidRDefault="00231A95" w:rsidP="006342E4">
            <w:pPr>
              <w:pStyle w:val="RowsHeading"/>
              <w:rPr>
                <w:rFonts w:ascii="Times New Roman" w:hAnsi="Times New Roman" w:cs="Times New Roman"/>
                <w:sz w:val="16"/>
                <w:szCs w:val="16"/>
              </w:rPr>
            </w:pPr>
            <w:r w:rsidRPr="00797419">
              <w:rPr>
                <w:rFonts w:ascii="Times New Roman" w:hAnsi="Times New Roman" w:cs="Times New Roman"/>
                <w:sz w:val="16"/>
                <w:szCs w:val="16"/>
              </w:rPr>
              <w:t xml:space="preserve">Other activities </w:t>
            </w: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1"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1134" w:type="dxa"/>
            <w:vAlign w:val="center"/>
          </w:tcPr>
          <w:p w:rsidR="00231A95" w:rsidRPr="00797419" w:rsidRDefault="00231A95" w:rsidP="00C34EE7">
            <w:pPr>
              <w:spacing w:before="120" w:after="120"/>
              <w:rPr>
                <w:sz w:val="16"/>
                <w:szCs w:val="16"/>
              </w:rPr>
            </w:pPr>
          </w:p>
        </w:tc>
        <w:tc>
          <w:tcPr>
            <w:tcW w:w="850" w:type="dxa"/>
            <w:vAlign w:val="center"/>
          </w:tcPr>
          <w:p w:rsidR="00231A95" w:rsidRPr="00797419" w:rsidRDefault="00231A95" w:rsidP="00C34EE7">
            <w:pPr>
              <w:spacing w:before="120" w:after="120"/>
              <w:rPr>
                <w:sz w:val="16"/>
                <w:szCs w:val="16"/>
              </w:rPr>
            </w:pPr>
          </w:p>
        </w:tc>
        <w:tc>
          <w:tcPr>
            <w:tcW w:w="709" w:type="dxa"/>
            <w:vAlign w:val="center"/>
          </w:tcPr>
          <w:p w:rsidR="00231A95" w:rsidRPr="00797419" w:rsidRDefault="00231A95" w:rsidP="00C34EE7">
            <w:pPr>
              <w:spacing w:before="120" w:after="120"/>
              <w:rPr>
                <w:sz w:val="16"/>
                <w:szCs w:val="16"/>
              </w:rPr>
            </w:pPr>
          </w:p>
        </w:tc>
        <w:tc>
          <w:tcPr>
            <w:tcW w:w="1082"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08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c>
          <w:tcPr>
            <w:tcW w:w="1170" w:type="dxa"/>
            <w:vAlign w:val="center"/>
          </w:tcPr>
          <w:p w:rsidR="00231A95" w:rsidRPr="00797419" w:rsidRDefault="00231A95" w:rsidP="00C34EE7">
            <w:pPr>
              <w:spacing w:before="120" w:after="120"/>
              <w:rPr>
                <w:sz w:val="16"/>
                <w:szCs w:val="16"/>
              </w:rPr>
            </w:pPr>
          </w:p>
        </w:tc>
      </w:tr>
      <w:tr w:rsidR="00231A95" w:rsidRPr="00797419" w:rsidTr="00B438EE">
        <w:trPr>
          <w:trHeight w:val="433"/>
        </w:trPr>
        <w:tc>
          <w:tcPr>
            <w:tcW w:w="1440" w:type="dxa"/>
            <w:vAlign w:val="center"/>
          </w:tcPr>
          <w:p w:rsidR="00231A95" w:rsidRPr="00231A95" w:rsidRDefault="00231A95" w:rsidP="00C34EE7">
            <w:pPr>
              <w:pStyle w:val="RowsHeading"/>
              <w:rPr>
                <w:rFonts w:ascii="Times New Roman" w:hAnsi="Times New Roman" w:cs="Times New Roman"/>
                <w:b/>
                <w:sz w:val="16"/>
                <w:szCs w:val="16"/>
              </w:rPr>
            </w:pPr>
            <w:r w:rsidRPr="00231A95">
              <w:rPr>
                <w:rFonts w:ascii="Times New Roman" w:hAnsi="Times New Roman" w:cs="Times New Roman"/>
                <w:b/>
                <w:sz w:val="16"/>
                <w:szCs w:val="16"/>
              </w:rPr>
              <w:t>Total</w:t>
            </w:r>
          </w:p>
        </w:tc>
        <w:tc>
          <w:tcPr>
            <w:tcW w:w="1134" w:type="dxa"/>
            <w:vAlign w:val="center"/>
          </w:tcPr>
          <w:p w:rsidR="00231A95" w:rsidRPr="00231A95" w:rsidRDefault="00231A95" w:rsidP="00C34EE7">
            <w:pPr>
              <w:spacing w:before="120" w:after="120"/>
              <w:rPr>
                <w:b/>
                <w:sz w:val="16"/>
                <w:szCs w:val="16"/>
              </w:rPr>
            </w:pPr>
          </w:p>
        </w:tc>
        <w:tc>
          <w:tcPr>
            <w:tcW w:w="1134" w:type="dxa"/>
            <w:vAlign w:val="center"/>
          </w:tcPr>
          <w:p w:rsidR="00231A95" w:rsidRPr="00231A95" w:rsidRDefault="00231A95" w:rsidP="00C34EE7">
            <w:pPr>
              <w:spacing w:before="120" w:after="120"/>
              <w:rPr>
                <w:b/>
                <w:sz w:val="16"/>
                <w:szCs w:val="16"/>
              </w:rPr>
            </w:pPr>
          </w:p>
        </w:tc>
        <w:tc>
          <w:tcPr>
            <w:tcW w:w="851" w:type="dxa"/>
            <w:vAlign w:val="center"/>
          </w:tcPr>
          <w:p w:rsidR="00231A95" w:rsidRPr="00231A95" w:rsidRDefault="00231A95" w:rsidP="00C34EE7">
            <w:pPr>
              <w:spacing w:before="120" w:after="120"/>
              <w:rPr>
                <w:b/>
                <w:sz w:val="16"/>
                <w:szCs w:val="16"/>
              </w:rPr>
            </w:pPr>
          </w:p>
        </w:tc>
        <w:tc>
          <w:tcPr>
            <w:tcW w:w="709" w:type="dxa"/>
            <w:vAlign w:val="center"/>
          </w:tcPr>
          <w:p w:rsidR="00231A95" w:rsidRPr="00231A95" w:rsidRDefault="00231A95" w:rsidP="00C34EE7">
            <w:pPr>
              <w:spacing w:before="120" w:after="120"/>
              <w:rPr>
                <w:b/>
                <w:sz w:val="16"/>
                <w:szCs w:val="16"/>
              </w:rPr>
            </w:pPr>
          </w:p>
        </w:tc>
        <w:tc>
          <w:tcPr>
            <w:tcW w:w="1134" w:type="dxa"/>
            <w:vAlign w:val="center"/>
          </w:tcPr>
          <w:p w:rsidR="00231A95" w:rsidRPr="00231A95" w:rsidRDefault="00231A95" w:rsidP="00C34EE7">
            <w:pPr>
              <w:spacing w:before="120" w:after="120"/>
              <w:rPr>
                <w:b/>
                <w:sz w:val="16"/>
                <w:szCs w:val="16"/>
              </w:rPr>
            </w:pPr>
          </w:p>
        </w:tc>
        <w:tc>
          <w:tcPr>
            <w:tcW w:w="1134" w:type="dxa"/>
            <w:vAlign w:val="center"/>
          </w:tcPr>
          <w:p w:rsidR="00231A95" w:rsidRPr="00231A95" w:rsidRDefault="00231A95" w:rsidP="00C34EE7">
            <w:pPr>
              <w:spacing w:before="120" w:after="120"/>
              <w:rPr>
                <w:b/>
                <w:sz w:val="16"/>
                <w:szCs w:val="16"/>
              </w:rPr>
            </w:pPr>
          </w:p>
        </w:tc>
        <w:tc>
          <w:tcPr>
            <w:tcW w:w="850" w:type="dxa"/>
            <w:vAlign w:val="center"/>
          </w:tcPr>
          <w:p w:rsidR="00231A95" w:rsidRPr="00231A95" w:rsidRDefault="00231A95" w:rsidP="00C34EE7">
            <w:pPr>
              <w:spacing w:before="120" w:after="120"/>
              <w:rPr>
                <w:b/>
                <w:sz w:val="16"/>
                <w:szCs w:val="16"/>
              </w:rPr>
            </w:pPr>
          </w:p>
        </w:tc>
        <w:tc>
          <w:tcPr>
            <w:tcW w:w="709" w:type="dxa"/>
            <w:vAlign w:val="center"/>
          </w:tcPr>
          <w:p w:rsidR="00231A95" w:rsidRPr="00231A95" w:rsidRDefault="00231A95" w:rsidP="00C34EE7">
            <w:pPr>
              <w:spacing w:before="120" w:after="120"/>
              <w:rPr>
                <w:b/>
                <w:sz w:val="16"/>
                <w:szCs w:val="16"/>
              </w:rPr>
            </w:pPr>
          </w:p>
        </w:tc>
        <w:tc>
          <w:tcPr>
            <w:tcW w:w="1082" w:type="dxa"/>
            <w:vAlign w:val="center"/>
          </w:tcPr>
          <w:p w:rsidR="00231A95" w:rsidRPr="00231A95" w:rsidRDefault="00231A95" w:rsidP="00C34EE7">
            <w:pPr>
              <w:spacing w:before="120" w:after="120"/>
              <w:rPr>
                <w:b/>
                <w:sz w:val="16"/>
                <w:szCs w:val="16"/>
              </w:rPr>
            </w:pPr>
          </w:p>
        </w:tc>
        <w:tc>
          <w:tcPr>
            <w:tcW w:w="1080" w:type="dxa"/>
            <w:vAlign w:val="center"/>
          </w:tcPr>
          <w:p w:rsidR="00231A95" w:rsidRPr="00231A95" w:rsidRDefault="00231A95" w:rsidP="00C34EE7">
            <w:pPr>
              <w:spacing w:before="120" w:after="120"/>
              <w:rPr>
                <w:b/>
                <w:sz w:val="16"/>
                <w:szCs w:val="16"/>
              </w:rPr>
            </w:pPr>
          </w:p>
        </w:tc>
        <w:tc>
          <w:tcPr>
            <w:tcW w:w="1170" w:type="dxa"/>
            <w:vAlign w:val="center"/>
          </w:tcPr>
          <w:p w:rsidR="00231A95" w:rsidRPr="00231A95" w:rsidRDefault="00231A95" w:rsidP="00C34EE7">
            <w:pPr>
              <w:spacing w:before="120" w:after="120"/>
              <w:rPr>
                <w:b/>
                <w:sz w:val="16"/>
                <w:szCs w:val="16"/>
              </w:rPr>
            </w:pPr>
          </w:p>
        </w:tc>
        <w:tc>
          <w:tcPr>
            <w:tcW w:w="1080" w:type="dxa"/>
            <w:vAlign w:val="center"/>
          </w:tcPr>
          <w:p w:rsidR="00231A95" w:rsidRPr="00231A95" w:rsidRDefault="00231A95" w:rsidP="00C34EE7">
            <w:pPr>
              <w:spacing w:before="120" w:after="120"/>
              <w:rPr>
                <w:b/>
                <w:sz w:val="16"/>
                <w:szCs w:val="16"/>
              </w:rPr>
            </w:pPr>
          </w:p>
        </w:tc>
        <w:tc>
          <w:tcPr>
            <w:tcW w:w="1170" w:type="dxa"/>
            <w:vAlign w:val="center"/>
          </w:tcPr>
          <w:p w:rsidR="00231A95" w:rsidRPr="00231A95" w:rsidRDefault="00231A95" w:rsidP="00C34EE7">
            <w:pPr>
              <w:spacing w:before="120" w:after="120"/>
              <w:rPr>
                <w:b/>
                <w:sz w:val="16"/>
                <w:szCs w:val="16"/>
              </w:rPr>
            </w:pPr>
          </w:p>
        </w:tc>
        <w:tc>
          <w:tcPr>
            <w:tcW w:w="1170" w:type="dxa"/>
            <w:vAlign w:val="center"/>
          </w:tcPr>
          <w:p w:rsidR="00231A95" w:rsidRPr="00231A95" w:rsidRDefault="00231A95" w:rsidP="00C34EE7">
            <w:pPr>
              <w:spacing w:before="120" w:after="120"/>
              <w:rPr>
                <w:b/>
                <w:sz w:val="16"/>
                <w:szCs w:val="16"/>
              </w:rPr>
            </w:pPr>
          </w:p>
        </w:tc>
      </w:tr>
    </w:tbl>
    <w:p w:rsidR="003D0231" w:rsidRDefault="003D0231" w:rsidP="003D0231"/>
    <w:p w:rsidR="003D0231" w:rsidRDefault="003D0231" w:rsidP="003D0231">
      <w:pPr>
        <w:pStyle w:val="Num-DocParagraph"/>
      </w:pPr>
    </w:p>
    <w:p w:rsidR="003D0231" w:rsidRPr="00464177" w:rsidRDefault="003D0231" w:rsidP="003D0231">
      <w:pPr>
        <w:tabs>
          <w:tab w:val="clear" w:pos="850"/>
          <w:tab w:val="clear" w:pos="1191"/>
          <w:tab w:val="clear" w:pos="1531"/>
        </w:tabs>
        <w:jc w:val="left"/>
        <w:rPr>
          <w:rFonts w:ascii="Arial" w:hAnsi="Arial" w:cs="Arial"/>
          <w:b/>
          <w:bCs/>
          <w:sz w:val="18"/>
        </w:rPr>
        <w:sectPr w:rsidR="003D0231" w:rsidRPr="00464177" w:rsidSect="00C34EE7">
          <w:endnotePr>
            <w:numFmt w:val="decimal"/>
          </w:endnotePr>
          <w:pgSz w:w="16838" w:h="11906" w:orient="landscape"/>
          <w:pgMar w:top="1191" w:right="1985" w:bottom="1247" w:left="1814" w:header="1247" w:footer="1247" w:gutter="0"/>
          <w:cols w:space="720"/>
          <w:docGrid w:linePitch="299"/>
        </w:sectPr>
      </w:pPr>
    </w:p>
    <w:p w:rsidR="003D0231" w:rsidRDefault="003D0231" w:rsidP="0019106C">
      <w:pPr>
        <w:pStyle w:val="Heading1"/>
        <w:spacing w:before="360" w:after="360"/>
      </w:pPr>
      <w:r>
        <w:fldChar w:fldCharType="begin"/>
      </w:r>
      <w:r>
        <w:instrText xml:space="preserve"> MACROBUTTON NUMBERING </w:instrText>
      </w:r>
      <w:r>
        <w:fldChar w:fldCharType="begin"/>
      </w:r>
      <w:r>
        <w:instrText xml:space="preserve"> SEQ  cpara \h \r 0</w:instrText>
      </w:r>
      <w:r>
        <w:fldChar w:fldCharType="end"/>
      </w:r>
      <w:r>
        <w:fldChar w:fldCharType="begin"/>
      </w:r>
      <w:r>
        <w:instrText xml:space="preserve"> SEQ  ccount \h</w:instrText>
      </w:r>
      <w:r>
        <w:fldChar w:fldCharType="end"/>
      </w:r>
      <w:bookmarkStart w:id="4" w:name="_Toc433277194"/>
      <w:r>
        <w:fldChar w:fldCharType="end"/>
      </w:r>
      <w:r>
        <w:t>T</w:t>
      </w:r>
      <w:r w:rsidR="008137D0">
        <w:t>able</w:t>
      </w:r>
      <w:r>
        <w:t xml:space="preserve"> 3: </w:t>
      </w:r>
      <w:r w:rsidR="008137D0">
        <w:t>Listed companies with a consolidated public sector ownership of no less than 10%</w:t>
      </w:r>
      <w:r>
        <w:rPr>
          <w:rStyle w:val="FootnoteReference"/>
        </w:rPr>
        <w:footnoteReference w:id="7"/>
      </w:r>
      <w:bookmarkEnd w:id="4"/>
      <w:r>
        <w:t xml:space="preserve">  </w:t>
      </w:r>
    </w:p>
    <w:tbl>
      <w:tblPr>
        <w:tblW w:w="55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5"/>
        <w:gridCol w:w="2363"/>
        <w:gridCol w:w="2471"/>
        <w:gridCol w:w="2689"/>
        <w:gridCol w:w="2517"/>
        <w:gridCol w:w="2117"/>
      </w:tblGrid>
      <w:tr w:rsidR="0012216D" w:rsidRPr="00B438EE" w:rsidTr="00F927B7">
        <w:trPr>
          <w:trHeight w:val="363"/>
          <w:jc w:val="center"/>
        </w:trPr>
        <w:tc>
          <w:tcPr>
            <w:tcW w:w="1170" w:type="pct"/>
            <w:vAlign w:val="center"/>
          </w:tcPr>
          <w:p w:rsidR="00F75836" w:rsidRPr="003E75CC" w:rsidRDefault="00F75836" w:rsidP="003E75CC">
            <w:pPr>
              <w:jc w:val="center"/>
              <w:rPr>
                <w:b/>
                <w:sz w:val="16"/>
                <w:szCs w:val="16"/>
              </w:rPr>
            </w:pPr>
            <w:r w:rsidRPr="003E75CC">
              <w:rPr>
                <w:b/>
                <w:sz w:val="16"/>
                <w:szCs w:val="16"/>
              </w:rPr>
              <w:t>Company name:</w:t>
            </w:r>
          </w:p>
        </w:tc>
        <w:tc>
          <w:tcPr>
            <w:tcW w:w="744" w:type="pct"/>
            <w:vAlign w:val="center"/>
          </w:tcPr>
          <w:p w:rsidR="00F75836" w:rsidRPr="003E75CC" w:rsidRDefault="00F75836" w:rsidP="003E75CC">
            <w:pPr>
              <w:jc w:val="center"/>
              <w:rPr>
                <w:b/>
                <w:sz w:val="16"/>
                <w:szCs w:val="16"/>
              </w:rPr>
            </w:pPr>
            <w:r w:rsidRPr="003E75CC">
              <w:rPr>
                <w:b/>
                <w:sz w:val="16"/>
                <w:szCs w:val="16"/>
              </w:rPr>
              <w:t>Main economic activity:</w:t>
            </w:r>
          </w:p>
        </w:tc>
        <w:tc>
          <w:tcPr>
            <w:tcW w:w="778" w:type="pct"/>
            <w:vAlign w:val="center"/>
          </w:tcPr>
          <w:p w:rsidR="00F75836" w:rsidRPr="003E75CC" w:rsidRDefault="00F75836" w:rsidP="003E75CC">
            <w:pPr>
              <w:jc w:val="center"/>
              <w:rPr>
                <w:b/>
                <w:sz w:val="16"/>
                <w:szCs w:val="16"/>
              </w:rPr>
            </w:pPr>
            <w:r w:rsidRPr="003E75CC">
              <w:rPr>
                <w:b/>
                <w:sz w:val="16"/>
                <w:szCs w:val="16"/>
              </w:rPr>
              <w:t>Stock exchange(s) of listing:</w:t>
            </w:r>
          </w:p>
        </w:tc>
        <w:tc>
          <w:tcPr>
            <w:tcW w:w="847" w:type="pct"/>
            <w:vAlign w:val="center"/>
          </w:tcPr>
          <w:p w:rsidR="00F75836" w:rsidRPr="003E75CC" w:rsidRDefault="00F75836" w:rsidP="003E75CC">
            <w:pPr>
              <w:jc w:val="center"/>
              <w:rPr>
                <w:b/>
                <w:sz w:val="16"/>
                <w:szCs w:val="16"/>
              </w:rPr>
            </w:pPr>
            <w:r w:rsidRPr="003E75CC">
              <w:rPr>
                <w:b/>
                <w:sz w:val="16"/>
                <w:szCs w:val="16"/>
              </w:rPr>
              <w:t>Percentage government ownership</w:t>
            </w:r>
            <w:r w:rsidRPr="003E75CC">
              <w:rPr>
                <w:sz w:val="16"/>
                <w:szCs w:val="16"/>
                <w:vertAlign w:val="superscript"/>
              </w:rPr>
              <w:footnoteReference w:id="8"/>
            </w:r>
            <w:r w:rsidRPr="003E75CC">
              <w:rPr>
                <w:b/>
                <w:sz w:val="16"/>
                <w:szCs w:val="16"/>
              </w:rPr>
              <w:t>:</w:t>
            </w:r>
          </w:p>
        </w:tc>
        <w:tc>
          <w:tcPr>
            <w:tcW w:w="793" w:type="pct"/>
            <w:vAlign w:val="center"/>
          </w:tcPr>
          <w:p w:rsidR="00F75836" w:rsidRPr="003E75CC" w:rsidRDefault="00F75836" w:rsidP="003E75CC">
            <w:pPr>
              <w:jc w:val="center"/>
              <w:rPr>
                <w:b/>
                <w:sz w:val="16"/>
                <w:szCs w:val="16"/>
              </w:rPr>
            </w:pPr>
            <w:r w:rsidRPr="003E75CC">
              <w:rPr>
                <w:b/>
                <w:sz w:val="16"/>
                <w:szCs w:val="16"/>
              </w:rPr>
              <w:t>Market value of company</w:t>
            </w:r>
          </w:p>
        </w:tc>
        <w:tc>
          <w:tcPr>
            <w:tcW w:w="667" w:type="pct"/>
            <w:vAlign w:val="center"/>
          </w:tcPr>
          <w:p w:rsidR="00F75836" w:rsidRPr="003E75CC" w:rsidRDefault="00F75836" w:rsidP="00F927B7">
            <w:pPr>
              <w:jc w:val="center"/>
              <w:rPr>
                <w:b/>
                <w:sz w:val="16"/>
                <w:szCs w:val="16"/>
              </w:rPr>
            </w:pPr>
            <w:r w:rsidRPr="003E75CC">
              <w:rPr>
                <w:b/>
                <w:sz w:val="16"/>
                <w:szCs w:val="16"/>
              </w:rPr>
              <w:t>N° of employees</w:t>
            </w: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r w:rsidR="0012216D" w:rsidRPr="00B438EE" w:rsidTr="00F927B7">
        <w:trPr>
          <w:trHeight w:val="363"/>
          <w:jc w:val="center"/>
        </w:trPr>
        <w:tc>
          <w:tcPr>
            <w:tcW w:w="1170" w:type="pct"/>
          </w:tcPr>
          <w:p w:rsidR="00F75836" w:rsidRPr="003E75CC" w:rsidRDefault="00F75836" w:rsidP="003E75CC">
            <w:pPr>
              <w:jc w:val="center"/>
              <w:rPr>
                <w:b/>
                <w:sz w:val="16"/>
                <w:szCs w:val="16"/>
              </w:rPr>
            </w:pPr>
          </w:p>
        </w:tc>
        <w:tc>
          <w:tcPr>
            <w:tcW w:w="744" w:type="pct"/>
          </w:tcPr>
          <w:p w:rsidR="00F75836" w:rsidRPr="003E75CC" w:rsidRDefault="00F75836" w:rsidP="003E75CC">
            <w:pPr>
              <w:jc w:val="center"/>
              <w:rPr>
                <w:b/>
                <w:sz w:val="16"/>
                <w:szCs w:val="16"/>
              </w:rPr>
            </w:pPr>
          </w:p>
        </w:tc>
        <w:tc>
          <w:tcPr>
            <w:tcW w:w="778" w:type="pct"/>
          </w:tcPr>
          <w:p w:rsidR="00F75836" w:rsidRPr="003E75CC" w:rsidRDefault="00F75836" w:rsidP="003E75CC">
            <w:pPr>
              <w:jc w:val="center"/>
              <w:rPr>
                <w:b/>
                <w:sz w:val="16"/>
                <w:szCs w:val="16"/>
              </w:rPr>
            </w:pPr>
          </w:p>
        </w:tc>
        <w:tc>
          <w:tcPr>
            <w:tcW w:w="847" w:type="pct"/>
          </w:tcPr>
          <w:p w:rsidR="00F75836" w:rsidRPr="003E75CC" w:rsidRDefault="00F75836" w:rsidP="003E75CC">
            <w:pPr>
              <w:jc w:val="center"/>
              <w:rPr>
                <w:b/>
                <w:sz w:val="16"/>
                <w:szCs w:val="16"/>
              </w:rPr>
            </w:pPr>
          </w:p>
        </w:tc>
        <w:tc>
          <w:tcPr>
            <w:tcW w:w="793" w:type="pct"/>
          </w:tcPr>
          <w:p w:rsidR="00F75836" w:rsidRPr="003E75CC" w:rsidRDefault="00F75836" w:rsidP="003E75CC">
            <w:pPr>
              <w:jc w:val="center"/>
              <w:rPr>
                <w:b/>
                <w:sz w:val="16"/>
                <w:szCs w:val="16"/>
              </w:rPr>
            </w:pPr>
          </w:p>
        </w:tc>
        <w:tc>
          <w:tcPr>
            <w:tcW w:w="667" w:type="pct"/>
          </w:tcPr>
          <w:p w:rsidR="00F75836" w:rsidRPr="003E75CC" w:rsidRDefault="00F75836" w:rsidP="003E75CC">
            <w:pPr>
              <w:jc w:val="center"/>
              <w:rPr>
                <w:b/>
                <w:sz w:val="16"/>
                <w:szCs w:val="16"/>
              </w:rPr>
            </w:pPr>
          </w:p>
        </w:tc>
      </w:tr>
    </w:tbl>
    <w:p w:rsidR="003D0231" w:rsidRDefault="003D0231" w:rsidP="003D0231"/>
    <w:p w:rsidR="003D0231" w:rsidRPr="006905D1" w:rsidRDefault="003D0231" w:rsidP="003D0231">
      <w:pPr>
        <w:pStyle w:val="BodyText"/>
      </w:pPr>
    </w:p>
    <w:p w:rsidR="00B73F1B" w:rsidRDefault="00B73F1B" w:rsidP="0019106C">
      <w:pPr>
        <w:pStyle w:val="Heading1"/>
        <w:spacing w:before="360" w:after="360"/>
        <w:rPr>
          <w:lang w:val="en-US"/>
        </w:rPr>
        <w:sectPr w:rsidR="00B73F1B" w:rsidSect="0012216D">
          <w:pgSz w:w="16838" w:h="11906" w:orient="landscape"/>
          <w:pgMar w:top="1440" w:right="1440" w:bottom="1440" w:left="1440" w:header="709" w:footer="709" w:gutter="0"/>
          <w:cols w:space="708"/>
          <w:docGrid w:linePitch="360"/>
        </w:sectPr>
      </w:pPr>
    </w:p>
    <w:p w:rsidR="004A7071" w:rsidRDefault="007A14DB" w:rsidP="0019106C">
      <w:pPr>
        <w:pStyle w:val="Heading1"/>
        <w:spacing w:before="360" w:after="360"/>
        <w:rPr>
          <w:lang w:val="en-US"/>
        </w:rPr>
      </w:pPr>
      <w:bookmarkStart w:id="5" w:name="_Toc433277195"/>
      <w:r w:rsidRPr="007A14DB">
        <w:rPr>
          <w:lang w:val="en-US"/>
        </w:rPr>
        <w:t>T</w:t>
      </w:r>
      <w:r w:rsidR="008137D0">
        <w:rPr>
          <w:lang w:val="en-US"/>
        </w:rPr>
        <w:t>able</w:t>
      </w:r>
      <w:r w:rsidRPr="007A14DB">
        <w:rPr>
          <w:lang w:val="en-US"/>
        </w:rPr>
        <w:t xml:space="preserve"> </w:t>
      </w:r>
      <w:r>
        <w:rPr>
          <w:lang w:val="en-US"/>
        </w:rPr>
        <w:t>4</w:t>
      </w:r>
      <w:r w:rsidRPr="007A14DB">
        <w:rPr>
          <w:lang w:val="en-US"/>
        </w:rPr>
        <w:t xml:space="preserve">: </w:t>
      </w:r>
      <w:r w:rsidR="008137D0">
        <w:rPr>
          <w:lang w:val="en-US"/>
        </w:rPr>
        <w:t>Individual large state-owned enterprises</w:t>
      </w:r>
      <w:bookmarkEnd w:id="5"/>
      <w:r w:rsidR="008137D0">
        <w:rPr>
          <w:lang w:val="en-US"/>
        </w:rPr>
        <w:t xml:space="preserve"> </w:t>
      </w:r>
    </w:p>
    <w:p w:rsidR="003D0231" w:rsidRDefault="0001776E" w:rsidP="0012216D">
      <w:pPr>
        <w:pStyle w:val="BodyText"/>
        <w:ind w:left="-993" w:right="-926"/>
        <w:rPr>
          <w:lang w:val="en-US"/>
        </w:rPr>
      </w:pPr>
      <w:r>
        <w:rPr>
          <w:lang w:val="en-US"/>
        </w:rPr>
        <w:t>In completing the below</w:t>
      </w:r>
      <w:r w:rsidR="00EE2D83">
        <w:rPr>
          <w:lang w:val="en-US"/>
        </w:rPr>
        <w:t xml:space="preserve"> table</w:t>
      </w:r>
      <w:r>
        <w:rPr>
          <w:lang w:val="en-US"/>
        </w:rPr>
        <w:t xml:space="preserve">, </w:t>
      </w:r>
      <w:r w:rsidR="00161A5C">
        <w:rPr>
          <w:lang w:val="en-US"/>
        </w:rPr>
        <w:t>r</w:t>
      </w:r>
      <w:r w:rsidR="00161A5C" w:rsidRPr="00161A5C">
        <w:rPr>
          <w:lang w:val="en-US"/>
        </w:rPr>
        <w:t xml:space="preserve">espondents are invited to include at least </w:t>
      </w:r>
      <w:r w:rsidR="00C93AFC">
        <w:rPr>
          <w:lang w:val="en-US"/>
        </w:rPr>
        <w:t xml:space="preserve">the country’s </w:t>
      </w:r>
      <w:r w:rsidR="008A055D">
        <w:rPr>
          <w:lang w:val="en-US"/>
        </w:rPr>
        <w:t>5</w:t>
      </w:r>
      <w:r w:rsidR="00161A5C" w:rsidRPr="00161A5C">
        <w:rPr>
          <w:lang w:val="en-US"/>
        </w:rPr>
        <w:t xml:space="preserve"> largest SOEs</w:t>
      </w:r>
      <w:r w:rsidR="008A055D">
        <w:rPr>
          <w:lang w:val="en-US"/>
        </w:rPr>
        <w:t xml:space="preserve"> </w:t>
      </w:r>
      <w:r w:rsidR="00C93AFC">
        <w:rPr>
          <w:lang w:val="en-US"/>
        </w:rPr>
        <w:t>by value</w:t>
      </w:r>
      <w:r w:rsidR="004641C0">
        <w:rPr>
          <w:lang w:val="en-US"/>
        </w:rPr>
        <w:t xml:space="preserve">, as well as </w:t>
      </w:r>
      <w:r w:rsidR="008A055D">
        <w:rPr>
          <w:lang w:val="en-US"/>
        </w:rPr>
        <w:t xml:space="preserve">any additional SOEs that </w:t>
      </w:r>
      <w:r w:rsidR="004A7071" w:rsidRPr="004A7071">
        <w:rPr>
          <w:lang w:val="en-US"/>
        </w:rPr>
        <w:t xml:space="preserve">fulfil one out of the following three criteria: (1) </w:t>
      </w:r>
      <w:r w:rsidR="004641C0">
        <w:rPr>
          <w:lang w:val="en-US"/>
        </w:rPr>
        <w:t>having</w:t>
      </w:r>
      <w:r w:rsidR="004A7071" w:rsidRPr="004A7071">
        <w:rPr>
          <w:lang w:val="en-US"/>
        </w:rPr>
        <w:t xml:space="preserve"> a market capitalisation or estimated value of more than USD 100 million; (2) </w:t>
      </w:r>
      <w:r w:rsidR="004641C0">
        <w:rPr>
          <w:lang w:val="en-US"/>
        </w:rPr>
        <w:t>having</w:t>
      </w:r>
      <w:r w:rsidR="004A7071" w:rsidRPr="004A7071">
        <w:rPr>
          <w:lang w:val="en-US"/>
        </w:rPr>
        <w:t xml:space="preserve"> annual revenues exceeding USD 100 million; (3) </w:t>
      </w:r>
      <w:r w:rsidR="004641C0">
        <w:rPr>
          <w:lang w:val="en-US"/>
        </w:rPr>
        <w:t xml:space="preserve">having </w:t>
      </w:r>
      <w:r w:rsidR="004A7071" w:rsidRPr="004A7071">
        <w:rPr>
          <w:lang w:val="en-US"/>
        </w:rPr>
        <w:t>more than 500 employees. (In case respondents need to deviate from this definition they are kindly requested to explain to the Secretariat why, and describe the alternative definitions they have applied.)</w:t>
      </w:r>
      <w:r w:rsidR="00161A5C">
        <w:rPr>
          <w:lang w:val="en-US"/>
        </w:rPr>
        <w:t xml:space="preserve">  </w:t>
      </w:r>
      <w:r w:rsidR="004A7071" w:rsidRPr="004A7071">
        <w:rPr>
          <w:lang w:val="en-US"/>
        </w:rPr>
        <w:t xml:space="preserve"> </w:t>
      </w:r>
      <w:r w:rsidR="007A14DB">
        <w:rPr>
          <w:lang w:val="en-US"/>
        </w:rPr>
        <w:t xml:space="preserve"> </w:t>
      </w:r>
    </w:p>
    <w:p w:rsidR="00B73F1B" w:rsidRDefault="004A7071" w:rsidP="00D75895">
      <w:pPr>
        <w:pStyle w:val="BodyText"/>
        <w:ind w:left="-993" w:right="-926"/>
        <w:rPr>
          <w:lang w:val="en-US"/>
        </w:rPr>
      </w:pPr>
      <w:r w:rsidRPr="004A7071">
        <w:rPr>
          <w:lang w:val="en-US"/>
        </w:rPr>
        <w:t xml:space="preserve">Respondents are </w:t>
      </w:r>
      <w:r>
        <w:rPr>
          <w:lang w:val="en-US"/>
        </w:rPr>
        <w:t xml:space="preserve">further </w:t>
      </w:r>
      <w:r w:rsidRPr="004A7071">
        <w:rPr>
          <w:lang w:val="en-US"/>
        </w:rPr>
        <w:t xml:space="preserve">invited to provide supplementary information regarding companies that </w:t>
      </w:r>
      <w:r w:rsidR="0001776E">
        <w:rPr>
          <w:lang w:val="en-US"/>
        </w:rPr>
        <w:t xml:space="preserve">do not fulfill at least one of the above criteria, </w:t>
      </w:r>
      <w:r w:rsidRPr="004A7071">
        <w:rPr>
          <w:lang w:val="en-US"/>
        </w:rPr>
        <w:t xml:space="preserve">but where public authorities nevertheless exert a considerable </w:t>
      </w:r>
      <w:r w:rsidR="0001776E">
        <w:rPr>
          <w:lang w:val="en-US"/>
        </w:rPr>
        <w:t>degre</w:t>
      </w:r>
      <w:r w:rsidRPr="004A7071">
        <w:rPr>
          <w:lang w:val="en-US"/>
        </w:rPr>
        <w:t xml:space="preserve">e of influence. This could for example include companies with large investments by public pension funds or other government-influenced investment vehicles. It could also include companies in which </w:t>
      </w:r>
      <w:r w:rsidR="0001776E" w:rsidRPr="004A7071">
        <w:rPr>
          <w:lang w:val="en-US"/>
        </w:rPr>
        <w:t>the government wields an influence greatly exceeding its ownership of voting shares</w:t>
      </w:r>
      <w:r w:rsidR="0001776E">
        <w:rPr>
          <w:lang w:val="en-US"/>
        </w:rPr>
        <w:t>,</w:t>
      </w:r>
      <w:r w:rsidR="0001776E" w:rsidRPr="004A7071">
        <w:rPr>
          <w:lang w:val="en-US"/>
        </w:rPr>
        <w:t xml:space="preserve"> </w:t>
      </w:r>
      <w:r w:rsidRPr="004A7071">
        <w:rPr>
          <w:lang w:val="en-US"/>
        </w:rPr>
        <w:t xml:space="preserve">for instance </w:t>
      </w:r>
      <w:r w:rsidR="0001776E">
        <w:rPr>
          <w:lang w:val="en-US"/>
        </w:rPr>
        <w:t xml:space="preserve">due to </w:t>
      </w:r>
      <w:r w:rsidRPr="004A7071">
        <w:rPr>
          <w:lang w:val="en-US"/>
        </w:rPr>
        <w:t xml:space="preserve">golden shares or </w:t>
      </w:r>
      <w:r w:rsidR="00760905">
        <w:rPr>
          <w:lang w:val="en-US"/>
        </w:rPr>
        <w:t>provisions</w:t>
      </w:r>
      <w:r w:rsidR="0001776E">
        <w:rPr>
          <w:lang w:val="en-US"/>
        </w:rPr>
        <w:t xml:space="preserve"> in the companies’ </w:t>
      </w:r>
      <w:r w:rsidRPr="004A7071">
        <w:rPr>
          <w:lang w:val="en-US"/>
        </w:rPr>
        <w:t>articles of association.</w:t>
      </w:r>
      <w:r w:rsidR="00F927B7">
        <w:rPr>
          <w:lang w:val="en-US"/>
        </w:rPr>
        <w:t xml:space="preserve"> Please add rows if necessary.</w:t>
      </w:r>
    </w:p>
    <w:tbl>
      <w:tblPr>
        <w:tblW w:w="5651"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7"/>
        <w:gridCol w:w="1560"/>
        <w:gridCol w:w="1419"/>
        <w:gridCol w:w="1692"/>
        <w:gridCol w:w="1144"/>
        <w:gridCol w:w="1233"/>
        <w:gridCol w:w="2009"/>
        <w:gridCol w:w="3415"/>
      </w:tblGrid>
      <w:tr w:rsidR="0012216D" w:rsidRPr="003B5B2C" w:rsidTr="00F927B7">
        <w:trPr>
          <w:cantSplit/>
          <w:trHeight w:val="363"/>
        </w:trPr>
        <w:tc>
          <w:tcPr>
            <w:tcW w:w="1107" w:type="pct"/>
            <w:vAlign w:val="center"/>
            <w:hideMark/>
          </w:tcPr>
          <w:p w:rsidR="003D0231" w:rsidRPr="00A64E55" w:rsidRDefault="003D0231" w:rsidP="00A836C5">
            <w:pPr>
              <w:jc w:val="center"/>
              <w:rPr>
                <w:b/>
                <w:bCs/>
                <w:color w:val="000000"/>
                <w:sz w:val="18"/>
                <w:szCs w:val="18"/>
                <w:lang w:val="en-US" w:eastAsia="lt-LT"/>
              </w:rPr>
            </w:pPr>
            <w:r w:rsidRPr="00A64E55">
              <w:rPr>
                <w:b/>
                <w:bCs/>
                <w:color w:val="000000"/>
                <w:sz w:val="18"/>
                <w:szCs w:val="18"/>
                <w:lang w:val="en-US" w:eastAsia="lt-LT"/>
              </w:rPr>
              <w:t xml:space="preserve">Name of the SOE </w:t>
            </w:r>
            <w:r w:rsidRPr="00A64E55">
              <w:rPr>
                <w:b/>
                <w:bCs/>
                <w:color w:val="000000"/>
                <w:sz w:val="18"/>
                <w:szCs w:val="18"/>
                <w:lang w:val="en-US" w:eastAsia="lt-LT"/>
              </w:rPr>
              <w:br/>
              <w:t>and its subsidiaries</w:t>
            </w:r>
            <w:r w:rsidR="004A7071">
              <w:rPr>
                <w:b/>
                <w:bCs/>
                <w:color w:val="000000"/>
                <w:sz w:val="18"/>
                <w:szCs w:val="18"/>
                <w:lang w:val="en-US" w:eastAsia="lt-LT"/>
              </w:rPr>
              <w:t xml:space="preserve"> (if possible please include link to website)</w:t>
            </w:r>
          </w:p>
        </w:tc>
        <w:tc>
          <w:tcPr>
            <w:tcW w:w="487" w:type="pct"/>
            <w:vAlign w:val="center"/>
            <w:hideMark/>
          </w:tcPr>
          <w:p w:rsidR="003D0231" w:rsidRPr="00A64E55" w:rsidRDefault="003D0231" w:rsidP="00A836C5">
            <w:pPr>
              <w:jc w:val="center"/>
              <w:rPr>
                <w:b/>
                <w:bCs/>
                <w:color w:val="000000"/>
                <w:sz w:val="18"/>
                <w:szCs w:val="18"/>
                <w:lang w:val="en-US" w:eastAsia="lt-LT"/>
              </w:rPr>
            </w:pPr>
            <w:r w:rsidRPr="00A64E55">
              <w:rPr>
                <w:b/>
                <w:bCs/>
                <w:color w:val="000000"/>
                <w:sz w:val="18"/>
                <w:szCs w:val="18"/>
                <w:lang w:val="en-US" w:eastAsia="lt-LT"/>
              </w:rPr>
              <w:t>Main sector</w:t>
            </w:r>
            <w:r w:rsidRPr="00A64E55">
              <w:rPr>
                <w:b/>
                <w:bCs/>
                <w:color w:val="000000"/>
                <w:sz w:val="18"/>
                <w:szCs w:val="18"/>
                <w:lang w:val="en-US" w:eastAsia="lt-LT"/>
              </w:rPr>
              <w:br/>
              <w:t>of operation</w:t>
            </w:r>
            <w:r w:rsidR="004A7071">
              <w:rPr>
                <w:rStyle w:val="FootnoteReference"/>
                <w:b/>
                <w:bCs/>
                <w:color w:val="000000"/>
                <w:sz w:val="18"/>
                <w:szCs w:val="18"/>
                <w:lang w:val="en-US" w:eastAsia="lt-LT"/>
              </w:rPr>
              <w:footnoteReference w:id="9"/>
            </w:r>
          </w:p>
        </w:tc>
        <w:tc>
          <w:tcPr>
            <w:tcW w:w="443" w:type="pct"/>
            <w:vAlign w:val="center"/>
            <w:hideMark/>
          </w:tcPr>
          <w:p w:rsidR="003D0231" w:rsidRPr="00A64E55" w:rsidRDefault="00BF7161" w:rsidP="003E75CC">
            <w:pPr>
              <w:jc w:val="center"/>
              <w:rPr>
                <w:b/>
                <w:bCs/>
                <w:color w:val="000000"/>
                <w:sz w:val="18"/>
                <w:szCs w:val="18"/>
                <w:lang w:val="en-US" w:eastAsia="lt-LT"/>
              </w:rPr>
            </w:pPr>
            <w:r>
              <w:rPr>
                <w:b/>
                <w:bCs/>
                <w:color w:val="000000"/>
                <w:sz w:val="18"/>
                <w:szCs w:val="18"/>
                <w:lang w:val="en-US" w:eastAsia="lt-LT"/>
              </w:rPr>
              <w:t>Corporate</w:t>
            </w:r>
            <w:r w:rsidR="003D0231">
              <w:rPr>
                <w:b/>
                <w:bCs/>
                <w:color w:val="000000"/>
                <w:sz w:val="18"/>
                <w:szCs w:val="18"/>
                <w:lang w:val="en-US" w:eastAsia="lt-LT"/>
              </w:rPr>
              <w:t xml:space="preserve"> form</w:t>
            </w:r>
            <w:r w:rsidR="003E75CC">
              <w:rPr>
                <w:b/>
                <w:bCs/>
                <w:color w:val="000000"/>
                <w:sz w:val="18"/>
                <w:szCs w:val="18"/>
                <w:lang w:val="en-US" w:eastAsia="lt-LT"/>
              </w:rPr>
              <w:t xml:space="preserve"> (e.g. </w:t>
            </w:r>
            <w:r w:rsidR="003E75CC" w:rsidRPr="003E75CC">
              <w:rPr>
                <w:b/>
                <w:bCs/>
                <w:color w:val="000000"/>
                <w:sz w:val="18"/>
                <w:szCs w:val="18"/>
                <w:lang w:val="en-US" w:eastAsia="lt-LT"/>
              </w:rPr>
              <w:t>listed company, unlisted joint stock company, statutory corporation, other</w:t>
            </w:r>
            <w:r w:rsidR="003E75CC">
              <w:rPr>
                <w:b/>
                <w:bCs/>
                <w:color w:val="000000"/>
                <w:sz w:val="18"/>
                <w:szCs w:val="18"/>
                <w:lang w:val="en-US" w:eastAsia="lt-LT"/>
              </w:rPr>
              <w:t>)</w:t>
            </w:r>
          </w:p>
        </w:tc>
        <w:tc>
          <w:tcPr>
            <w:tcW w:w="885" w:type="pct"/>
            <w:gridSpan w:val="2"/>
            <w:tcBorders>
              <w:bottom w:val="single" w:sz="4" w:space="0" w:color="auto"/>
            </w:tcBorders>
            <w:vAlign w:val="center"/>
            <w:hideMark/>
          </w:tcPr>
          <w:p w:rsidR="003D0231" w:rsidRPr="00A64E55" w:rsidRDefault="003D0231" w:rsidP="00A836C5">
            <w:pPr>
              <w:jc w:val="center"/>
              <w:rPr>
                <w:b/>
                <w:bCs/>
                <w:color w:val="000000"/>
                <w:sz w:val="18"/>
                <w:szCs w:val="18"/>
                <w:lang w:val="en-US" w:eastAsia="lt-LT"/>
              </w:rPr>
            </w:pPr>
            <w:r>
              <w:rPr>
                <w:b/>
                <w:bCs/>
                <w:color w:val="000000"/>
                <w:sz w:val="18"/>
                <w:szCs w:val="18"/>
                <w:lang w:val="en-US" w:eastAsia="lt-LT"/>
              </w:rPr>
              <w:t>Size of</w:t>
            </w:r>
            <w:r>
              <w:rPr>
                <w:b/>
                <w:bCs/>
                <w:color w:val="000000"/>
                <w:sz w:val="18"/>
                <w:szCs w:val="18"/>
                <w:lang w:val="en-US" w:eastAsia="lt-LT"/>
              </w:rPr>
              <w:br/>
              <w:t>enterprise</w:t>
            </w:r>
          </w:p>
        </w:tc>
        <w:tc>
          <w:tcPr>
            <w:tcW w:w="385" w:type="pct"/>
            <w:vAlign w:val="center"/>
            <w:hideMark/>
          </w:tcPr>
          <w:p w:rsidR="003D0231" w:rsidRPr="00A64E55" w:rsidRDefault="003D0231" w:rsidP="00A836C5">
            <w:pPr>
              <w:jc w:val="center"/>
              <w:rPr>
                <w:b/>
                <w:bCs/>
                <w:color w:val="000000"/>
                <w:sz w:val="18"/>
                <w:szCs w:val="18"/>
                <w:lang w:val="en-US" w:eastAsia="lt-LT"/>
              </w:rPr>
            </w:pPr>
            <w:r w:rsidRPr="00A64E55">
              <w:rPr>
                <w:b/>
                <w:bCs/>
                <w:color w:val="000000"/>
                <w:sz w:val="18"/>
                <w:szCs w:val="18"/>
                <w:lang w:val="en-US" w:eastAsia="lt-LT"/>
              </w:rPr>
              <w:t>Share of the</w:t>
            </w:r>
            <w:r w:rsidRPr="00A64E55">
              <w:rPr>
                <w:b/>
                <w:bCs/>
                <w:color w:val="000000"/>
                <w:sz w:val="18"/>
                <w:szCs w:val="18"/>
                <w:lang w:val="en-US" w:eastAsia="lt-LT"/>
              </w:rPr>
              <w:br/>
            </w:r>
            <w:r>
              <w:rPr>
                <w:b/>
                <w:bCs/>
                <w:color w:val="000000"/>
                <w:sz w:val="18"/>
                <w:szCs w:val="18"/>
                <w:lang w:val="en-US" w:eastAsia="lt-LT"/>
              </w:rPr>
              <w:t>enterprise</w:t>
            </w:r>
            <w:r w:rsidRPr="00A64E55">
              <w:rPr>
                <w:b/>
                <w:bCs/>
                <w:color w:val="000000"/>
                <w:sz w:val="18"/>
                <w:szCs w:val="18"/>
                <w:lang w:val="en-US" w:eastAsia="lt-LT"/>
              </w:rPr>
              <w:t xml:space="preserve"> owned</w:t>
            </w:r>
            <w:r w:rsidRPr="00A64E55">
              <w:rPr>
                <w:b/>
                <w:bCs/>
                <w:color w:val="000000"/>
                <w:sz w:val="18"/>
                <w:szCs w:val="18"/>
                <w:lang w:val="en-US" w:eastAsia="lt-LT"/>
              </w:rPr>
              <w:br/>
              <w:t>by the state</w:t>
            </w:r>
            <w:r w:rsidR="004A7071">
              <w:rPr>
                <w:rStyle w:val="FootnoteReference"/>
                <w:b/>
                <w:bCs/>
                <w:color w:val="000000"/>
                <w:sz w:val="18"/>
                <w:szCs w:val="18"/>
                <w:lang w:val="en-US" w:eastAsia="lt-LT"/>
              </w:rPr>
              <w:footnoteReference w:id="10"/>
            </w:r>
          </w:p>
        </w:tc>
        <w:tc>
          <w:tcPr>
            <w:tcW w:w="627" w:type="pct"/>
            <w:vAlign w:val="center"/>
            <w:hideMark/>
          </w:tcPr>
          <w:p w:rsidR="003D0231" w:rsidRPr="00A64E55" w:rsidRDefault="003D0231" w:rsidP="00A836C5">
            <w:pPr>
              <w:jc w:val="center"/>
              <w:rPr>
                <w:b/>
                <w:bCs/>
                <w:color w:val="000000"/>
                <w:sz w:val="18"/>
                <w:szCs w:val="18"/>
                <w:lang w:val="en-US" w:eastAsia="lt-LT"/>
              </w:rPr>
            </w:pPr>
            <w:r w:rsidRPr="00A64E55">
              <w:rPr>
                <w:b/>
                <w:bCs/>
                <w:color w:val="000000"/>
                <w:sz w:val="18"/>
                <w:szCs w:val="18"/>
                <w:lang w:val="en-US" w:eastAsia="lt-LT"/>
              </w:rPr>
              <w:t>Name and nature of the</w:t>
            </w:r>
            <w:r w:rsidRPr="00A64E55">
              <w:rPr>
                <w:b/>
                <w:bCs/>
                <w:color w:val="000000"/>
                <w:sz w:val="18"/>
                <w:szCs w:val="18"/>
                <w:lang w:val="en-US" w:eastAsia="lt-LT"/>
              </w:rPr>
              <w:br/>
              <w:t>government body/bodies</w:t>
            </w:r>
            <w:r w:rsidRPr="00A64E55">
              <w:rPr>
                <w:b/>
                <w:bCs/>
                <w:color w:val="000000"/>
                <w:sz w:val="18"/>
                <w:szCs w:val="18"/>
                <w:lang w:val="en-US" w:eastAsia="lt-LT"/>
              </w:rPr>
              <w:br/>
              <w:t xml:space="preserve">owning and exercising </w:t>
            </w:r>
            <w:r w:rsidRPr="00A64E55">
              <w:rPr>
                <w:b/>
                <w:bCs/>
                <w:color w:val="000000"/>
                <w:sz w:val="18"/>
                <w:szCs w:val="18"/>
                <w:lang w:val="en-US" w:eastAsia="lt-LT"/>
              </w:rPr>
              <w:br/>
              <w:t>the ownership function</w:t>
            </w:r>
          </w:p>
        </w:tc>
        <w:tc>
          <w:tcPr>
            <w:tcW w:w="1066" w:type="pct"/>
            <w:vAlign w:val="center"/>
            <w:hideMark/>
          </w:tcPr>
          <w:p w:rsidR="003D0231" w:rsidRPr="00A64E55" w:rsidRDefault="003D0231" w:rsidP="003E75CC">
            <w:pPr>
              <w:jc w:val="center"/>
              <w:rPr>
                <w:b/>
                <w:bCs/>
                <w:color w:val="000000"/>
                <w:sz w:val="18"/>
                <w:szCs w:val="18"/>
                <w:lang w:val="en-US" w:eastAsia="lt-LT"/>
              </w:rPr>
            </w:pPr>
            <w:r w:rsidRPr="00A64E55">
              <w:rPr>
                <w:b/>
                <w:bCs/>
                <w:color w:val="000000"/>
                <w:sz w:val="18"/>
                <w:szCs w:val="18"/>
                <w:lang w:val="en-US" w:eastAsia="lt-LT"/>
              </w:rPr>
              <w:t xml:space="preserve">Changes within the last five years </w:t>
            </w:r>
            <w:r w:rsidRPr="00A64E55">
              <w:rPr>
                <w:b/>
                <w:bCs/>
                <w:color w:val="000000"/>
                <w:sz w:val="18"/>
                <w:szCs w:val="18"/>
                <w:lang w:val="en-US" w:eastAsia="lt-LT"/>
              </w:rPr>
              <w:br/>
              <w:t>of the ownership and control structures</w:t>
            </w:r>
            <w:r w:rsidR="003E75CC">
              <w:rPr>
                <w:b/>
                <w:bCs/>
                <w:color w:val="000000"/>
                <w:sz w:val="18"/>
                <w:szCs w:val="18"/>
                <w:lang w:val="en-US" w:eastAsia="lt-LT"/>
              </w:rPr>
              <w:t xml:space="preserve"> (</w:t>
            </w:r>
            <w:r w:rsidR="003E75CC" w:rsidRPr="003E75CC">
              <w:rPr>
                <w:b/>
                <w:bCs/>
                <w:color w:val="000000"/>
                <w:sz w:val="18"/>
                <w:szCs w:val="18"/>
                <w:lang w:val="en-US" w:eastAsia="lt-LT"/>
              </w:rPr>
              <w:t>change in government ownership share; change in corporate structure; reallocation of the ownership/control within the general government sector</w:t>
            </w:r>
            <w:r w:rsidR="003E75CC">
              <w:rPr>
                <w:b/>
                <w:bCs/>
                <w:color w:val="000000"/>
                <w:sz w:val="18"/>
                <w:szCs w:val="18"/>
                <w:lang w:val="en-US" w:eastAsia="lt-LT"/>
              </w:rPr>
              <w:t>)</w:t>
            </w:r>
          </w:p>
        </w:tc>
      </w:tr>
      <w:tr w:rsidR="0012216D" w:rsidRPr="003B5B2C" w:rsidTr="00212B88">
        <w:trPr>
          <w:cantSplit/>
          <w:trHeight w:val="284"/>
        </w:trPr>
        <w:tc>
          <w:tcPr>
            <w:tcW w:w="1107" w:type="pct"/>
            <w:vMerge w:val="restart"/>
            <w:vAlign w:val="center"/>
          </w:tcPr>
          <w:p w:rsidR="00B438EE" w:rsidRPr="00A64E55" w:rsidRDefault="00B438EE" w:rsidP="00C34EE7">
            <w:pPr>
              <w:jc w:val="left"/>
              <w:rPr>
                <w:b/>
                <w:bCs/>
                <w:color w:val="000000"/>
                <w:sz w:val="18"/>
                <w:szCs w:val="18"/>
                <w:lang w:val="en-US" w:eastAsia="lt-LT"/>
              </w:rPr>
            </w:pPr>
          </w:p>
        </w:tc>
        <w:tc>
          <w:tcPr>
            <w:tcW w:w="487" w:type="pct"/>
            <w:vMerge w:val="restart"/>
            <w:vAlign w:val="center"/>
          </w:tcPr>
          <w:p w:rsidR="00B438EE" w:rsidRPr="00A64E55" w:rsidRDefault="00B438EE" w:rsidP="00C34EE7">
            <w:pPr>
              <w:rPr>
                <w:b/>
                <w:bCs/>
                <w:color w:val="000000"/>
                <w:sz w:val="18"/>
                <w:szCs w:val="18"/>
                <w:lang w:val="en-US" w:eastAsia="lt-LT"/>
              </w:rPr>
            </w:pPr>
          </w:p>
        </w:tc>
        <w:tc>
          <w:tcPr>
            <w:tcW w:w="443" w:type="pct"/>
            <w:vMerge w:val="restart"/>
            <w:vAlign w:val="center"/>
          </w:tcPr>
          <w:p w:rsidR="00B438EE" w:rsidRDefault="00B438EE" w:rsidP="00C34EE7">
            <w:pPr>
              <w:rPr>
                <w:b/>
                <w:bCs/>
                <w:color w:val="000000"/>
                <w:sz w:val="18"/>
                <w:szCs w:val="18"/>
                <w:lang w:val="en-US" w:eastAsia="lt-LT"/>
              </w:rPr>
            </w:pPr>
          </w:p>
        </w:tc>
        <w:tc>
          <w:tcPr>
            <w:tcW w:w="528" w:type="pct"/>
            <w:tcBorders>
              <w:bottom w:val="single" w:sz="4" w:space="0" w:color="808080" w:themeColor="background1" w:themeShade="80"/>
              <w:right w:val="single" w:sz="4" w:space="0" w:color="808080" w:themeColor="background1" w:themeShade="80"/>
            </w:tcBorders>
            <w:tcMar>
              <w:left w:w="57" w:type="dxa"/>
              <w:right w:w="57" w:type="dxa"/>
            </w:tcMar>
            <w:vAlign w:val="center"/>
          </w:tcPr>
          <w:p w:rsidR="00B438EE" w:rsidRPr="00B438EE" w:rsidRDefault="00B438EE"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Asset value </w:t>
            </w:r>
          </w:p>
        </w:tc>
        <w:tc>
          <w:tcPr>
            <w:tcW w:w="357" w:type="pct"/>
            <w:tcBorders>
              <w:left w:val="single" w:sz="4" w:space="0" w:color="808080" w:themeColor="background1" w:themeShade="80"/>
              <w:bottom w:val="single" w:sz="4" w:space="0" w:color="808080" w:themeColor="background1" w:themeShade="80"/>
            </w:tcBorders>
            <w:tcMar>
              <w:left w:w="57" w:type="dxa"/>
              <w:right w:w="57" w:type="dxa"/>
            </w:tcMar>
            <w:vAlign w:val="center"/>
          </w:tcPr>
          <w:p w:rsidR="00B438EE" w:rsidRPr="00F927B7" w:rsidRDefault="00B438EE" w:rsidP="00C34EE7">
            <w:pPr>
              <w:jc w:val="left"/>
              <w:rPr>
                <w:b/>
                <w:bCs/>
                <w:color w:val="808080" w:themeColor="background1" w:themeShade="80"/>
                <w:sz w:val="18"/>
                <w:szCs w:val="18"/>
                <w:lang w:val="en-US" w:eastAsia="lt-LT"/>
              </w:rPr>
            </w:pPr>
          </w:p>
        </w:tc>
        <w:tc>
          <w:tcPr>
            <w:tcW w:w="385" w:type="pct"/>
            <w:vMerge w:val="restart"/>
            <w:vAlign w:val="center"/>
          </w:tcPr>
          <w:p w:rsidR="00B438EE" w:rsidRPr="00A64E55" w:rsidRDefault="00B438EE" w:rsidP="00C34EE7">
            <w:pPr>
              <w:jc w:val="left"/>
              <w:rPr>
                <w:b/>
                <w:bCs/>
                <w:color w:val="000000"/>
                <w:sz w:val="18"/>
                <w:szCs w:val="18"/>
                <w:lang w:val="en-US" w:eastAsia="lt-LT"/>
              </w:rPr>
            </w:pPr>
          </w:p>
        </w:tc>
        <w:tc>
          <w:tcPr>
            <w:tcW w:w="627" w:type="pct"/>
            <w:vMerge w:val="restart"/>
            <w:vAlign w:val="center"/>
          </w:tcPr>
          <w:p w:rsidR="00B438EE" w:rsidRPr="00A64E55" w:rsidRDefault="00B438EE" w:rsidP="00C34EE7">
            <w:pPr>
              <w:rPr>
                <w:b/>
                <w:bCs/>
                <w:color w:val="000000"/>
                <w:sz w:val="18"/>
                <w:szCs w:val="18"/>
                <w:lang w:val="en-US" w:eastAsia="lt-LT"/>
              </w:rPr>
            </w:pPr>
          </w:p>
        </w:tc>
        <w:tc>
          <w:tcPr>
            <w:tcW w:w="1066" w:type="pct"/>
            <w:vMerge w:val="restart"/>
            <w:vAlign w:val="center"/>
          </w:tcPr>
          <w:p w:rsidR="00B438EE" w:rsidRPr="00A64E55" w:rsidRDefault="00B438EE" w:rsidP="00C34EE7">
            <w:pPr>
              <w:rPr>
                <w:b/>
                <w:bCs/>
                <w:color w:val="000000"/>
                <w:sz w:val="18"/>
                <w:szCs w:val="18"/>
                <w:lang w:val="en-US" w:eastAsia="lt-LT"/>
              </w:rPr>
            </w:pPr>
          </w:p>
        </w:tc>
      </w:tr>
      <w:tr w:rsidR="00F927B7" w:rsidRPr="003B5B2C" w:rsidTr="00212B88">
        <w:trPr>
          <w:cantSplit/>
          <w:trHeight w:val="284"/>
        </w:trPr>
        <w:tc>
          <w:tcPr>
            <w:tcW w:w="1107" w:type="pct"/>
            <w:vMerge/>
            <w:vAlign w:val="center"/>
          </w:tcPr>
          <w:p w:rsidR="00F927B7" w:rsidRPr="00A64E55" w:rsidRDefault="00F927B7" w:rsidP="00C34EE7">
            <w:pPr>
              <w:jc w:val="left"/>
              <w:rPr>
                <w:b/>
                <w:bCs/>
                <w:color w:val="000000"/>
                <w:sz w:val="18"/>
                <w:szCs w:val="18"/>
                <w:lang w:val="en-US" w:eastAsia="lt-LT"/>
              </w:rPr>
            </w:pPr>
          </w:p>
        </w:tc>
        <w:tc>
          <w:tcPr>
            <w:tcW w:w="487" w:type="pct"/>
            <w:vMerge/>
            <w:vAlign w:val="center"/>
          </w:tcPr>
          <w:p w:rsidR="00F927B7" w:rsidRPr="00A64E55" w:rsidRDefault="00F927B7" w:rsidP="00C34EE7">
            <w:pPr>
              <w:rPr>
                <w:b/>
                <w:bCs/>
                <w:color w:val="000000"/>
                <w:sz w:val="18"/>
                <w:szCs w:val="18"/>
                <w:lang w:val="en-US" w:eastAsia="lt-LT"/>
              </w:rPr>
            </w:pPr>
          </w:p>
        </w:tc>
        <w:tc>
          <w:tcPr>
            <w:tcW w:w="443" w:type="pct"/>
            <w:vMerge/>
            <w:vAlign w:val="center"/>
          </w:tcPr>
          <w:p w:rsidR="00F927B7" w:rsidRDefault="00F927B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tcMar>
              <w:left w:w="57" w:type="dxa"/>
              <w:right w:w="57" w:type="dxa"/>
            </w:tcMar>
            <w:vAlign w:val="center"/>
          </w:tcPr>
          <w:p w:rsidR="00F927B7" w:rsidRPr="00B438EE" w:rsidRDefault="00F927B7" w:rsidP="00C34EE7">
            <w:pPr>
              <w:jc w:val="left"/>
              <w:rPr>
                <w:b/>
                <w:bCs/>
                <w:color w:val="808080" w:themeColor="background1" w:themeShade="80"/>
                <w:sz w:val="18"/>
                <w:szCs w:val="18"/>
                <w:lang w:val="en-US" w:eastAsia="lt-LT"/>
              </w:rPr>
            </w:pPr>
            <w:r>
              <w:rPr>
                <w:b/>
                <w:bCs/>
                <w:color w:val="808080" w:themeColor="background1" w:themeShade="80"/>
                <w:sz w:val="18"/>
                <w:szCs w:val="18"/>
                <w:lang w:val="en-US" w:eastAsia="lt-LT"/>
              </w:rPr>
              <w:t>Book equity</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tcMar>
              <w:left w:w="57" w:type="dxa"/>
              <w:right w:w="57" w:type="dxa"/>
            </w:tcMar>
            <w:vAlign w:val="center"/>
          </w:tcPr>
          <w:p w:rsidR="00F927B7" w:rsidRPr="00F927B7" w:rsidRDefault="00F927B7" w:rsidP="00C34EE7">
            <w:pPr>
              <w:jc w:val="left"/>
              <w:rPr>
                <w:b/>
                <w:bCs/>
                <w:color w:val="808080" w:themeColor="background1" w:themeShade="80"/>
                <w:sz w:val="18"/>
                <w:szCs w:val="18"/>
                <w:lang w:val="en-US" w:eastAsia="lt-LT"/>
              </w:rPr>
            </w:pPr>
          </w:p>
        </w:tc>
        <w:tc>
          <w:tcPr>
            <w:tcW w:w="385" w:type="pct"/>
            <w:vMerge/>
            <w:vAlign w:val="center"/>
          </w:tcPr>
          <w:p w:rsidR="00F927B7" w:rsidRPr="00A64E55" w:rsidRDefault="00F927B7" w:rsidP="00C34EE7">
            <w:pPr>
              <w:jc w:val="left"/>
              <w:rPr>
                <w:b/>
                <w:bCs/>
                <w:color w:val="000000"/>
                <w:sz w:val="18"/>
                <w:szCs w:val="18"/>
                <w:lang w:val="en-US" w:eastAsia="lt-LT"/>
              </w:rPr>
            </w:pPr>
          </w:p>
        </w:tc>
        <w:tc>
          <w:tcPr>
            <w:tcW w:w="627" w:type="pct"/>
            <w:vMerge/>
            <w:vAlign w:val="center"/>
          </w:tcPr>
          <w:p w:rsidR="00F927B7" w:rsidRPr="00A64E55" w:rsidRDefault="00F927B7" w:rsidP="00C34EE7">
            <w:pPr>
              <w:rPr>
                <w:b/>
                <w:bCs/>
                <w:color w:val="000000"/>
                <w:sz w:val="18"/>
                <w:szCs w:val="18"/>
                <w:lang w:val="en-US" w:eastAsia="lt-LT"/>
              </w:rPr>
            </w:pPr>
          </w:p>
        </w:tc>
        <w:tc>
          <w:tcPr>
            <w:tcW w:w="1066" w:type="pct"/>
            <w:vMerge/>
            <w:vAlign w:val="center"/>
          </w:tcPr>
          <w:p w:rsidR="00F927B7" w:rsidRPr="00A64E55" w:rsidRDefault="00F927B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B438EE" w:rsidRPr="00A64E55" w:rsidRDefault="00B438EE" w:rsidP="00C34EE7">
            <w:pPr>
              <w:jc w:val="left"/>
              <w:rPr>
                <w:b/>
                <w:bCs/>
                <w:color w:val="000000"/>
                <w:sz w:val="18"/>
                <w:szCs w:val="18"/>
                <w:lang w:val="en-US" w:eastAsia="lt-LT"/>
              </w:rPr>
            </w:pPr>
          </w:p>
        </w:tc>
        <w:tc>
          <w:tcPr>
            <w:tcW w:w="487" w:type="pct"/>
            <w:vMerge/>
            <w:vAlign w:val="center"/>
          </w:tcPr>
          <w:p w:rsidR="00B438EE" w:rsidRPr="00A64E55" w:rsidRDefault="00B438EE" w:rsidP="00C34EE7">
            <w:pPr>
              <w:rPr>
                <w:b/>
                <w:bCs/>
                <w:color w:val="000000"/>
                <w:sz w:val="18"/>
                <w:szCs w:val="18"/>
                <w:lang w:val="en-US" w:eastAsia="lt-LT"/>
              </w:rPr>
            </w:pPr>
          </w:p>
        </w:tc>
        <w:tc>
          <w:tcPr>
            <w:tcW w:w="443" w:type="pct"/>
            <w:vMerge/>
            <w:vAlign w:val="center"/>
          </w:tcPr>
          <w:p w:rsidR="00B438EE" w:rsidRDefault="00B438EE"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tcMar>
              <w:left w:w="57" w:type="dxa"/>
              <w:right w:w="57" w:type="dxa"/>
            </w:tcMar>
            <w:vAlign w:val="center"/>
          </w:tcPr>
          <w:p w:rsidR="00B438EE" w:rsidRPr="00B438EE" w:rsidRDefault="00B438EE"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Market capitalisation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tcMar>
              <w:left w:w="57" w:type="dxa"/>
              <w:right w:w="57" w:type="dxa"/>
            </w:tcMar>
            <w:vAlign w:val="center"/>
          </w:tcPr>
          <w:p w:rsidR="00B438EE" w:rsidRDefault="00B438EE" w:rsidP="00C34EE7">
            <w:pPr>
              <w:jc w:val="left"/>
              <w:rPr>
                <w:b/>
                <w:bCs/>
                <w:color w:val="000000"/>
                <w:sz w:val="18"/>
                <w:szCs w:val="18"/>
                <w:lang w:val="en-US" w:eastAsia="lt-LT"/>
              </w:rPr>
            </w:pPr>
          </w:p>
        </w:tc>
        <w:tc>
          <w:tcPr>
            <w:tcW w:w="385" w:type="pct"/>
            <w:vMerge/>
            <w:vAlign w:val="center"/>
          </w:tcPr>
          <w:p w:rsidR="00B438EE" w:rsidRPr="00A64E55" w:rsidRDefault="00B438EE" w:rsidP="00C34EE7">
            <w:pPr>
              <w:jc w:val="left"/>
              <w:rPr>
                <w:b/>
                <w:bCs/>
                <w:color w:val="000000"/>
                <w:sz w:val="18"/>
                <w:szCs w:val="18"/>
                <w:lang w:val="en-US" w:eastAsia="lt-LT"/>
              </w:rPr>
            </w:pPr>
          </w:p>
        </w:tc>
        <w:tc>
          <w:tcPr>
            <w:tcW w:w="627" w:type="pct"/>
            <w:vMerge/>
            <w:vAlign w:val="center"/>
          </w:tcPr>
          <w:p w:rsidR="00B438EE" w:rsidRPr="00A64E55" w:rsidRDefault="00B438EE" w:rsidP="00C34EE7">
            <w:pPr>
              <w:rPr>
                <w:b/>
                <w:bCs/>
                <w:color w:val="000000"/>
                <w:sz w:val="18"/>
                <w:szCs w:val="18"/>
                <w:lang w:val="en-US" w:eastAsia="lt-LT"/>
              </w:rPr>
            </w:pPr>
          </w:p>
        </w:tc>
        <w:tc>
          <w:tcPr>
            <w:tcW w:w="1066" w:type="pct"/>
            <w:vMerge/>
            <w:vAlign w:val="center"/>
          </w:tcPr>
          <w:p w:rsidR="00B438EE" w:rsidRPr="00A64E55" w:rsidRDefault="00B438EE"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B438EE" w:rsidRPr="00A64E55" w:rsidRDefault="00B438EE" w:rsidP="00C34EE7">
            <w:pPr>
              <w:jc w:val="left"/>
              <w:rPr>
                <w:b/>
                <w:bCs/>
                <w:color w:val="000000"/>
                <w:sz w:val="18"/>
                <w:szCs w:val="18"/>
                <w:lang w:val="en-US" w:eastAsia="lt-LT"/>
              </w:rPr>
            </w:pPr>
          </w:p>
        </w:tc>
        <w:tc>
          <w:tcPr>
            <w:tcW w:w="487" w:type="pct"/>
            <w:vMerge/>
            <w:vAlign w:val="center"/>
          </w:tcPr>
          <w:p w:rsidR="00B438EE" w:rsidRPr="00A64E55" w:rsidRDefault="00B438EE" w:rsidP="00C34EE7">
            <w:pPr>
              <w:rPr>
                <w:b/>
                <w:bCs/>
                <w:color w:val="000000"/>
                <w:sz w:val="18"/>
                <w:szCs w:val="18"/>
                <w:lang w:val="en-US" w:eastAsia="lt-LT"/>
              </w:rPr>
            </w:pPr>
          </w:p>
        </w:tc>
        <w:tc>
          <w:tcPr>
            <w:tcW w:w="443" w:type="pct"/>
            <w:vMerge/>
            <w:vAlign w:val="center"/>
          </w:tcPr>
          <w:p w:rsidR="00B438EE" w:rsidRDefault="00B438EE"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tcMar>
              <w:left w:w="57" w:type="dxa"/>
              <w:right w:w="57" w:type="dxa"/>
            </w:tcMar>
            <w:vAlign w:val="center"/>
          </w:tcPr>
          <w:p w:rsidR="00B438EE" w:rsidRPr="00B438EE" w:rsidRDefault="00B438EE"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Annual turnover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tcMar>
              <w:left w:w="57" w:type="dxa"/>
              <w:right w:w="57" w:type="dxa"/>
            </w:tcMar>
            <w:vAlign w:val="center"/>
          </w:tcPr>
          <w:p w:rsidR="00B438EE" w:rsidRDefault="00B438EE" w:rsidP="00C34EE7">
            <w:pPr>
              <w:jc w:val="left"/>
              <w:rPr>
                <w:b/>
                <w:bCs/>
                <w:color w:val="000000"/>
                <w:sz w:val="18"/>
                <w:szCs w:val="18"/>
                <w:lang w:val="en-US" w:eastAsia="lt-LT"/>
              </w:rPr>
            </w:pPr>
          </w:p>
        </w:tc>
        <w:tc>
          <w:tcPr>
            <w:tcW w:w="385" w:type="pct"/>
            <w:vMerge/>
            <w:vAlign w:val="center"/>
          </w:tcPr>
          <w:p w:rsidR="00B438EE" w:rsidRPr="00A64E55" w:rsidRDefault="00B438EE" w:rsidP="00C34EE7">
            <w:pPr>
              <w:jc w:val="left"/>
              <w:rPr>
                <w:b/>
                <w:bCs/>
                <w:color w:val="000000"/>
                <w:sz w:val="18"/>
                <w:szCs w:val="18"/>
                <w:lang w:val="en-US" w:eastAsia="lt-LT"/>
              </w:rPr>
            </w:pPr>
          </w:p>
        </w:tc>
        <w:tc>
          <w:tcPr>
            <w:tcW w:w="627" w:type="pct"/>
            <w:vMerge/>
            <w:vAlign w:val="center"/>
          </w:tcPr>
          <w:p w:rsidR="00B438EE" w:rsidRPr="00A64E55" w:rsidRDefault="00B438EE" w:rsidP="00C34EE7">
            <w:pPr>
              <w:rPr>
                <w:b/>
                <w:bCs/>
                <w:color w:val="000000"/>
                <w:sz w:val="18"/>
                <w:szCs w:val="18"/>
                <w:lang w:val="en-US" w:eastAsia="lt-LT"/>
              </w:rPr>
            </w:pPr>
          </w:p>
        </w:tc>
        <w:tc>
          <w:tcPr>
            <w:tcW w:w="1066" w:type="pct"/>
            <w:vMerge/>
            <w:vAlign w:val="center"/>
          </w:tcPr>
          <w:p w:rsidR="00B438EE" w:rsidRPr="00A64E55" w:rsidRDefault="00B438EE"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B438EE" w:rsidRPr="00A64E55" w:rsidRDefault="00B438EE" w:rsidP="00C34EE7">
            <w:pPr>
              <w:jc w:val="left"/>
              <w:rPr>
                <w:b/>
                <w:bCs/>
                <w:color w:val="000000"/>
                <w:sz w:val="18"/>
                <w:szCs w:val="18"/>
                <w:lang w:val="en-US" w:eastAsia="lt-LT"/>
              </w:rPr>
            </w:pPr>
          </w:p>
        </w:tc>
        <w:tc>
          <w:tcPr>
            <w:tcW w:w="487" w:type="pct"/>
            <w:vMerge/>
            <w:vAlign w:val="center"/>
          </w:tcPr>
          <w:p w:rsidR="00B438EE" w:rsidRPr="00A64E55" w:rsidRDefault="00B438EE" w:rsidP="00C34EE7">
            <w:pPr>
              <w:rPr>
                <w:b/>
                <w:bCs/>
                <w:color w:val="000000"/>
                <w:sz w:val="18"/>
                <w:szCs w:val="18"/>
                <w:lang w:val="en-US" w:eastAsia="lt-LT"/>
              </w:rPr>
            </w:pPr>
          </w:p>
        </w:tc>
        <w:tc>
          <w:tcPr>
            <w:tcW w:w="443" w:type="pct"/>
            <w:vMerge/>
            <w:vAlign w:val="center"/>
          </w:tcPr>
          <w:p w:rsidR="00B438EE" w:rsidRDefault="00B438EE"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auto"/>
              <w:right w:val="single" w:sz="4" w:space="0" w:color="808080" w:themeColor="background1" w:themeShade="80"/>
            </w:tcBorders>
            <w:tcMar>
              <w:left w:w="57" w:type="dxa"/>
              <w:right w:w="57" w:type="dxa"/>
            </w:tcMar>
            <w:vAlign w:val="center"/>
          </w:tcPr>
          <w:p w:rsidR="00B438EE" w:rsidRPr="00B438EE" w:rsidRDefault="00B438EE"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N° employees</w:t>
            </w:r>
          </w:p>
        </w:tc>
        <w:tc>
          <w:tcPr>
            <w:tcW w:w="357" w:type="pct"/>
            <w:tcBorders>
              <w:top w:val="single" w:sz="4" w:space="0" w:color="808080" w:themeColor="background1" w:themeShade="80"/>
              <w:left w:val="single" w:sz="4" w:space="0" w:color="808080" w:themeColor="background1" w:themeShade="80"/>
              <w:bottom w:val="single" w:sz="4" w:space="0" w:color="auto"/>
            </w:tcBorders>
            <w:tcMar>
              <w:left w:w="57" w:type="dxa"/>
              <w:right w:w="57" w:type="dxa"/>
            </w:tcMar>
            <w:vAlign w:val="center"/>
          </w:tcPr>
          <w:p w:rsidR="00B438EE" w:rsidRDefault="00B438EE" w:rsidP="00C34EE7">
            <w:pPr>
              <w:jc w:val="left"/>
              <w:rPr>
                <w:b/>
                <w:bCs/>
                <w:color w:val="000000"/>
                <w:sz w:val="18"/>
                <w:szCs w:val="18"/>
                <w:lang w:val="en-US" w:eastAsia="lt-LT"/>
              </w:rPr>
            </w:pPr>
          </w:p>
        </w:tc>
        <w:tc>
          <w:tcPr>
            <w:tcW w:w="385" w:type="pct"/>
            <w:vMerge/>
            <w:vAlign w:val="center"/>
          </w:tcPr>
          <w:p w:rsidR="00B438EE" w:rsidRPr="00A64E55" w:rsidRDefault="00B438EE" w:rsidP="00C34EE7">
            <w:pPr>
              <w:jc w:val="left"/>
              <w:rPr>
                <w:b/>
                <w:bCs/>
                <w:color w:val="000000"/>
                <w:sz w:val="18"/>
                <w:szCs w:val="18"/>
                <w:lang w:val="en-US" w:eastAsia="lt-LT"/>
              </w:rPr>
            </w:pPr>
          </w:p>
        </w:tc>
        <w:tc>
          <w:tcPr>
            <w:tcW w:w="627" w:type="pct"/>
            <w:vMerge/>
            <w:vAlign w:val="center"/>
          </w:tcPr>
          <w:p w:rsidR="00B438EE" w:rsidRPr="00A64E55" w:rsidRDefault="00B438EE" w:rsidP="00C34EE7">
            <w:pPr>
              <w:rPr>
                <w:b/>
                <w:bCs/>
                <w:color w:val="000000"/>
                <w:sz w:val="18"/>
                <w:szCs w:val="18"/>
                <w:lang w:val="en-US" w:eastAsia="lt-LT"/>
              </w:rPr>
            </w:pPr>
          </w:p>
        </w:tc>
        <w:tc>
          <w:tcPr>
            <w:tcW w:w="1066" w:type="pct"/>
            <w:vMerge/>
            <w:vAlign w:val="center"/>
          </w:tcPr>
          <w:p w:rsidR="00B438EE" w:rsidRPr="00A64E55" w:rsidRDefault="00B438EE" w:rsidP="00C34EE7">
            <w:pPr>
              <w:rPr>
                <w:b/>
                <w:bCs/>
                <w:color w:val="000000"/>
                <w:sz w:val="18"/>
                <w:szCs w:val="18"/>
                <w:lang w:val="en-US" w:eastAsia="lt-LT"/>
              </w:rPr>
            </w:pPr>
          </w:p>
        </w:tc>
      </w:tr>
      <w:tr w:rsidR="0012216D" w:rsidRPr="003B5B2C" w:rsidTr="00212B88">
        <w:trPr>
          <w:cantSplit/>
          <w:trHeight w:val="284"/>
        </w:trPr>
        <w:tc>
          <w:tcPr>
            <w:tcW w:w="1107" w:type="pct"/>
            <w:vMerge w:val="restart"/>
            <w:vAlign w:val="center"/>
          </w:tcPr>
          <w:p w:rsidR="00C34EE7" w:rsidRPr="00A64E55" w:rsidRDefault="00C34EE7" w:rsidP="00C34EE7">
            <w:pPr>
              <w:jc w:val="left"/>
              <w:rPr>
                <w:b/>
                <w:bCs/>
                <w:color w:val="000000"/>
                <w:sz w:val="18"/>
                <w:szCs w:val="18"/>
                <w:lang w:val="en-US" w:eastAsia="lt-LT"/>
              </w:rPr>
            </w:pPr>
          </w:p>
        </w:tc>
        <w:tc>
          <w:tcPr>
            <w:tcW w:w="487" w:type="pct"/>
            <w:vMerge w:val="restart"/>
            <w:vAlign w:val="center"/>
          </w:tcPr>
          <w:p w:rsidR="00C34EE7" w:rsidRPr="00A64E55" w:rsidRDefault="00C34EE7" w:rsidP="00C34EE7">
            <w:pPr>
              <w:rPr>
                <w:b/>
                <w:bCs/>
                <w:color w:val="000000"/>
                <w:sz w:val="18"/>
                <w:szCs w:val="18"/>
                <w:lang w:val="en-US" w:eastAsia="lt-LT"/>
              </w:rPr>
            </w:pPr>
          </w:p>
        </w:tc>
        <w:tc>
          <w:tcPr>
            <w:tcW w:w="443" w:type="pct"/>
            <w:vMerge w:val="restart"/>
            <w:vAlign w:val="center"/>
          </w:tcPr>
          <w:p w:rsidR="00C34EE7" w:rsidRDefault="00C34EE7" w:rsidP="00C34EE7">
            <w:pPr>
              <w:rPr>
                <w:b/>
                <w:bCs/>
                <w:color w:val="000000"/>
                <w:sz w:val="18"/>
                <w:szCs w:val="18"/>
                <w:lang w:val="en-US" w:eastAsia="lt-LT"/>
              </w:rPr>
            </w:pPr>
          </w:p>
        </w:tc>
        <w:tc>
          <w:tcPr>
            <w:tcW w:w="528" w:type="pct"/>
            <w:tcBorders>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Asset value </w:t>
            </w:r>
          </w:p>
        </w:tc>
        <w:tc>
          <w:tcPr>
            <w:tcW w:w="357" w:type="pct"/>
            <w:tcBorders>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restart"/>
            <w:vAlign w:val="center"/>
          </w:tcPr>
          <w:p w:rsidR="00C34EE7" w:rsidRPr="00A64E55" w:rsidRDefault="00C34EE7" w:rsidP="00C34EE7">
            <w:pPr>
              <w:jc w:val="left"/>
              <w:rPr>
                <w:b/>
                <w:bCs/>
                <w:color w:val="000000"/>
                <w:sz w:val="18"/>
                <w:szCs w:val="18"/>
                <w:lang w:val="en-US" w:eastAsia="lt-LT"/>
              </w:rPr>
            </w:pPr>
          </w:p>
        </w:tc>
        <w:tc>
          <w:tcPr>
            <w:tcW w:w="627" w:type="pct"/>
            <w:vMerge w:val="restart"/>
            <w:vAlign w:val="center"/>
          </w:tcPr>
          <w:p w:rsidR="00C34EE7" w:rsidRPr="00A64E55" w:rsidRDefault="00C34EE7" w:rsidP="00C34EE7">
            <w:pPr>
              <w:rPr>
                <w:b/>
                <w:bCs/>
                <w:color w:val="000000"/>
                <w:sz w:val="18"/>
                <w:szCs w:val="18"/>
                <w:lang w:val="en-US" w:eastAsia="lt-LT"/>
              </w:rPr>
            </w:pPr>
          </w:p>
        </w:tc>
        <w:tc>
          <w:tcPr>
            <w:tcW w:w="1066" w:type="pct"/>
            <w:vMerge w:val="restart"/>
            <w:vAlign w:val="center"/>
          </w:tcPr>
          <w:p w:rsidR="00C34EE7" w:rsidRPr="00A64E55" w:rsidRDefault="00C34EE7" w:rsidP="00C34EE7">
            <w:pPr>
              <w:rPr>
                <w:b/>
                <w:bCs/>
                <w:color w:val="000000"/>
                <w:sz w:val="18"/>
                <w:szCs w:val="18"/>
                <w:lang w:val="en-US" w:eastAsia="lt-LT"/>
              </w:rPr>
            </w:pPr>
          </w:p>
        </w:tc>
      </w:tr>
      <w:tr w:rsidR="00F927B7" w:rsidRPr="003B5B2C" w:rsidTr="00212B88">
        <w:trPr>
          <w:cantSplit/>
          <w:trHeight w:val="284"/>
        </w:trPr>
        <w:tc>
          <w:tcPr>
            <w:tcW w:w="1107" w:type="pct"/>
            <w:vMerge/>
            <w:vAlign w:val="center"/>
          </w:tcPr>
          <w:p w:rsidR="00F927B7" w:rsidRPr="00A64E55" w:rsidRDefault="00F927B7" w:rsidP="00C34EE7">
            <w:pPr>
              <w:jc w:val="left"/>
              <w:rPr>
                <w:b/>
                <w:bCs/>
                <w:color w:val="000000"/>
                <w:sz w:val="18"/>
                <w:szCs w:val="18"/>
                <w:lang w:val="en-US" w:eastAsia="lt-LT"/>
              </w:rPr>
            </w:pPr>
          </w:p>
        </w:tc>
        <w:tc>
          <w:tcPr>
            <w:tcW w:w="487" w:type="pct"/>
            <w:vMerge/>
            <w:vAlign w:val="center"/>
          </w:tcPr>
          <w:p w:rsidR="00F927B7" w:rsidRPr="00A64E55" w:rsidRDefault="00F927B7" w:rsidP="00C34EE7">
            <w:pPr>
              <w:rPr>
                <w:b/>
                <w:bCs/>
                <w:color w:val="000000"/>
                <w:sz w:val="18"/>
                <w:szCs w:val="18"/>
                <w:lang w:val="en-US" w:eastAsia="lt-LT"/>
              </w:rPr>
            </w:pPr>
          </w:p>
        </w:tc>
        <w:tc>
          <w:tcPr>
            <w:tcW w:w="443" w:type="pct"/>
            <w:vMerge/>
            <w:vAlign w:val="center"/>
          </w:tcPr>
          <w:p w:rsidR="00F927B7" w:rsidRDefault="00F927B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927B7" w:rsidRPr="00B438EE" w:rsidRDefault="00F927B7" w:rsidP="00C34EE7">
            <w:pPr>
              <w:jc w:val="left"/>
              <w:rPr>
                <w:b/>
                <w:bCs/>
                <w:color w:val="808080" w:themeColor="background1" w:themeShade="80"/>
                <w:sz w:val="18"/>
                <w:szCs w:val="18"/>
                <w:lang w:val="en-US" w:eastAsia="lt-LT"/>
              </w:rPr>
            </w:pPr>
            <w:r>
              <w:rPr>
                <w:b/>
                <w:bCs/>
                <w:color w:val="808080" w:themeColor="background1" w:themeShade="80"/>
                <w:sz w:val="18"/>
                <w:szCs w:val="18"/>
                <w:lang w:val="en-US" w:eastAsia="lt-LT"/>
              </w:rPr>
              <w:t>Book equity</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F927B7" w:rsidRDefault="00F927B7" w:rsidP="00C34EE7">
            <w:pPr>
              <w:jc w:val="left"/>
              <w:rPr>
                <w:b/>
                <w:bCs/>
                <w:color w:val="000000"/>
                <w:sz w:val="18"/>
                <w:szCs w:val="18"/>
                <w:lang w:val="en-US" w:eastAsia="lt-LT"/>
              </w:rPr>
            </w:pPr>
          </w:p>
        </w:tc>
        <w:tc>
          <w:tcPr>
            <w:tcW w:w="385" w:type="pct"/>
            <w:vMerge/>
            <w:vAlign w:val="center"/>
          </w:tcPr>
          <w:p w:rsidR="00F927B7" w:rsidRPr="00A64E55" w:rsidRDefault="00F927B7" w:rsidP="00C34EE7">
            <w:pPr>
              <w:jc w:val="left"/>
              <w:rPr>
                <w:b/>
                <w:bCs/>
                <w:color w:val="000000"/>
                <w:sz w:val="18"/>
                <w:szCs w:val="18"/>
                <w:lang w:val="en-US" w:eastAsia="lt-LT"/>
              </w:rPr>
            </w:pPr>
          </w:p>
        </w:tc>
        <w:tc>
          <w:tcPr>
            <w:tcW w:w="627" w:type="pct"/>
            <w:vMerge/>
            <w:vAlign w:val="center"/>
          </w:tcPr>
          <w:p w:rsidR="00F927B7" w:rsidRPr="00A64E55" w:rsidRDefault="00F927B7" w:rsidP="00C34EE7">
            <w:pPr>
              <w:rPr>
                <w:b/>
                <w:bCs/>
                <w:color w:val="000000"/>
                <w:sz w:val="18"/>
                <w:szCs w:val="18"/>
                <w:lang w:val="en-US" w:eastAsia="lt-LT"/>
              </w:rPr>
            </w:pPr>
          </w:p>
        </w:tc>
        <w:tc>
          <w:tcPr>
            <w:tcW w:w="1066" w:type="pct"/>
            <w:vMerge/>
            <w:vAlign w:val="center"/>
          </w:tcPr>
          <w:p w:rsidR="00F927B7" w:rsidRPr="00A64E55" w:rsidRDefault="00F927B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Market capitalisation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Annual turnover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auto"/>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N° employees</w:t>
            </w:r>
          </w:p>
        </w:tc>
        <w:tc>
          <w:tcPr>
            <w:tcW w:w="357" w:type="pct"/>
            <w:tcBorders>
              <w:top w:val="single" w:sz="4" w:space="0" w:color="808080" w:themeColor="background1" w:themeShade="80"/>
              <w:left w:val="single" w:sz="4" w:space="0" w:color="808080" w:themeColor="background1" w:themeShade="80"/>
              <w:bottom w:val="single" w:sz="4" w:space="0" w:color="auto"/>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restart"/>
            <w:vAlign w:val="center"/>
          </w:tcPr>
          <w:p w:rsidR="00C34EE7" w:rsidRPr="00A64E55" w:rsidRDefault="00C34EE7" w:rsidP="00C34EE7">
            <w:pPr>
              <w:jc w:val="left"/>
              <w:rPr>
                <w:b/>
                <w:bCs/>
                <w:color w:val="000000"/>
                <w:sz w:val="18"/>
                <w:szCs w:val="18"/>
                <w:lang w:val="en-US" w:eastAsia="lt-LT"/>
              </w:rPr>
            </w:pPr>
          </w:p>
        </w:tc>
        <w:tc>
          <w:tcPr>
            <w:tcW w:w="487" w:type="pct"/>
            <w:vMerge w:val="restart"/>
            <w:vAlign w:val="center"/>
          </w:tcPr>
          <w:p w:rsidR="00C34EE7" w:rsidRPr="00A64E55" w:rsidRDefault="00C34EE7" w:rsidP="00C34EE7">
            <w:pPr>
              <w:rPr>
                <w:b/>
                <w:bCs/>
                <w:color w:val="000000"/>
                <w:sz w:val="18"/>
                <w:szCs w:val="18"/>
                <w:lang w:val="en-US" w:eastAsia="lt-LT"/>
              </w:rPr>
            </w:pPr>
          </w:p>
        </w:tc>
        <w:tc>
          <w:tcPr>
            <w:tcW w:w="443" w:type="pct"/>
            <w:vMerge w:val="restart"/>
            <w:vAlign w:val="center"/>
          </w:tcPr>
          <w:p w:rsidR="00C34EE7" w:rsidRDefault="00C34EE7" w:rsidP="00C34EE7">
            <w:pPr>
              <w:rPr>
                <w:b/>
                <w:bCs/>
                <w:color w:val="000000"/>
                <w:sz w:val="18"/>
                <w:szCs w:val="18"/>
                <w:lang w:val="en-US" w:eastAsia="lt-LT"/>
              </w:rPr>
            </w:pPr>
          </w:p>
        </w:tc>
        <w:tc>
          <w:tcPr>
            <w:tcW w:w="528" w:type="pct"/>
            <w:tcBorders>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Asset value </w:t>
            </w:r>
          </w:p>
        </w:tc>
        <w:tc>
          <w:tcPr>
            <w:tcW w:w="357" w:type="pct"/>
            <w:tcBorders>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restart"/>
            <w:vAlign w:val="center"/>
          </w:tcPr>
          <w:p w:rsidR="00C34EE7" w:rsidRPr="00A64E55" w:rsidRDefault="00C34EE7" w:rsidP="00C34EE7">
            <w:pPr>
              <w:jc w:val="left"/>
              <w:rPr>
                <w:b/>
                <w:bCs/>
                <w:color w:val="000000"/>
                <w:sz w:val="18"/>
                <w:szCs w:val="18"/>
                <w:lang w:val="en-US" w:eastAsia="lt-LT"/>
              </w:rPr>
            </w:pPr>
          </w:p>
        </w:tc>
        <w:tc>
          <w:tcPr>
            <w:tcW w:w="627" w:type="pct"/>
            <w:vMerge w:val="restart"/>
            <w:vAlign w:val="center"/>
          </w:tcPr>
          <w:p w:rsidR="00C34EE7" w:rsidRPr="00A64E55" w:rsidRDefault="00C34EE7" w:rsidP="00C34EE7">
            <w:pPr>
              <w:rPr>
                <w:b/>
                <w:bCs/>
                <w:color w:val="000000"/>
                <w:sz w:val="18"/>
                <w:szCs w:val="18"/>
                <w:lang w:val="en-US" w:eastAsia="lt-LT"/>
              </w:rPr>
            </w:pPr>
          </w:p>
        </w:tc>
        <w:tc>
          <w:tcPr>
            <w:tcW w:w="1066" w:type="pct"/>
            <w:vMerge w:val="restart"/>
            <w:vAlign w:val="center"/>
          </w:tcPr>
          <w:p w:rsidR="00C34EE7" w:rsidRPr="00A64E55" w:rsidRDefault="00C34EE7" w:rsidP="00C34EE7">
            <w:pPr>
              <w:rPr>
                <w:b/>
                <w:bCs/>
                <w:color w:val="000000"/>
                <w:sz w:val="18"/>
                <w:szCs w:val="18"/>
                <w:lang w:val="en-US" w:eastAsia="lt-LT"/>
              </w:rPr>
            </w:pPr>
          </w:p>
        </w:tc>
      </w:tr>
      <w:tr w:rsidR="00F927B7" w:rsidRPr="003B5B2C" w:rsidTr="00212B88">
        <w:trPr>
          <w:cantSplit/>
          <w:trHeight w:val="284"/>
        </w:trPr>
        <w:tc>
          <w:tcPr>
            <w:tcW w:w="1107" w:type="pct"/>
            <w:vMerge/>
            <w:vAlign w:val="center"/>
          </w:tcPr>
          <w:p w:rsidR="00F927B7" w:rsidRPr="00A64E55" w:rsidRDefault="00F927B7" w:rsidP="00C34EE7">
            <w:pPr>
              <w:jc w:val="left"/>
              <w:rPr>
                <w:b/>
                <w:bCs/>
                <w:color w:val="000000"/>
                <w:sz w:val="18"/>
                <w:szCs w:val="18"/>
                <w:lang w:val="en-US" w:eastAsia="lt-LT"/>
              </w:rPr>
            </w:pPr>
          </w:p>
        </w:tc>
        <w:tc>
          <w:tcPr>
            <w:tcW w:w="487" w:type="pct"/>
            <w:vMerge/>
            <w:vAlign w:val="center"/>
          </w:tcPr>
          <w:p w:rsidR="00F927B7" w:rsidRPr="00A64E55" w:rsidRDefault="00F927B7" w:rsidP="00C34EE7">
            <w:pPr>
              <w:rPr>
                <w:b/>
                <w:bCs/>
                <w:color w:val="000000"/>
                <w:sz w:val="18"/>
                <w:szCs w:val="18"/>
                <w:lang w:val="en-US" w:eastAsia="lt-LT"/>
              </w:rPr>
            </w:pPr>
          </w:p>
        </w:tc>
        <w:tc>
          <w:tcPr>
            <w:tcW w:w="443" w:type="pct"/>
            <w:vMerge/>
            <w:vAlign w:val="center"/>
          </w:tcPr>
          <w:p w:rsidR="00F927B7" w:rsidRDefault="00F927B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927B7" w:rsidRPr="00B438EE" w:rsidRDefault="00F927B7" w:rsidP="00C34EE7">
            <w:pPr>
              <w:jc w:val="left"/>
              <w:rPr>
                <w:b/>
                <w:bCs/>
                <w:color w:val="808080" w:themeColor="background1" w:themeShade="80"/>
                <w:sz w:val="18"/>
                <w:szCs w:val="18"/>
                <w:lang w:val="en-US" w:eastAsia="lt-LT"/>
              </w:rPr>
            </w:pPr>
            <w:r>
              <w:rPr>
                <w:b/>
                <w:bCs/>
                <w:color w:val="808080" w:themeColor="background1" w:themeShade="80"/>
                <w:sz w:val="18"/>
                <w:szCs w:val="18"/>
                <w:lang w:val="en-US" w:eastAsia="lt-LT"/>
              </w:rPr>
              <w:t>Book equity</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F927B7" w:rsidRDefault="00F927B7" w:rsidP="00C34EE7">
            <w:pPr>
              <w:jc w:val="left"/>
              <w:rPr>
                <w:b/>
                <w:bCs/>
                <w:color w:val="000000"/>
                <w:sz w:val="18"/>
                <w:szCs w:val="18"/>
                <w:lang w:val="en-US" w:eastAsia="lt-LT"/>
              </w:rPr>
            </w:pPr>
          </w:p>
        </w:tc>
        <w:tc>
          <w:tcPr>
            <w:tcW w:w="385" w:type="pct"/>
            <w:vMerge/>
            <w:vAlign w:val="center"/>
          </w:tcPr>
          <w:p w:rsidR="00F927B7" w:rsidRPr="00A64E55" w:rsidRDefault="00F927B7" w:rsidP="00C34EE7">
            <w:pPr>
              <w:jc w:val="left"/>
              <w:rPr>
                <w:b/>
                <w:bCs/>
                <w:color w:val="000000"/>
                <w:sz w:val="18"/>
                <w:szCs w:val="18"/>
                <w:lang w:val="en-US" w:eastAsia="lt-LT"/>
              </w:rPr>
            </w:pPr>
          </w:p>
        </w:tc>
        <w:tc>
          <w:tcPr>
            <w:tcW w:w="627" w:type="pct"/>
            <w:vMerge/>
            <w:vAlign w:val="center"/>
          </w:tcPr>
          <w:p w:rsidR="00F927B7" w:rsidRPr="00A64E55" w:rsidRDefault="00F927B7" w:rsidP="00C34EE7">
            <w:pPr>
              <w:rPr>
                <w:b/>
                <w:bCs/>
                <w:color w:val="000000"/>
                <w:sz w:val="18"/>
                <w:szCs w:val="18"/>
                <w:lang w:val="en-US" w:eastAsia="lt-LT"/>
              </w:rPr>
            </w:pPr>
          </w:p>
        </w:tc>
        <w:tc>
          <w:tcPr>
            <w:tcW w:w="1066" w:type="pct"/>
            <w:vMerge/>
            <w:vAlign w:val="center"/>
          </w:tcPr>
          <w:p w:rsidR="00F927B7" w:rsidRPr="00A64E55" w:rsidRDefault="00F927B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Market capitalisation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Annual turnover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auto"/>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N° employees</w:t>
            </w:r>
          </w:p>
        </w:tc>
        <w:tc>
          <w:tcPr>
            <w:tcW w:w="357" w:type="pct"/>
            <w:tcBorders>
              <w:top w:val="single" w:sz="4" w:space="0" w:color="808080" w:themeColor="background1" w:themeShade="80"/>
              <w:left w:val="single" w:sz="4" w:space="0" w:color="808080" w:themeColor="background1" w:themeShade="80"/>
              <w:bottom w:val="single" w:sz="4" w:space="0" w:color="auto"/>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restart"/>
            <w:vAlign w:val="center"/>
          </w:tcPr>
          <w:p w:rsidR="00C34EE7" w:rsidRPr="00A64E55" w:rsidRDefault="00C34EE7" w:rsidP="00C34EE7">
            <w:pPr>
              <w:jc w:val="left"/>
              <w:rPr>
                <w:b/>
                <w:bCs/>
                <w:color w:val="000000"/>
                <w:sz w:val="18"/>
                <w:szCs w:val="18"/>
                <w:lang w:val="en-US" w:eastAsia="lt-LT"/>
              </w:rPr>
            </w:pPr>
          </w:p>
        </w:tc>
        <w:tc>
          <w:tcPr>
            <w:tcW w:w="487" w:type="pct"/>
            <w:vMerge w:val="restart"/>
            <w:vAlign w:val="center"/>
          </w:tcPr>
          <w:p w:rsidR="00C34EE7" w:rsidRPr="00A64E55" w:rsidRDefault="00C34EE7" w:rsidP="00C34EE7">
            <w:pPr>
              <w:rPr>
                <w:b/>
                <w:bCs/>
                <w:color w:val="000000"/>
                <w:sz w:val="18"/>
                <w:szCs w:val="18"/>
                <w:lang w:val="en-US" w:eastAsia="lt-LT"/>
              </w:rPr>
            </w:pPr>
          </w:p>
        </w:tc>
        <w:tc>
          <w:tcPr>
            <w:tcW w:w="443" w:type="pct"/>
            <w:vMerge w:val="restart"/>
            <w:vAlign w:val="center"/>
          </w:tcPr>
          <w:p w:rsidR="00C34EE7" w:rsidRDefault="00C34EE7" w:rsidP="00C34EE7">
            <w:pPr>
              <w:rPr>
                <w:b/>
                <w:bCs/>
                <w:color w:val="000000"/>
                <w:sz w:val="18"/>
                <w:szCs w:val="18"/>
                <w:lang w:val="en-US" w:eastAsia="lt-LT"/>
              </w:rPr>
            </w:pPr>
          </w:p>
        </w:tc>
        <w:tc>
          <w:tcPr>
            <w:tcW w:w="528" w:type="pct"/>
            <w:tcBorders>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Asset value </w:t>
            </w:r>
          </w:p>
        </w:tc>
        <w:tc>
          <w:tcPr>
            <w:tcW w:w="357" w:type="pct"/>
            <w:tcBorders>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restart"/>
            <w:vAlign w:val="center"/>
          </w:tcPr>
          <w:p w:rsidR="00C34EE7" w:rsidRPr="00A64E55" w:rsidRDefault="00C34EE7" w:rsidP="00C34EE7">
            <w:pPr>
              <w:jc w:val="left"/>
              <w:rPr>
                <w:b/>
                <w:bCs/>
                <w:color w:val="000000"/>
                <w:sz w:val="18"/>
                <w:szCs w:val="18"/>
                <w:lang w:val="en-US" w:eastAsia="lt-LT"/>
              </w:rPr>
            </w:pPr>
          </w:p>
        </w:tc>
        <w:tc>
          <w:tcPr>
            <w:tcW w:w="627" w:type="pct"/>
            <w:vMerge w:val="restart"/>
            <w:vAlign w:val="center"/>
          </w:tcPr>
          <w:p w:rsidR="00C34EE7" w:rsidRPr="00A64E55" w:rsidRDefault="00C34EE7" w:rsidP="00C34EE7">
            <w:pPr>
              <w:rPr>
                <w:b/>
                <w:bCs/>
                <w:color w:val="000000"/>
                <w:sz w:val="18"/>
                <w:szCs w:val="18"/>
                <w:lang w:val="en-US" w:eastAsia="lt-LT"/>
              </w:rPr>
            </w:pPr>
          </w:p>
        </w:tc>
        <w:tc>
          <w:tcPr>
            <w:tcW w:w="1066" w:type="pct"/>
            <w:vMerge w:val="restart"/>
            <w:vAlign w:val="center"/>
          </w:tcPr>
          <w:p w:rsidR="00C34EE7" w:rsidRPr="00A64E55" w:rsidRDefault="00C34EE7" w:rsidP="00C34EE7">
            <w:pPr>
              <w:rPr>
                <w:b/>
                <w:bCs/>
                <w:color w:val="000000"/>
                <w:sz w:val="18"/>
                <w:szCs w:val="18"/>
                <w:lang w:val="en-US" w:eastAsia="lt-LT"/>
              </w:rPr>
            </w:pPr>
          </w:p>
        </w:tc>
      </w:tr>
      <w:tr w:rsidR="00F927B7" w:rsidRPr="003B5B2C" w:rsidTr="00212B88">
        <w:trPr>
          <w:cantSplit/>
          <w:trHeight w:val="284"/>
        </w:trPr>
        <w:tc>
          <w:tcPr>
            <w:tcW w:w="1107" w:type="pct"/>
            <w:vMerge/>
            <w:vAlign w:val="center"/>
          </w:tcPr>
          <w:p w:rsidR="00F927B7" w:rsidRPr="00A64E55" w:rsidRDefault="00F927B7" w:rsidP="00C34EE7">
            <w:pPr>
              <w:jc w:val="left"/>
              <w:rPr>
                <w:b/>
                <w:bCs/>
                <w:color w:val="000000"/>
                <w:sz w:val="18"/>
                <w:szCs w:val="18"/>
                <w:lang w:val="en-US" w:eastAsia="lt-LT"/>
              </w:rPr>
            </w:pPr>
          </w:p>
        </w:tc>
        <w:tc>
          <w:tcPr>
            <w:tcW w:w="487" w:type="pct"/>
            <w:vMerge/>
            <w:vAlign w:val="center"/>
          </w:tcPr>
          <w:p w:rsidR="00F927B7" w:rsidRPr="00A64E55" w:rsidRDefault="00F927B7" w:rsidP="00C34EE7">
            <w:pPr>
              <w:rPr>
                <w:b/>
                <w:bCs/>
                <w:color w:val="000000"/>
                <w:sz w:val="18"/>
                <w:szCs w:val="18"/>
                <w:lang w:val="en-US" w:eastAsia="lt-LT"/>
              </w:rPr>
            </w:pPr>
          </w:p>
        </w:tc>
        <w:tc>
          <w:tcPr>
            <w:tcW w:w="443" w:type="pct"/>
            <w:vMerge/>
            <w:vAlign w:val="center"/>
          </w:tcPr>
          <w:p w:rsidR="00F927B7" w:rsidRDefault="00F927B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927B7" w:rsidRPr="00B438EE" w:rsidRDefault="00F927B7" w:rsidP="00C34EE7">
            <w:pPr>
              <w:jc w:val="left"/>
              <w:rPr>
                <w:b/>
                <w:bCs/>
                <w:color w:val="808080" w:themeColor="background1" w:themeShade="80"/>
                <w:sz w:val="18"/>
                <w:szCs w:val="18"/>
                <w:lang w:val="en-US" w:eastAsia="lt-LT"/>
              </w:rPr>
            </w:pPr>
            <w:r>
              <w:rPr>
                <w:b/>
                <w:bCs/>
                <w:color w:val="808080" w:themeColor="background1" w:themeShade="80"/>
                <w:sz w:val="18"/>
                <w:szCs w:val="18"/>
                <w:lang w:val="en-US" w:eastAsia="lt-LT"/>
              </w:rPr>
              <w:t>Book equity</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F927B7" w:rsidRDefault="00F927B7" w:rsidP="00C34EE7">
            <w:pPr>
              <w:jc w:val="left"/>
              <w:rPr>
                <w:b/>
                <w:bCs/>
                <w:color w:val="000000"/>
                <w:sz w:val="18"/>
                <w:szCs w:val="18"/>
                <w:lang w:val="en-US" w:eastAsia="lt-LT"/>
              </w:rPr>
            </w:pPr>
          </w:p>
        </w:tc>
        <w:tc>
          <w:tcPr>
            <w:tcW w:w="385" w:type="pct"/>
            <w:vMerge/>
            <w:vAlign w:val="center"/>
          </w:tcPr>
          <w:p w:rsidR="00F927B7" w:rsidRPr="00A64E55" w:rsidRDefault="00F927B7" w:rsidP="00C34EE7">
            <w:pPr>
              <w:jc w:val="left"/>
              <w:rPr>
                <w:b/>
                <w:bCs/>
                <w:color w:val="000000"/>
                <w:sz w:val="18"/>
                <w:szCs w:val="18"/>
                <w:lang w:val="en-US" w:eastAsia="lt-LT"/>
              </w:rPr>
            </w:pPr>
          </w:p>
        </w:tc>
        <w:tc>
          <w:tcPr>
            <w:tcW w:w="627" w:type="pct"/>
            <w:vMerge/>
            <w:vAlign w:val="center"/>
          </w:tcPr>
          <w:p w:rsidR="00F927B7" w:rsidRPr="00A64E55" w:rsidRDefault="00F927B7" w:rsidP="00C34EE7">
            <w:pPr>
              <w:rPr>
                <w:b/>
                <w:bCs/>
                <w:color w:val="000000"/>
                <w:sz w:val="18"/>
                <w:szCs w:val="18"/>
                <w:lang w:val="en-US" w:eastAsia="lt-LT"/>
              </w:rPr>
            </w:pPr>
          </w:p>
        </w:tc>
        <w:tc>
          <w:tcPr>
            <w:tcW w:w="1066" w:type="pct"/>
            <w:vMerge/>
            <w:vAlign w:val="center"/>
          </w:tcPr>
          <w:p w:rsidR="00F927B7" w:rsidRPr="00A64E55" w:rsidRDefault="00F927B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Market capitalisation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Annual turnover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auto"/>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N° employees</w:t>
            </w:r>
          </w:p>
        </w:tc>
        <w:tc>
          <w:tcPr>
            <w:tcW w:w="357" w:type="pct"/>
            <w:tcBorders>
              <w:top w:val="single" w:sz="4" w:space="0" w:color="808080" w:themeColor="background1" w:themeShade="80"/>
              <w:left w:val="single" w:sz="4" w:space="0" w:color="808080" w:themeColor="background1" w:themeShade="80"/>
              <w:bottom w:val="single" w:sz="4" w:space="0" w:color="auto"/>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restart"/>
            <w:vAlign w:val="center"/>
          </w:tcPr>
          <w:p w:rsidR="00C34EE7" w:rsidRPr="00A64E55" w:rsidRDefault="00C34EE7" w:rsidP="00C34EE7">
            <w:pPr>
              <w:jc w:val="left"/>
              <w:rPr>
                <w:b/>
                <w:bCs/>
                <w:color w:val="000000"/>
                <w:sz w:val="18"/>
                <w:szCs w:val="18"/>
                <w:lang w:val="en-US" w:eastAsia="lt-LT"/>
              </w:rPr>
            </w:pPr>
          </w:p>
        </w:tc>
        <w:tc>
          <w:tcPr>
            <w:tcW w:w="487" w:type="pct"/>
            <w:vMerge w:val="restart"/>
            <w:vAlign w:val="center"/>
          </w:tcPr>
          <w:p w:rsidR="00C34EE7" w:rsidRPr="00A64E55" w:rsidRDefault="00C34EE7" w:rsidP="00C34EE7">
            <w:pPr>
              <w:rPr>
                <w:b/>
                <w:bCs/>
                <w:color w:val="000000"/>
                <w:sz w:val="18"/>
                <w:szCs w:val="18"/>
                <w:lang w:val="en-US" w:eastAsia="lt-LT"/>
              </w:rPr>
            </w:pPr>
          </w:p>
        </w:tc>
        <w:tc>
          <w:tcPr>
            <w:tcW w:w="443" w:type="pct"/>
            <w:vMerge w:val="restart"/>
            <w:vAlign w:val="center"/>
          </w:tcPr>
          <w:p w:rsidR="00C34EE7" w:rsidRDefault="00C34EE7" w:rsidP="00C34EE7">
            <w:pPr>
              <w:rPr>
                <w:b/>
                <w:bCs/>
                <w:color w:val="000000"/>
                <w:sz w:val="18"/>
                <w:szCs w:val="18"/>
                <w:lang w:val="en-US" w:eastAsia="lt-LT"/>
              </w:rPr>
            </w:pPr>
          </w:p>
        </w:tc>
        <w:tc>
          <w:tcPr>
            <w:tcW w:w="528" w:type="pct"/>
            <w:tcBorders>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Asset value </w:t>
            </w:r>
          </w:p>
        </w:tc>
        <w:tc>
          <w:tcPr>
            <w:tcW w:w="357" w:type="pct"/>
            <w:tcBorders>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restart"/>
            <w:vAlign w:val="center"/>
          </w:tcPr>
          <w:p w:rsidR="00C34EE7" w:rsidRPr="00A64E55" w:rsidRDefault="00C34EE7" w:rsidP="00C34EE7">
            <w:pPr>
              <w:jc w:val="left"/>
              <w:rPr>
                <w:b/>
                <w:bCs/>
                <w:color w:val="000000"/>
                <w:sz w:val="18"/>
                <w:szCs w:val="18"/>
                <w:lang w:val="en-US" w:eastAsia="lt-LT"/>
              </w:rPr>
            </w:pPr>
          </w:p>
        </w:tc>
        <w:tc>
          <w:tcPr>
            <w:tcW w:w="627" w:type="pct"/>
            <w:vMerge w:val="restart"/>
            <w:vAlign w:val="center"/>
          </w:tcPr>
          <w:p w:rsidR="00C34EE7" w:rsidRPr="00A64E55" w:rsidRDefault="00C34EE7" w:rsidP="00C34EE7">
            <w:pPr>
              <w:rPr>
                <w:b/>
                <w:bCs/>
                <w:color w:val="000000"/>
                <w:sz w:val="18"/>
                <w:szCs w:val="18"/>
                <w:lang w:val="en-US" w:eastAsia="lt-LT"/>
              </w:rPr>
            </w:pPr>
          </w:p>
        </w:tc>
        <w:tc>
          <w:tcPr>
            <w:tcW w:w="1066" w:type="pct"/>
            <w:vMerge w:val="restart"/>
            <w:vAlign w:val="center"/>
          </w:tcPr>
          <w:p w:rsidR="00C34EE7" w:rsidRPr="00A64E55" w:rsidRDefault="00C34EE7" w:rsidP="00C34EE7">
            <w:pPr>
              <w:rPr>
                <w:b/>
                <w:bCs/>
                <w:color w:val="000000"/>
                <w:sz w:val="18"/>
                <w:szCs w:val="18"/>
                <w:lang w:val="en-US" w:eastAsia="lt-LT"/>
              </w:rPr>
            </w:pPr>
          </w:p>
        </w:tc>
      </w:tr>
      <w:tr w:rsidR="00F927B7" w:rsidRPr="003B5B2C" w:rsidTr="00212B88">
        <w:trPr>
          <w:cantSplit/>
          <w:trHeight w:val="284"/>
        </w:trPr>
        <w:tc>
          <w:tcPr>
            <w:tcW w:w="1107" w:type="pct"/>
            <w:vMerge/>
            <w:vAlign w:val="center"/>
          </w:tcPr>
          <w:p w:rsidR="00F927B7" w:rsidRPr="00A64E55" w:rsidRDefault="00F927B7" w:rsidP="00C34EE7">
            <w:pPr>
              <w:jc w:val="left"/>
              <w:rPr>
                <w:b/>
                <w:bCs/>
                <w:color w:val="000000"/>
                <w:sz w:val="18"/>
                <w:szCs w:val="18"/>
                <w:lang w:val="en-US" w:eastAsia="lt-LT"/>
              </w:rPr>
            </w:pPr>
          </w:p>
        </w:tc>
        <w:tc>
          <w:tcPr>
            <w:tcW w:w="487" w:type="pct"/>
            <w:vMerge/>
            <w:vAlign w:val="center"/>
          </w:tcPr>
          <w:p w:rsidR="00F927B7" w:rsidRPr="00A64E55" w:rsidRDefault="00F927B7" w:rsidP="00C34EE7">
            <w:pPr>
              <w:rPr>
                <w:b/>
                <w:bCs/>
                <w:color w:val="000000"/>
                <w:sz w:val="18"/>
                <w:szCs w:val="18"/>
                <w:lang w:val="en-US" w:eastAsia="lt-LT"/>
              </w:rPr>
            </w:pPr>
          </w:p>
        </w:tc>
        <w:tc>
          <w:tcPr>
            <w:tcW w:w="443" w:type="pct"/>
            <w:vMerge/>
            <w:vAlign w:val="center"/>
          </w:tcPr>
          <w:p w:rsidR="00F927B7" w:rsidRDefault="00F927B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927B7" w:rsidRPr="00B438EE" w:rsidRDefault="00F927B7" w:rsidP="00C34EE7">
            <w:pPr>
              <w:jc w:val="left"/>
              <w:rPr>
                <w:b/>
                <w:bCs/>
                <w:color w:val="808080" w:themeColor="background1" w:themeShade="80"/>
                <w:sz w:val="18"/>
                <w:szCs w:val="18"/>
                <w:lang w:val="en-US" w:eastAsia="lt-LT"/>
              </w:rPr>
            </w:pPr>
            <w:r>
              <w:rPr>
                <w:b/>
                <w:bCs/>
                <w:color w:val="808080" w:themeColor="background1" w:themeShade="80"/>
                <w:sz w:val="18"/>
                <w:szCs w:val="18"/>
                <w:lang w:val="en-US" w:eastAsia="lt-LT"/>
              </w:rPr>
              <w:t>Book equity</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F927B7" w:rsidRDefault="00F927B7" w:rsidP="00C34EE7">
            <w:pPr>
              <w:jc w:val="left"/>
              <w:rPr>
                <w:b/>
                <w:bCs/>
                <w:color w:val="000000"/>
                <w:sz w:val="18"/>
                <w:szCs w:val="18"/>
                <w:lang w:val="en-US" w:eastAsia="lt-LT"/>
              </w:rPr>
            </w:pPr>
          </w:p>
        </w:tc>
        <w:tc>
          <w:tcPr>
            <w:tcW w:w="385" w:type="pct"/>
            <w:vMerge/>
            <w:vAlign w:val="center"/>
          </w:tcPr>
          <w:p w:rsidR="00F927B7" w:rsidRPr="00A64E55" w:rsidRDefault="00F927B7" w:rsidP="00C34EE7">
            <w:pPr>
              <w:jc w:val="left"/>
              <w:rPr>
                <w:b/>
                <w:bCs/>
                <w:color w:val="000000"/>
                <w:sz w:val="18"/>
                <w:szCs w:val="18"/>
                <w:lang w:val="en-US" w:eastAsia="lt-LT"/>
              </w:rPr>
            </w:pPr>
          </w:p>
        </w:tc>
        <w:tc>
          <w:tcPr>
            <w:tcW w:w="627" w:type="pct"/>
            <w:vMerge/>
            <w:vAlign w:val="center"/>
          </w:tcPr>
          <w:p w:rsidR="00F927B7" w:rsidRPr="00A64E55" w:rsidRDefault="00F927B7" w:rsidP="00C34EE7">
            <w:pPr>
              <w:rPr>
                <w:b/>
                <w:bCs/>
                <w:color w:val="000000"/>
                <w:sz w:val="18"/>
                <w:szCs w:val="18"/>
                <w:lang w:val="en-US" w:eastAsia="lt-LT"/>
              </w:rPr>
            </w:pPr>
          </w:p>
        </w:tc>
        <w:tc>
          <w:tcPr>
            <w:tcW w:w="1066" w:type="pct"/>
            <w:vMerge/>
            <w:vAlign w:val="center"/>
          </w:tcPr>
          <w:p w:rsidR="00F927B7" w:rsidRPr="00A64E55" w:rsidRDefault="00F927B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Market capitalisation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Annual turnover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auto"/>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N° employees</w:t>
            </w:r>
          </w:p>
        </w:tc>
        <w:tc>
          <w:tcPr>
            <w:tcW w:w="357" w:type="pct"/>
            <w:tcBorders>
              <w:top w:val="single" w:sz="4" w:space="0" w:color="808080" w:themeColor="background1" w:themeShade="80"/>
              <w:left w:val="single" w:sz="4" w:space="0" w:color="808080" w:themeColor="background1" w:themeShade="80"/>
              <w:bottom w:val="single" w:sz="4" w:space="0" w:color="auto"/>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restart"/>
            <w:vAlign w:val="center"/>
          </w:tcPr>
          <w:p w:rsidR="00C34EE7" w:rsidRPr="00A64E55" w:rsidRDefault="00C34EE7" w:rsidP="00C34EE7">
            <w:pPr>
              <w:jc w:val="left"/>
              <w:rPr>
                <w:b/>
                <w:bCs/>
                <w:color w:val="000000"/>
                <w:sz w:val="18"/>
                <w:szCs w:val="18"/>
                <w:lang w:val="en-US" w:eastAsia="lt-LT"/>
              </w:rPr>
            </w:pPr>
          </w:p>
        </w:tc>
        <w:tc>
          <w:tcPr>
            <w:tcW w:w="487" w:type="pct"/>
            <w:vMerge w:val="restart"/>
            <w:vAlign w:val="center"/>
          </w:tcPr>
          <w:p w:rsidR="00C34EE7" w:rsidRPr="00A64E55" w:rsidRDefault="00C34EE7" w:rsidP="00C34EE7">
            <w:pPr>
              <w:rPr>
                <w:b/>
                <w:bCs/>
                <w:color w:val="000000"/>
                <w:sz w:val="18"/>
                <w:szCs w:val="18"/>
                <w:lang w:val="en-US" w:eastAsia="lt-LT"/>
              </w:rPr>
            </w:pPr>
          </w:p>
        </w:tc>
        <w:tc>
          <w:tcPr>
            <w:tcW w:w="443" w:type="pct"/>
            <w:vMerge w:val="restart"/>
            <w:vAlign w:val="center"/>
          </w:tcPr>
          <w:p w:rsidR="00C34EE7" w:rsidRDefault="00C34EE7" w:rsidP="00C34EE7">
            <w:pPr>
              <w:rPr>
                <w:b/>
                <w:bCs/>
                <w:color w:val="000000"/>
                <w:sz w:val="18"/>
                <w:szCs w:val="18"/>
                <w:lang w:val="en-US" w:eastAsia="lt-LT"/>
              </w:rPr>
            </w:pPr>
          </w:p>
        </w:tc>
        <w:tc>
          <w:tcPr>
            <w:tcW w:w="528" w:type="pct"/>
            <w:tcBorders>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Asset value </w:t>
            </w:r>
          </w:p>
        </w:tc>
        <w:tc>
          <w:tcPr>
            <w:tcW w:w="357" w:type="pct"/>
            <w:tcBorders>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restart"/>
            <w:vAlign w:val="center"/>
          </w:tcPr>
          <w:p w:rsidR="00C34EE7" w:rsidRPr="00A64E55" w:rsidRDefault="00C34EE7" w:rsidP="00C34EE7">
            <w:pPr>
              <w:jc w:val="left"/>
              <w:rPr>
                <w:b/>
                <w:bCs/>
                <w:color w:val="000000"/>
                <w:sz w:val="18"/>
                <w:szCs w:val="18"/>
                <w:lang w:val="en-US" w:eastAsia="lt-LT"/>
              </w:rPr>
            </w:pPr>
          </w:p>
        </w:tc>
        <w:tc>
          <w:tcPr>
            <w:tcW w:w="627" w:type="pct"/>
            <w:vMerge w:val="restart"/>
            <w:vAlign w:val="center"/>
          </w:tcPr>
          <w:p w:rsidR="00C34EE7" w:rsidRPr="00A64E55" w:rsidRDefault="00C34EE7" w:rsidP="00C34EE7">
            <w:pPr>
              <w:rPr>
                <w:b/>
                <w:bCs/>
                <w:color w:val="000000"/>
                <w:sz w:val="18"/>
                <w:szCs w:val="18"/>
                <w:lang w:val="en-US" w:eastAsia="lt-LT"/>
              </w:rPr>
            </w:pPr>
          </w:p>
        </w:tc>
        <w:tc>
          <w:tcPr>
            <w:tcW w:w="1066" w:type="pct"/>
            <w:vMerge w:val="restart"/>
            <w:vAlign w:val="center"/>
          </w:tcPr>
          <w:p w:rsidR="00C34EE7" w:rsidRPr="00A64E55" w:rsidRDefault="00C34EE7" w:rsidP="00C34EE7">
            <w:pPr>
              <w:rPr>
                <w:b/>
                <w:bCs/>
                <w:color w:val="000000"/>
                <w:sz w:val="18"/>
                <w:szCs w:val="18"/>
                <w:lang w:val="en-US" w:eastAsia="lt-LT"/>
              </w:rPr>
            </w:pPr>
          </w:p>
        </w:tc>
      </w:tr>
      <w:tr w:rsidR="00F927B7" w:rsidRPr="003B5B2C" w:rsidTr="00212B88">
        <w:trPr>
          <w:cantSplit/>
          <w:trHeight w:val="284"/>
        </w:trPr>
        <w:tc>
          <w:tcPr>
            <w:tcW w:w="1107" w:type="pct"/>
            <w:vMerge/>
            <w:vAlign w:val="center"/>
          </w:tcPr>
          <w:p w:rsidR="00F927B7" w:rsidRPr="00A64E55" w:rsidRDefault="00F927B7" w:rsidP="00C34EE7">
            <w:pPr>
              <w:jc w:val="left"/>
              <w:rPr>
                <w:b/>
                <w:bCs/>
                <w:color w:val="000000"/>
                <w:sz w:val="18"/>
                <w:szCs w:val="18"/>
                <w:lang w:val="en-US" w:eastAsia="lt-LT"/>
              </w:rPr>
            </w:pPr>
          </w:p>
        </w:tc>
        <w:tc>
          <w:tcPr>
            <w:tcW w:w="487" w:type="pct"/>
            <w:vMerge/>
            <w:vAlign w:val="center"/>
          </w:tcPr>
          <w:p w:rsidR="00F927B7" w:rsidRPr="00A64E55" w:rsidRDefault="00F927B7" w:rsidP="00C34EE7">
            <w:pPr>
              <w:rPr>
                <w:b/>
                <w:bCs/>
                <w:color w:val="000000"/>
                <w:sz w:val="18"/>
                <w:szCs w:val="18"/>
                <w:lang w:val="en-US" w:eastAsia="lt-LT"/>
              </w:rPr>
            </w:pPr>
          </w:p>
        </w:tc>
        <w:tc>
          <w:tcPr>
            <w:tcW w:w="443" w:type="pct"/>
            <w:vMerge/>
            <w:vAlign w:val="center"/>
          </w:tcPr>
          <w:p w:rsidR="00F927B7" w:rsidRDefault="00F927B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927B7" w:rsidRPr="00B438EE" w:rsidRDefault="00F927B7" w:rsidP="00C34EE7">
            <w:pPr>
              <w:jc w:val="left"/>
              <w:rPr>
                <w:b/>
                <w:bCs/>
                <w:color w:val="808080" w:themeColor="background1" w:themeShade="80"/>
                <w:sz w:val="18"/>
                <w:szCs w:val="18"/>
                <w:lang w:val="en-US" w:eastAsia="lt-LT"/>
              </w:rPr>
            </w:pPr>
            <w:r>
              <w:rPr>
                <w:b/>
                <w:bCs/>
                <w:color w:val="808080" w:themeColor="background1" w:themeShade="80"/>
                <w:sz w:val="18"/>
                <w:szCs w:val="18"/>
                <w:lang w:val="en-US" w:eastAsia="lt-LT"/>
              </w:rPr>
              <w:t>Book equity</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F927B7" w:rsidRDefault="00F927B7" w:rsidP="00C34EE7">
            <w:pPr>
              <w:jc w:val="left"/>
              <w:rPr>
                <w:b/>
                <w:bCs/>
                <w:color w:val="000000"/>
                <w:sz w:val="18"/>
                <w:szCs w:val="18"/>
                <w:lang w:val="en-US" w:eastAsia="lt-LT"/>
              </w:rPr>
            </w:pPr>
          </w:p>
        </w:tc>
        <w:tc>
          <w:tcPr>
            <w:tcW w:w="385" w:type="pct"/>
            <w:vMerge/>
            <w:vAlign w:val="center"/>
          </w:tcPr>
          <w:p w:rsidR="00F927B7" w:rsidRPr="00A64E55" w:rsidRDefault="00F927B7" w:rsidP="00C34EE7">
            <w:pPr>
              <w:jc w:val="left"/>
              <w:rPr>
                <w:b/>
                <w:bCs/>
                <w:color w:val="000000"/>
                <w:sz w:val="18"/>
                <w:szCs w:val="18"/>
                <w:lang w:val="en-US" w:eastAsia="lt-LT"/>
              </w:rPr>
            </w:pPr>
          </w:p>
        </w:tc>
        <w:tc>
          <w:tcPr>
            <w:tcW w:w="627" w:type="pct"/>
            <w:vMerge/>
            <w:vAlign w:val="center"/>
          </w:tcPr>
          <w:p w:rsidR="00F927B7" w:rsidRPr="00A64E55" w:rsidRDefault="00F927B7" w:rsidP="00C34EE7">
            <w:pPr>
              <w:rPr>
                <w:b/>
                <w:bCs/>
                <w:color w:val="000000"/>
                <w:sz w:val="18"/>
                <w:szCs w:val="18"/>
                <w:lang w:val="en-US" w:eastAsia="lt-LT"/>
              </w:rPr>
            </w:pPr>
          </w:p>
        </w:tc>
        <w:tc>
          <w:tcPr>
            <w:tcW w:w="1066" w:type="pct"/>
            <w:vMerge/>
            <w:vAlign w:val="center"/>
          </w:tcPr>
          <w:p w:rsidR="00F927B7" w:rsidRPr="00A64E55" w:rsidRDefault="00F927B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Market capitalisation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Annual turnover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auto"/>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N° employees</w:t>
            </w:r>
          </w:p>
        </w:tc>
        <w:tc>
          <w:tcPr>
            <w:tcW w:w="357" w:type="pct"/>
            <w:tcBorders>
              <w:top w:val="single" w:sz="4" w:space="0" w:color="808080" w:themeColor="background1" w:themeShade="80"/>
              <w:left w:val="single" w:sz="4" w:space="0" w:color="808080" w:themeColor="background1" w:themeShade="80"/>
              <w:bottom w:val="single" w:sz="4" w:space="0" w:color="auto"/>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restart"/>
            <w:vAlign w:val="center"/>
          </w:tcPr>
          <w:p w:rsidR="00C34EE7" w:rsidRPr="00A64E55" w:rsidRDefault="00C34EE7" w:rsidP="00C34EE7">
            <w:pPr>
              <w:jc w:val="left"/>
              <w:rPr>
                <w:b/>
                <w:bCs/>
                <w:color w:val="000000"/>
                <w:sz w:val="18"/>
                <w:szCs w:val="18"/>
                <w:lang w:val="en-US" w:eastAsia="lt-LT"/>
              </w:rPr>
            </w:pPr>
          </w:p>
        </w:tc>
        <w:tc>
          <w:tcPr>
            <w:tcW w:w="487" w:type="pct"/>
            <w:vMerge w:val="restart"/>
            <w:vAlign w:val="center"/>
          </w:tcPr>
          <w:p w:rsidR="00C34EE7" w:rsidRPr="00A64E55" w:rsidRDefault="00C34EE7" w:rsidP="00C34EE7">
            <w:pPr>
              <w:rPr>
                <w:b/>
                <w:bCs/>
                <w:color w:val="000000"/>
                <w:sz w:val="18"/>
                <w:szCs w:val="18"/>
                <w:lang w:val="en-US" w:eastAsia="lt-LT"/>
              </w:rPr>
            </w:pPr>
          </w:p>
        </w:tc>
        <w:tc>
          <w:tcPr>
            <w:tcW w:w="443" w:type="pct"/>
            <w:vMerge w:val="restart"/>
            <w:vAlign w:val="center"/>
          </w:tcPr>
          <w:p w:rsidR="00C34EE7" w:rsidRDefault="00C34EE7" w:rsidP="00C34EE7">
            <w:pPr>
              <w:rPr>
                <w:b/>
                <w:bCs/>
                <w:color w:val="000000"/>
                <w:sz w:val="18"/>
                <w:szCs w:val="18"/>
                <w:lang w:val="en-US" w:eastAsia="lt-LT"/>
              </w:rPr>
            </w:pPr>
          </w:p>
        </w:tc>
        <w:tc>
          <w:tcPr>
            <w:tcW w:w="528" w:type="pct"/>
            <w:tcBorders>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Asset value </w:t>
            </w:r>
          </w:p>
        </w:tc>
        <w:tc>
          <w:tcPr>
            <w:tcW w:w="357" w:type="pct"/>
            <w:tcBorders>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restart"/>
            <w:vAlign w:val="center"/>
          </w:tcPr>
          <w:p w:rsidR="00C34EE7" w:rsidRPr="00A64E55" w:rsidRDefault="00C34EE7" w:rsidP="00C34EE7">
            <w:pPr>
              <w:jc w:val="left"/>
              <w:rPr>
                <w:b/>
                <w:bCs/>
                <w:color w:val="000000"/>
                <w:sz w:val="18"/>
                <w:szCs w:val="18"/>
                <w:lang w:val="en-US" w:eastAsia="lt-LT"/>
              </w:rPr>
            </w:pPr>
          </w:p>
        </w:tc>
        <w:tc>
          <w:tcPr>
            <w:tcW w:w="627" w:type="pct"/>
            <w:vMerge w:val="restart"/>
            <w:vAlign w:val="center"/>
          </w:tcPr>
          <w:p w:rsidR="00C34EE7" w:rsidRPr="00A64E55" w:rsidRDefault="00C34EE7" w:rsidP="00C34EE7">
            <w:pPr>
              <w:rPr>
                <w:b/>
                <w:bCs/>
                <w:color w:val="000000"/>
                <w:sz w:val="18"/>
                <w:szCs w:val="18"/>
                <w:lang w:val="en-US" w:eastAsia="lt-LT"/>
              </w:rPr>
            </w:pPr>
          </w:p>
        </w:tc>
        <w:tc>
          <w:tcPr>
            <w:tcW w:w="1066" w:type="pct"/>
            <w:vMerge w:val="restart"/>
            <w:vAlign w:val="center"/>
          </w:tcPr>
          <w:p w:rsidR="00161A5C" w:rsidRDefault="00161A5C" w:rsidP="00C34EE7">
            <w:pPr>
              <w:rPr>
                <w:b/>
                <w:bCs/>
                <w:color w:val="000000"/>
                <w:sz w:val="18"/>
                <w:szCs w:val="18"/>
                <w:lang w:val="en-US" w:eastAsia="lt-LT"/>
              </w:rPr>
            </w:pPr>
          </w:p>
          <w:p w:rsidR="00161A5C" w:rsidRPr="00D75895" w:rsidRDefault="00161A5C">
            <w:pPr>
              <w:rPr>
                <w:sz w:val="18"/>
                <w:szCs w:val="18"/>
                <w:lang w:val="en-US" w:eastAsia="lt-LT"/>
              </w:rPr>
            </w:pPr>
          </w:p>
          <w:p w:rsidR="00161A5C" w:rsidRDefault="00161A5C" w:rsidP="00161A5C">
            <w:pPr>
              <w:rPr>
                <w:sz w:val="18"/>
                <w:szCs w:val="18"/>
                <w:lang w:val="en-US" w:eastAsia="lt-LT"/>
              </w:rPr>
            </w:pPr>
          </w:p>
          <w:p w:rsidR="00161A5C" w:rsidRDefault="00161A5C" w:rsidP="00161A5C">
            <w:pPr>
              <w:rPr>
                <w:sz w:val="18"/>
                <w:szCs w:val="18"/>
                <w:lang w:val="en-US" w:eastAsia="lt-LT"/>
              </w:rPr>
            </w:pPr>
          </w:p>
          <w:p w:rsidR="00161A5C" w:rsidRDefault="00161A5C" w:rsidP="00161A5C">
            <w:pPr>
              <w:rPr>
                <w:sz w:val="18"/>
                <w:szCs w:val="18"/>
                <w:lang w:val="en-US" w:eastAsia="lt-LT"/>
              </w:rPr>
            </w:pPr>
          </w:p>
          <w:p w:rsidR="00161A5C" w:rsidRDefault="00161A5C" w:rsidP="00161A5C">
            <w:pPr>
              <w:rPr>
                <w:sz w:val="18"/>
                <w:szCs w:val="18"/>
                <w:lang w:val="en-US" w:eastAsia="lt-LT"/>
              </w:rPr>
            </w:pPr>
          </w:p>
          <w:p w:rsidR="00C34EE7" w:rsidRPr="00D75895" w:rsidRDefault="00C34EE7">
            <w:pPr>
              <w:rPr>
                <w:sz w:val="18"/>
                <w:szCs w:val="18"/>
                <w:lang w:val="en-US" w:eastAsia="lt-LT"/>
              </w:rPr>
            </w:pPr>
          </w:p>
        </w:tc>
      </w:tr>
      <w:tr w:rsidR="00F927B7" w:rsidRPr="003B5B2C" w:rsidTr="00212B88">
        <w:trPr>
          <w:cantSplit/>
          <w:trHeight w:val="284"/>
        </w:trPr>
        <w:tc>
          <w:tcPr>
            <w:tcW w:w="1107" w:type="pct"/>
            <w:vMerge/>
            <w:vAlign w:val="center"/>
          </w:tcPr>
          <w:p w:rsidR="00F927B7" w:rsidRPr="00A64E55" w:rsidRDefault="00F927B7" w:rsidP="00C34EE7">
            <w:pPr>
              <w:jc w:val="left"/>
              <w:rPr>
                <w:b/>
                <w:bCs/>
                <w:color w:val="000000"/>
                <w:sz w:val="18"/>
                <w:szCs w:val="18"/>
                <w:lang w:val="en-US" w:eastAsia="lt-LT"/>
              </w:rPr>
            </w:pPr>
          </w:p>
        </w:tc>
        <w:tc>
          <w:tcPr>
            <w:tcW w:w="487" w:type="pct"/>
            <w:vMerge/>
            <w:vAlign w:val="center"/>
          </w:tcPr>
          <w:p w:rsidR="00F927B7" w:rsidRPr="00A64E55" w:rsidRDefault="00F927B7" w:rsidP="00C34EE7">
            <w:pPr>
              <w:rPr>
                <w:b/>
                <w:bCs/>
                <w:color w:val="000000"/>
                <w:sz w:val="18"/>
                <w:szCs w:val="18"/>
                <w:lang w:val="en-US" w:eastAsia="lt-LT"/>
              </w:rPr>
            </w:pPr>
          </w:p>
        </w:tc>
        <w:tc>
          <w:tcPr>
            <w:tcW w:w="443" w:type="pct"/>
            <w:vMerge/>
            <w:vAlign w:val="center"/>
          </w:tcPr>
          <w:p w:rsidR="00F927B7" w:rsidRDefault="00F927B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F927B7" w:rsidRPr="00B438EE" w:rsidRDefault="00F927B7" w:rsidP="00C34EE7">
            <w:pPr>
              <w:jc w:val="left"/>
              <w:rPr>
                <w:b/>
                <w:bCs/>
                <w:color w:val="808080" w:themeColor="background1" w:themeShade="80"/>
                <w:sz w:val="18"/>
                <w:szCs w:val="18"/>
                <w:lang w:val="en-US" w:eastAsia="lt-LT"/>
              </w:rPr>
            </w:pPr>
            <w:r>
              <w:rPr>
                <w:b/>
                <w:bCs/>
                <w:color w:val="808080" w:themeColor="background1" w:themeShade="80"/>
                <w:sz w:val="18"/>
                <w:szCs w:val="18"/>
                <w:lang w:val="en-US" w:eastAsia="lt-LT"/>
              </w:rPr>
              <w:t>Book equity</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F927B7" w:rsidRDefault="00F927B7" w:rsidP="00C34EE7">
            <w:pPr>
              <w:jc w:val="left"/>
              <w:rPr>
                <w:b/>
                <w:bCs/>
                <w:color w:val="000000"/>
                <w:sz w:val="18"/>
                <w:szCs w:val="18"/>
                <w:lang w:val="en-US" w:eastAsia="lt-LT"/>
              </w:rPr>
            </w:pPr>
          </w:p>
        </w:tc>
        <w:tc>
          <w:tcPr>
            <w:tcW w:w="385" w:type="pct"/>
            <w:vMerge/>
            <w:vAlign w:val="center"/>
          </w:tcPr>
          <w:p w:rsidR="00F927B7" w:rsidRPr="00A64E55" w:rsidRDefault="00F927B7" w:rsidP="00C34EE7">
            <w:pPr>
              <w:jc w:val="left"/>
              <w:rPr>
                <w:b/>
                <w:bCs/>
                <w:color w:val="000000"/>
                <w:sz w:val="18"/>
                <w:szCs w:val="18"/>
                <w:lang w:val="en-US" w:eastAsia="lt-LT"/>
              </w:rPr>
            </w:pPr>
          </w:p>
        </w:tc>
        <w:tc>
          <w:tcPr>
            <w:tcW w:w="627" w:type="pct"/>
            <w:vMerge/>
            <w:vAlign w:val="center"/>
          </w:tcPr>
          <w:p w:rsidR="00F927B7" w:rsidRPr="00A64E55" w:rsidRDefault="00F927B7" w:rsidP="00C34EE7">
            <w:pPr>
              <w:rPr>
                <w:b/>
                <w:bCs/>
                <w:color w:val="000000"/>
                <w:sz w:val="18"/>
                <w:szCs w:val="18"/>
                <w:lang w:val="en-US" w:eastAsia="lt-LT"/>
              </w:rPr>
            </w:pPr>
          </w:p>
        </w:tc>
        <w:tc>
          <w:tcPr>
            <w:tcW w:w="1066" w:type="pct"/>
            <w:vMerge/>
            <w:vAlign w:val="center"/>
          </w:tcPr>
          <w:p w:rsidR="00F927B7" w:rsidRPr="00A64E55" w:rsidRDefault="00F927B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Market capitalisation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 xml:space="preserve">Annual turnover </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C34EE7" w:rsidRPr="00A64E55" w:rsidRDefault="00C34EE7" w:rsidP="00C34EE7">
            <w:pPr>
              <w:jc w:val="left"/>
              <w:rPr>
                <w:b/>
                <w:bCs/>
                <w:color w:val="000000"/>
                <w:sz w:val="18"/>
                <w:szCs w:val="18"/>
                <w:lang w:val="en-US" w:eastAsia="lt-LT"/>
              </w:rPr>
            </w:pPr>
          </w:p>
        </w:tc>
        <w:tc>
          <w:tcPr>
            <w:tcW w:w="487" w:type="pct"/>
            <w:vMerge/>
            <w:vAlign w:val="center"/>
          </w:tcPr>
          <w:p w:rsidR="00C34EE7" w:rsidRPr="00A64E55" w:rsidRDefault="00C34EE7" w:rsidP="00C34EE7">
            <w:pPr>
              <w:rPr>
                <w:b/>
                <w:bCs/>
                <w:color w:val="000000"/>
                <w:sz w:val="18"/>
                <w:szCs w:val="18"/>
                <w:lang w:val="en-US" w:eastAsia="lt-LT"/>
              </w:rPr>
            </w:pPr>
          </w:p>
        </w:tc>
        <w:tc>
          <w:tcPr>
            <w:tcW w:w="443" w:type="pct"/>
            <w:vMerge/>
            <w:vAlign w:val="center"/>
          </w:tcPr>
          <w:p w:rsidR="00C34EE7" w:rsidRDefault="00C34EE7" w:rsidP="00C34EE7">
            <w:pPr>
              <w:rPr>
                <w:b/>
                <w:bCs/>
                <w:color w:val="000000"/>
                <w:sz w:val="18"/>
                <w:szCs w:val="18"/>
                <w:lang w:val="en-US" w:eastAsia="lt-LT"/>
              </w:rPr>
            </w:pPr>
          </w:p>
        </w:tc>
        <w:tc>
          <w:tcPr>
            <w:tcW w:w="528" w:type="pct"/>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34EE7" w:rsidRPr="00B438EE" w:rsidRDefault="00C34EE7" w:rsidP="00C34EE7">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N° employees</w:t>
            </w:r>
          </w:p>
        </w:tc>
        <w:tc>
          <w:tcPr>
            <w:tcW w:w="357" w:type="pct"/>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C34EE7" w:rsidRDefault="00C34EE7" w:rsidP="00C34EE7">
            <w:pPr>
              <w:jc w:val="left"/>
              <w:rPr>
                <w:b/>
                <w:bCs/>
                <w:color w:val="000000"/>
                <w:sz w:val="18"/>
                <w:szCs w:val="18"/>
                <w:lang w:val="en-US" w:eastAsia="lt-LT"/>
              </w:rPr>
            </w:pPr>
          </w:p>
        </w:tc>
        <w:tc>
          <w:tcPr>
            <w:tcW w:w="385" w:type="pct"/>
            <w:vMerge/>
            <w:vAlign w:val="center"/>
          </w:tcPr>
          <w:p w:rsidR="00C34EE7" w:rsidRPr="00A64E55" w:rsidRDefault="00C34EE7" w:rsidP="00C34EE7">
            <w:pPr>
              <w:jc w:val="left"/>
              <w:rPr>
                <w:b/>
                <w:bCs/>
                <w:color w:val="000000"/>
                <w:sz w:val="18"/>
                <w:szCs w:val="18"/>
                <w:lang w:val="en-US" w:eastAsia="lt-LT"/>
              </w:rPr>
            </w:pPr>
          </w:p>
        </w:tc>
        <w:tc>
          <w:tcPr>
            <w:tcW w:w="627" w:type="pct"/>
            <w:vMerge/>
            <w:vAlign w:val="center"/>
          </w:tcPr>
          <w:p w:rsidR="00C34EE7" w:rsidRPr="00A64E55" w:rsidRDefault="00C34EE7" w:rsidP="00C34EE7">
            <w:pPr>
              <w:rPr>
                <w:b/>
                <w:bCs/>
                <w:color w:val="000000"/>
                <w:sz w:val="18"/>
                <w:szCs w:val="18"/>
                <w:lang w:val="en-US" w:eastAsia="lt-LT"/>
              </w:rPr>
            </w:pPr>
          </w:p>
        </w:tc>
        <w:tc>
          <w:tcPr>
            <w:tcW w:w="1066" w:type="pct"/>
            <w:vMerge/>
            <w:vAlign w:val="center"/>
          </w:tcPr>
          <w:p w:rsidR="00C34EE7" w:rsidRPr="00A64E55" w:rsidRDefault="00C34EE7" w:rsidP="00C34EE7">
            <w:pPr>
              <w:rPr>
                <w:b/>
                <w:bCs/>
                <w:color w:val="000000"/>
                <w:sz w:val="18"/>
                <w:szCs w:val="18"/>
                <w:lang w:val="en-US" w:eastAsia="lt-LT"/>
              </w:rPr>
            </w:pPr>
          </w:p>
        </w:tc>
      </w:tr>
      <w:tr w:rsidR="0012216D" w:rsidRPr="003B5B2C" w:rsidTr="00212B88">
        <w:trPr>
          <w:cantSplit/>
          <w:trHeight w:val="284"/>
        </w:trPr>
        <w:tc>
          <w:tcPr>
            <w:tcW w:w="1107" w:type="pct"/>
            <w:vMerge/>
            <w:vAlign w:val="center"/>
          </w:tcPr>
          <w:p w:rsidR="00F31AF7" w:rsidRPr="00A64E55" w:rsidRDefault="00F31AF7" w:rsidP="00C34EE7">
            <w:pPr>
              <w:jc w:val="left"/>
              <w:rPr>
                <w:b/>
                <w:bCs/>
                <w:color w:val="000000"/>
                <w:sz w:val="18"/>
                <w:szCs w:val="18"/>
                <w:lang w:val="en-US" w:eastAsia="lt-LT"/>
              </w:rPr>
            </w:pPr>
          </w:p>
        </w:tc>
        <w:tc>
          <w:tcPr>
            <w:tcW w:w="487" w:type="pct"/>
            <w:vMerge/>
            <w:vAlign w:val="center"/>
          </w:tcPr>
          <w:p w:rsidR="00F31AF7" w:rsidRPr="00A64E55" w:rsidRDefault="00F31AF7" w:rsidP="00C34EE7">
            <w:pPr>
              <w:rPr>
                <w:b/>
                <w:bCs/>
                <w:color w:val="000000"/>
                <w:sz w:val="18"/>
                <w:szCs w:val="18"/>
                <w:lang w:val="en-US" w:eastAsia="lt-LT"/>
              </w:rPr>
            </w:pPr>
          </w:p>
        </w:tc>
        <w:tc>
          <w:tcPr>
            <w:tcW w:w="443" w:type="pct"/>
            <w:vMerge/>
            <w:vAlign w:val="center"/>
          </w:tcPr>
          <w:p w:rsidR="00F31AF7" w:rsidRDefault="00F31AF7" w:rsidP="00C34EE7">
            <w:pPr>
              <w:rPr>
                <w:b/>
                <w:bCs/>
                <w:color w:val="000000"/>
                <w:sz w:val="18"/>
                <w:szCs w:val="18"/>
                <w:lang w:val="en-US" w:eastAsia="lt-LT"/>
              </w:rPr>
            </w:pPr>
          </w:p>
        </w:tc>
        <w:tc>
          <w:tcPr>
            <w:tcW w:w="528" w:type="pct"/>
            <w:tcBorders>
              <w:top w:val="single" w:sz="4" w:space="0" w:color="808080" w:themeColor="background1" w:themeShade="80"/>
              <w:right w:val="single" w:sz="4" w:space="0" w:color="808080" w:themeColor="background1" w:themeShade="80"/>
            </w:tcBorders>
            <w:vAlign w:val="center"/>
          </w:tcPr>
          <w:p w:rsidR="00F31AF7" w:rsidRPr="00B438EE" w:rsidRDefault="00F31AF7" w:rsidP="006342E4">
            <w:pPr>
              <w:jc w:val="left"/>
              <w:rPr>
                <w:b/>
                <w:bCs/>
                <w:color w:val="808080" w:themeColor="background1" w:themeShade="80"/>
                <w:sz w:val="18"/>
                <w:szCs w:val="18"/>
                <w:lang w:val="en-US" w:eastAsia="lt-LT"/>
              </w:rPr>
            </w:pPr>
            <w:r w:rsidRPr="00B438EE">
              <w:rPr>
                <w:b/>
                <w:bCs/>
                <w:color w:val="808080" w:themeColor="background1" w:themeShade="80"/>
                <w:sz w:val="18"/>
                <w:szCs w:val="18"/>
                <w:lang w:val="en-US" w:eastAsia="lt-LT"/>
              </w:rPr>
              <w:t>N° employees</w:t>
            </w:r>
          </w:p>
        </w:tc>
        <w:tc>
          <w:tcPr>
            <w:tcW w:w="357" w:type="pct"/>
            <w:tcBorders>
              <w:top w:val="single" w:sz="4" w:space="0" w:color="808080" w:themeColor="background1" w:themeShade="80"/>
              <w:left w:val="single" w:sz="4" w:space="0" w:color="808080" w:themeColor="background1" w:themeShade="80"/>
            </w:tcBorders>
            <w:vAlign w:val="center"/>
          </w:tcPr>
          <w:p w:rsidR="00F31AF7" w:rsidRDefault="00F31AF7" w:rsidP="00C34EE7">
            <w:pPr>
              <w:jc w:val="left"/>
              <w:rPr>
                <w:b/>
                <w:bCs/>
                <w:color w:val="000000"/>
                <w:sz w:val="18"/>
                <w:szCs w:val="18"/>
                <w:lang w:val="en-US" w:eastAsia="lt-LT"/>
              </w:rPr>
            </w:pPr>
          </w:p>
        </w:tc>
        <w:tc>
          <w:tcPr>
            <w:tcW w:w="385" w:type="pct"/>
            <w:vMerge/>
            <w:vAlign w:val="center"/>
          </w:tcPr>
          <w:p w:rsidR="00F31AF7" w:rsidRPr="00A64E55" w:rsidRDefault="00F31AF7" w:rsidP="00C34EE7">
            <w:pPr>
              <w:jc w:val="left"/>
              <w:rPr>
                <w:b/>
                <w:bCs/>
                <w:color w:val="000000"/>
                <w:sz w:val="18"/>
                <w:szCs w:val="18"/>
                <w:lang w:val="en-US" w:eastAsia="lt-LT"/>
              </w:rPr>
            </w:pPr>
          </w:p>
        </w:tc>
        <w:tc>
          <w:tcPr>
            <w:tcW w:w="627" w:type="pct"/>
            <w:vMerge/>
            <w:vAlign w:val="center"/>
          </w:tcPr>
          <w:p w:rsidR="00F31AF7" w:rsidRPr="00A64E55" w:rsidRDefault="00F31AF7" w:rsidP="00C34EE7">
            <w:pPr>
              <w:rPr>
                <w:b/>
                <w:bCs/>
                <w:color w:val="000000"/>
                <w:sz w:val="18"/>
                <w:szCs w:val="18"/>
                <w:lang w:val="en-US" w:eastAsia="lt-LT"/>
              </w:rPr>
            </w:pPr>
          </w:p>
        </w:tc>
        <w:tc>
          <w:tcPr>
            <w:tcW w:w="1066" w:type="pct"/>
            <w:vMerge/>
            <w:vAlign w:val="center"/>
          </w:tcPr>
          <w:p w:rsidR="00F31AF7" w:rsidRPr="00A64E55" w:rsidRDefault="00F31AF7" w:rsidP="00C34EE7">
            <w:pPr>
              <w:rPr>
                <w:b/>
                <w:bCs/>
                <w:color w:val="000000"/>
                <w:sz w:val="18"/>
                <w:szCs w:val="18"/>
                <w:lang w:val="en-US" w:eastAsia="lt-LT"/>
              </w:rPr>
            </w:pPr>
          </w:p>
        </w:tc>
      </w:tr>
    </w:tbl>
    <w:p w:rsidR="008137D0" w:rsidRDefault="008137D0" w:rsidP="003D0231">
      <w:pPr>
        <w:pStyle w:val="BodyText"/>
        <w:sectPr w:rsidR="008137D0" w:rsidSect="008137D0">
          <w:pgSz w:w="16838" w:h="11906" w:orient="landscape"/>
          <w:pgMar w:top="1440" w:right="1440" w:bottom="1440" w:left="1440" w:header="709" w:footer="709" w:gutter="0"/>
          <w:cols w:space="708"/>
          <w:docGrid w:linePitch="360"/>
        </w:sectPr>
      </w:pPr>
    </w:p>
    <w:p w:rsidR="003D0231" w:rsidRPr="00B438EE" w:rsidRDefault="003D0231" w:rsidP="0019106C">
      <w:pPr>
        <w:pStyle w:val="Heading1"/>
        <w:spacing w:before="360" w:after="360"/>
      </w:pPr>
      <w:bookmarkStart w:id="6" w:name="_Toc433277196"/>
      <w:r>
        <w:rPr>
          <w:lang w:val="en-US"/>
        </w:rPr>
        <w:t xml:space="preserve">Methodological </w:t>
      </w:r>
      <w:r w:rsidR="00F31AF7">
        <w:rPr>
          <w:lang w:val="en-US"/>
        </w:rPr>
        <w:t>n</w:t>
      </w:r>
      <w:r>
        <w:rPr>
          <w:lang w:val="en-US"/>
        </w:rPr>
        <w:t>ote</w:t>
      </w:r>
      <w:bookmarkEnd w:id="6"/>
    </w:p>
    <w:p w:rsidR="003D0231" w:rsidRDefault="003D0231" w:rsidP="003D0231">
      <w:pPr>
        <w:pStyle w:val="Heading2"/>
        <w:rPr>
          <w:lang w:val="en-US" w:eastAsia="en-US"/>
        </w:rPr>
      </w:pPr>
      <w:r>
        <w:rPr>
          <w:lang w:val="en-US" w:eastAsia="en-US"/>
        </w:rPr>
        <w:t>Reporting agency/agencies</w:t>
      </w:r>
    </w:p>
    <w:p w:rsidR="0012216D" w:rsidRPr="00592BA1" w:rsidRDefault="003D0231" w:rsidP="009F5967">
      <w:pPr>
        <w:pStyle w:val="BodyText"/>
        <w:rPr>
          <w:lang w:val="en-US" w:eastAsia="en-US"/>
        </w:rPr>
      </w:pPr>
      <w:r w:rsidRPr="00467FF7">
        <w:rPr>
          <w:lang w:val="en-US" w:eastAsia="en-US"/>
        </w:rPr>
        <w:t>Please specify what government agency, or agencies, are responsible for the reporting from your country.</w:t>
      </w:r>
      <w:r>
        <w:rPr>
          <w:lang w:val="en-US" w:eastAsia="en-US"/>
        </w:rPr>
        <w:t xml:space="preserve"> Please also report on the number of employees within the ownership entit(y)ies responsible for state-owned enterprises.</w:t>
      </w:r>
    </w:p>
    <w:p w:rsidR="003D0231" w:rsidRPr="002643A3" w:rsidRDefault="003D0231" w:rsidP="003D0231">
      <w:pPr>
        <w:pStyle w:val="Heading2"/>
        <w:rPr>
          <w:lang w:val="en-US" w:eastAsia="en-US"/>
        </w:rPr>
      </w:pPr>
      <w:r>
        <w:rPr>
          <w:lang w:val="en-US" w:eastAsia="en-US"/>
        </w:rPr>
        <w:t>Definition of state-owned enterprises</w:t>
      </w:r>
    </w:p>
    <w:p w:rsidR="0012216D" w:rsidRDefault="003D0231" w:rsidP="009F5967">
      <w:pPr>
        <w:pStyle w:val="BodyText"/>
        <w:rPr>
          <w:lang w:val="en-US" w:eastAsia="en-US"/>
        </w:rPr>
      </w:pPr>
      <w:r>
        <w:rPr>
          <w:lang w:val="en-US" w:eastAsia="en-US"/>
        </w:rPr>
        <w:t xml:space="preserve">Please define the criteria that lead you to include an enterprise in your reporting as a state-owned enterprise (or a </w:t>
      </w:r>
      <w:r w:rsidR="00DD0144">
        <w:rPr>
          <w:lang w:val="en-US" w:eastAsia="en-US"/>
        </w:rPr>
        <w:t xml:space="preserve">minority </w:t>
      </w:r>
      <w:r>
        <w:rPr>
          <w:lang w:val="en-US" w:eastAsia="en-US"/>
        </w:rPr>
        <w:t>state</w:t>
      </w:r>
      <w:r w:rsidR="00DD0144">
        <w:rPr>
          <w:lang w:val="en-US" w:eastAsia="en-US"/>
        </w:rPr>
        <w:t>-</w:t>
      </w:r>
      <w:r>
        <w:rPr>
          <w:lang w:val="en-US" w:eastAsia="en-US"/>
        </w:rPr>
        <w:t xml:space="preserve">owned enterprise). Are SOEs held by certain parts of the government sector excluded from your reporting because data could not be obtained? If yes, please provide details. The questionnaire asked countries to include in their reporting any corporation that is </w:t>
      </w:r>
      <w:r>
        <w:rPr>
          <w:rFonts w:ascii="TimesNewRoman,Italic" w:hAnsi="TimesNewRoman,Italic" w:cs="TimesNewRoman,Italic"/>
          <w:i/>
          <w:iCs/>
          <w:lang w:val="en-US" w:eastAsia="en-US"/>
        </w:rPr>
        <w:t xml:space="preserve">“(1) controlled </w:t>
      </w:r>
      <w:r>
        <w:rPr>
          <w:lang w:val="en-US" w:eastAsia="en-US"/>
        </w:rPr>
        <w:t xml:space="preserve">by another public unit; and (2) is a market producer. Control is defined as the ability to determine the general policy or program of an institutional unit. The definition of being a ‘market producer’ depends on a separate assessment of whether or not the institutional unit charges </w:t>
      </w:r>
      <w:r w:rsidR="00B73F1B">
        <w:rPr>
          <w:lang w:val="en-US" w:eastAsia="en-US"/>
        </w:rPr>
        <w:t>‘</w:t>
      </w:r>
      <w:r>
        <w:rPr>
          <w:lang w:val="en-US" w:eastAsia="en-US"/>
        </w:rPr>
        <w:t>economically significant prices’.” Have you excluded any such entities from your reporting? In particular, are statutory corporations (entities operating with their own legal framework) and quasi corporations (units of general government involved in commercial activities) fully covered? Please provide details.</w:t>
      </w:r>
    </w:p>
    <w:p w:rsidR="003D0231" w:rsidRDefault="003D0231" w:rsidP="003D0231">
      <w:pPr>
        <w:pStyle w:val="Heading2"/>
        <w:rPr>
          <w:lang w:val="en-US" w:eastAsia="en-US"/>
        </w:rPr>
      </w:pPr>
      <w:r>
        <w:rPr>
          <w:lang w:val="en-US" w:eastAsia="en-US"/>
        </w:rPr>
        <w:t>Consolidation and degree of ownership</w:t>
      </w:r>
    </w:p>
    <w:p w:rsidR="0012216D" w:rsidRDefault="003D0231" w:rsidP="009F5967">
      <w:pPr>
        <w:pStyle w:val="BodyText"/>
        <w:rPr>
          <w:lang w:val="en-US" w:eastAsia="en-US"/>
        </w:rPr>
      </w:pPr>
      <w:r>
        <w:rPr>
          <w:lang w:val="en-US" w:eastAsia="en-US"/>
        </w:rPr>
        <w:t>Please provide details of the methodology that has been applied to reporting on companies owned through cascading shareholdings, owned jointly by different parts of the state sector or involving ownership at different levels of government. How has the divided ownership affected the 10% and 50% reporting thresholds? How is it reflected in the number and values reported?</w:t>
      </w:r>
    </w:p>
    <w:p w:rsidR="003D0231" w:rsidRDefault="003D0231" w:rsidP="003D0231">
      <w:pPr>
        <w:pStyle w:val="Heading2"/>
        <w:rPr>
          <w:lang w:val="en-US" w:eastAsia="en-US"/>
        </w:rPr>
      </w:pPr>
      <w:r>
        <w:rPr>
          <w:lang w:val="en-US" w:eastAsia="en-US"/>
        </w:rPr>
        <w:t>Valuation methods</w:t>
      </w:r>
    </w:p>
    <w:p w:rsidR="0012216D" w:rsidRPr="00015CED" w:rsidRDefault="003D0231" w:rsidP="009F5967">
      <w:pPr>
        <w:pStyle w:val="BodyText"/>
        <w:rPr>
          <w:lang w:eastAsia="en-US"/>
        </w:rPr>
      </w:pPr>
      <w:r>
        <w:rPr>
          <w:lang w:val="en-US" w:eastAsia="en-US"/>
        </w:rPr>
        <w:t xml:space="preserve">Please provide details of the valuation methods applied, including any differences between valuation of listed SOEs, unlisted SOEs and statutory corporations (or, if applicable, SOEs that are in the process of </w:t>
      </w:r>
      <w:r w:rsidRPr="00015CED">
        <w:rPr>
          <w:lang w:eastAsia="en-US"/>
        </w:rPr>
        <w:t>privatisation).</w:t>
      </w:r>
    </w:p>
    <w:p w:rsidR="003D0231" w:rsidRDefault="003D0231" w:rsidP="003D0231">
      <w:pPr>
        <w:pStyle w:val="Heading2"/>
        <w:rPr>
          <w:lang w:val="en-US" w:eastAsia="en-US"/>
        </w:rPr>
      </w:pPr>
      <w:r>
        <w:rPr>
          <w:lang w:val="en-US" w:eastAsia="en-US"/>
        </w:rPr>
        <w:t>Listed enterprises</w:t>
      </w:r>
    </w:p>
    <w:p w:rsidR="003C640F" w:rsidRDefault="003D0231" w:rsidP="009F5967">
      <w:pPr>
        <w:pStyle w:val="BodyText"/>
        <w:rPr>
          <w:lang w:val="en-US" w:eastAsia="en-US"/>
        </w:rPr>
      </w:pPr>
      <w:r>
        <w:rPr>
          <w:lang w:val="en-US" w:eastAsia="en-US"/>
        </w:rPr>
        <w:t>Please provide details of the methodology and definitions underpinning your selection of enterprises to report, including the types of equity in government ownership and the degree to which investment by autonomous state bodies (e.g. public investment or pension funds) have been included in</w:t>
      </w:r>
      <w:r w:rsidR="005A427A">
        <w:rPr>
          <w:lang w:val="en-US" w:eastAsia="en-US"/>
        </w:rPr>
        <w:t xml:space="preserve"> the reported ownership shares.</w:t>
      </w:r>
    </w:p>
    <w:p w:rsidR="003C640F" w:rsidRDefault="003C640F" w:rsidP="003C640F">
      <w:pPr>
        <w:pStyle w:val="Num-DocParagraph"/>
        <w:rPr>
          <w:lang w:val="en-US" w:eastAsia="en-US"/>
        </w:rPr>
      </w:pPr>
      <w:r>
        <w:rPr>
          <w:lang w:val="en-US" w:eastAsia="en-US"/>
        </w:rPr>
        <w:br w:type="page"/>
      </w:r>
    </w:p>
    <w:p w:rsidR="00346CB2" w:rsidRDefault="003C640F" w:rsidP="003C640F">
      <w:pPr>
        <w:pStyle w:val="Heading1"/>
        <w:rPr>
          <w:lang w:val="en-US" w:eastAsia="en-US"/>
        </w:rPr>
      </w:pPr>
      <w:bookmarkStart w:id="7" w:name="_Toc433277197"/>
      <w:r>
        <w:rPr>
          <w:lang w:val="en-US" w:eastAsia="en-US"/>
        </w:rPr>
        <w:t xml:space="preserve">Annex 1: Definition of quasi-corporations according to the </w:t>
      </w:r>
      <w:r w:rsidR="0084324C">
        <w:rPr>
          <w:lang w:val="en-US" w:eastAsia="en-US"/>
        </w:rPr>
        <w:t>S</w:t>
      </w:r>
      <w:r>
        <w:rPr>
          <w:lang w:val="en-US" w:eastAsia="en-US"/>
        </w:rPr>
        <w:t xml:space="preserve">ystem of </w:t>
      </w:r>
      <w:r w:rsidR="0084324C">
        <w:rPr>
          <w:lang w:val="en-US" w:eastAsia="en-US"/>
        </w:rPr>
        <w:t>N</w:t>
      </w:r>
      <w:r>
        <w:rPr>
          <w:lang w:val="en-US" w:eastAsia="en-US"/>
        </w:rPr>
        <w:t xml:space="preserve">ational </w:t>
      </w:r>
      <w:r w:rsidR="0084324C">
        <w:rPr>
          <w:lang w:val="en-US" w:eastAsia="en-US"/>
        </w:rPr>
        <w:t>A</w:t>
      </w:r>
      <w:r>
        <w:rPr>
          <w:lang w:val="en-US" w:eastAsia="en-US"/>
        </w:rPr>
        <w:t>ccounts</w:t>
      </w:r>
      <w:bookmarkEnd w:id="7"/>
    </w:p>
    <w:tbl>
      <w:tblPr>
        <w:tblStyle w:val="TableGrid"/>
        <w:tblW w:w="0" w:type="auto"/>
        <w:tblLook w:val="04A0" w:firstRow="1" w:lastRow="0" w:firstColumn="1" w:lastColumn="0" w:noHBand="0" w:noVBand="1"/>
      </w:tblPr>
      <w:tblGrid>
        <w:gridCol w:w="9242"/>
      </w:tblGrid>
      <w:tr w:rsidR="00890915" w:rsidTr="00890915">
        <w:tc>
          <w:tcPr>
            <w:tcW w:w="9242" w:type="dxa"/>
          </w:tcPr>
          <w:p w:rsidR="00890915" w:rsidRDefault="00890915" w:rsidP="00890915">
            <w:pPr>
              <w:pStyle w:val="Num-DocParagraph"/>
              <w:rPr>
                <w:sz w:val="18"/>
                <w:szCs w:val="18"/>
                <w:lang w:val="en-US" w:eastAsia="en-US"/>
              </w:rPr>
            </w:pPr>
          </w:p>
          <w:p w:rsidR="00B2439D" w:rsidRDefault="00B2439D" w:rsidP="00890915">
            <w:pPr>
              <w:pStyle w:val="Num-DocParagraph"/>
              <w:rPr>
                <w:sz w:val="18"/>
                <w:szCs w:val="18"/>
                <w:lang w:eastAsia="en-US"/>
              </w:rPr>
            </w:pPr>
            <w:r w:rsidRPr="00B2439D">
              <w:rPr>
                <w:b/>
                <w:sz w:val="18"/>
                <w:szCs w:val="18"/>
                <w:lang w:eastAsia="en-US"/>
              </w:rPr>
              <w:t>4.120</w:t>
            </w:r>
            <w:r w:rsidRPr="00B2439D">
              <w:rPr>
                <w:sz w:val="18"/>
                <w:szCs w:val="18"/>
                <w:lang w:eastAsia="en-US"/>
              </w:rPr>
              <w:t xml:space="preserve"> When a government unit wishes to intervene in the sphere of production it has three options: </w:t>
            </w:r>
          </w:p>
          <w:p w:rsidR="00B2439D" w:rsidRDefault="00B2439D" w:rsidP="00B2439D">
            <w:pPr>
              <w:pStyle w:val="Num-DocParagraph"/>
              <w:ind w:left="720"/>
              <w:rPr>
                <w:sz w:val="18"/>
                <w:szCs w:val="18"/>
                <w:lang w:eastAsia="en-US"/>
              </w:rPr>
            </w:pPr>
            <w:r w:rsidRPr="00B2439D">
              <w:rPr>
                <w:sz w:val="18"/>
                <w:szCs w:val="18"/>
                <w:lang w:eastAsia="en-US"/>
              </w:rPr>
              <w:t xml:space="preserve">a. it may create a public corporation whose corporate policy, including pricing and investment, it is able to control; </w:t>
            </w:r>
          </w:p>
          <w:p w:rsidR="00E67A59" w:rsidRDefault="00E67A59" w:rsidP="00B2439D">
            <w:pPr>
              <w:pStyle w:val="Num-DocParagraph"/>
              <w:ind w:left="720"/>
              <w:rPr>
                <w:sz w:val="18"/>
                <w:szCs w:val="18"/>
                <w:lang w:eastAsia="en-US"/>
              </w:rPr>
            </w:pPr>
            <w:r>
              <w:rPr>
                <w:sz w:val="18"/>
                <w:szCs w:val="18"/>
                <w:lang w:eastAsia="en-US"/>
              </w:rPr>
              <w:t>b. it may create a non-profit institution (NPI)</w:t>
            </w:r>
            <w:r w:rsidR="00B2439D" w:rsidRPr="00B2439D">
              <w:rPr>
                <w:sz w:val="18"/>
                <w:szCs w:val="18"/>
                <w:lang w:eastAsia="en-US"/>
              </w:rPr>
              <w:t xml:space="preserve"> that it controls; </w:t>
            </w:r>
          </w:p>
          <w:p w:rsidR="00B2439D" w:rsidRDefault="00B2439D" w:rsidP="00B2439D">
            <w:pPr>
              <w:pStyle w:val="Num-DocParagraph"/>
              <w:ind w:left="720"/>
              <w:rPr>
                <w:sz w:val="18"/>
                <w:szCs w:val="18"/>
                <w:lang w:eastAsia="en-US"/>
              </w:rPr>
            </w:pPr>
            <w:r w:rsidRPr="00B2439D">
              <w:rPr>
                <w:sz w:val="18"/>
                <w:szCs w:val="18"/>
                <w:lang w:eastAsia="en-US"/>
              </w:rPr>
              <w:t xml:space="preserve">c. it may produce the goods or services itself in an establishment that it owns but that does not exist as a separate legal entity from the government unit itself. </w:t>
            </w:r>
          </w:p>
          <w:p w:rsidR="0084324C" w:rsidRDefault="00B2439D" w:rsidP="00890915">
            <w:pPr>
              <w:pStyle w:val="Num-DocParagraph"/>
              <w:rPr>
                <w:sz w:val="18"/>
                <w:szCs w:val="18"/>
                <w:lang w:eastAsia="en-US"/>
              </w:rPr>
            </w:pPr>
            <w:r w:rsidRPr="00B2439D">
              <w:rPr>
                <w:b/>
                <w:sz w:val="18"/>
                <w:szCs w:val="18"/>
                <w:lang w:eastAsia="en-US"/>
              </w:rPr>
              <w:t>4.121</w:t>
            </w:r>
            <w:r w:rsidRPr="00B2439D">
              <w:rPr>
                <w:sz w:val="18"/>
                <w:szCs w:val="18"/>
                <w:lang w:eastAsia="en-US"/>
              </w:rPr>
              <w:t xml:space="preserve"> However, a government establishment, or group of establishments engaged in the same kind of production under common management, should be treated as a quasi</w:t>
            </w:r>
            <w:r w:rsidR="0084324C">
              <w:rPr>
                <w:sz w:val="18"/>
                <w:szCs w:val="18"/>
                <w:lang w:eastAsia="en-US"/>
              </w:rPr>
              <w:t>-</w:t>
            </w:r>
            <w:r w:rsidRPr="00B2439D">
              <w:rPr>
                <w:sz w:val="18"/>
                <w:szCs w:val="18"/>
                <w:lang w:eastAsia="en-US"/>
              </w:rPr>
              <w:t xml:space="preserve">corporation if the following three criteria hold: </w:t>
            </w:r>
          </w:p>
          <w:p w:rsidR="0084324C" w:rsidRDefault="00B2439D" w:rsidP="0084324C">
            <w:pPr>
              <w:pStyle w:val="Num-DocParagraph"/>
              <w:ind w:left="720"/>
              <w:rPr>
                <w:sz w:val="18"/>
                <w:szCs w:val="18"/>
                <w:lang w:eastAsia="en-US"/>
              </w:rPr>
            </w:pPr>
            <w:r w:rsidRPr="00B2439D">
              <w:rPr>
                <w:sz w:val="18"/>
                <w:szCs w:val="18"/>
                <w:lang w:eastAsia="en-US"/>
              </w:rPr>
              <w:t xml:space="preserve">a. the unit charges prices for its outputs that are economically significant; </w:t>
            </w:r>
          </w:p>
          <w:p w:rsidR="0084324C" w:rsidRDefault="00B2439D" w:rsidP="0084324C">
            <w:pPr>
              <w:pStyle w:val="Num-DocParagraph"/>
              <w:ind w:left="720"/>
              <w:rPr>
                <w:sz w:val="18"/>
                <w:szCs w:val="18"/>
                <w:lang w:eastAsia="en-US"/>
              </w:rPr>
            </w:pPr>
            <w:r w:rsidRPr="00B2439D">
              <w:rPr>
                <w:sz w:val="18"/>
                <w:szCs w:val="18"/>
                <w:lang w:eastAsia="en-US"/>
              </w:rPr>
              <w:t xml:space="preserve">b. the unit is operated and managed in a similar way to a corporation; and </w:t>
            </w:r>
          </w:p>
          <w:p w:rsidR="00B2439D" w:rsidRDefault="00B2439D" w:rsidP="0084324C">
            <w:pPr>
              <w:pStyle w:val="Num-DocParagraph"/>
              <w:ind w:left="720"/>
              <w:rPr>
                <w:sz w:val="18"/>
                <w:szCs w:val="18"/>
                <w:lang w:eastAsia="en-US"/>
              </w:rPr>
            </w:pPr>
            <w:r w:rsidRPr="00B2439D">
              <w:rPr>
                <w:sz w:val="18"/>
                <w:szCs w:val="18"/>
                <w:lang w:eastAsia="en-US"/>
              </w:rPr>
              <w:t xml:space="preserve">c. the unit has a complete set of accounts that enable its operating surpluses, savings, assets and liabilities to be separately identified and measured. Such quasi-corporations are market producers that are treated as separate institutional units from the government units that own them. They are classified, sectored and subsectored in the same way as public corporations. </w:t>
            </w:r>
          </w:p>
          <w:p w:rsidR="00B2439D" w:rsidRDefault="00B2439D" w:rsidP="00890915">
            <w:pPr>
              <w:pStyle w:val="Num-DocParagraph"/>
              <w:rPr>
                <w:sz w:val="18"/>
                <w:szCs w:val="18"/>
                <w:lang w:eastAsia="en-US"/>
              </w:rPr>
            </w:pPr>
            <w:r w:rsidRPr="00B2439D">
              <w:rPr>
                <w:b/>
                <w:sz w:val="18"/>
                <w:szCs w:val="18"/>
                <w:lang w:eastAsia="en-US"/>
              </w:rPr>
              <w:t>4.122</w:t>
            </w:r>
            <w:r w:rsidRPr="00B2439D">
              <w:rPr>
                <w:sz w:val="18"/>
                <w:szCs w:val="18"/>
                <w:lang w:eastAsia="en-US"/>
              </w:rPr>
              <w:t xml:space="preserve"> In order to be treated as a quasi-corporation the government must allow the management of the enterprise considerable discretion not only with respect to the management of the production process but also the use of funds. Government quasi-corporations must be able to maintain their own working balances and business credit and be able to finance some or all of their capital formation out of their own savings, depreciation reserves or borrowing. The ability to distinguish flows of income and capital between quasi</w:t>
            </w:r>
            <w:r w:rsidR="0084324C">
              <w:rPr>
                <w:sz w:val="18"/>
                <w:szCs w:val="18"/>
                <w:lang w:eastAsia="en-US"/>
              </w:rPr>
              <w:t>-</w:t>
            </w:r>
            <w:r w:rsidRPr="00B2439D">
              <w:rPr>
                <w:sz w:val="18"/>
                <w:szCs w:val="18"/>
                <w:lang w:eastAsia="en-US"/>
              </w:rPr>
              <w:t xml:space="preserve">corporations and government implies that their operating and financing activities are not fully integrated with government revenue or finance statistics in practice, despite the fact that they are not separate legal entities. </w:t>
            </w:r>
          </w:p>
          <w:p w:rsidR="00890915" w:rsidRPr="00890915" w:rsidRDefault="00B2439D" w:rsidP="00890915">
            <w:pPr>
              <w:pStyle w:val="Num-DocParagraph"/>
              <w:rPr>
                <w:sz w:val="18"/>
                <w:szCs w:val="18"/>
                <w:lang w:val="en-US" w:eastAsia="en-US"/>
              </w:rPr>
            </w:pPr>
            <w:r w:rsidRPr="00B2439D">
              <w:rPr>
                <w:b/>
                <w:sz w:val="18"/>
                <w:szCs w:val="18"/>
                <w:lang w:eastAsia="en-US"/>
              </w:rPr>
              <w:t>4.123</w:t>
            </w:r>
            <w:r w:rsidRPr="00B2439D">
              <w:rPr>
                <w:sz w:val="18"/>
                <w:szCs w:val="18"/>
                <w:lang w:eastAsia="en-US"/>
              </w:rPr>
              <w:t xml:space="preserve"> Producer units of government that cannot be treated as quasi-corporations, like all unincorporated enterprises that cannot be separated from their owners, remain in the same institutional unit as the owner, in this case within the general government sector. They are likely to consist largely, or entirely, of non-market producers: that is, producers most or all of whose output is supplied to other units free, or at prices that are not economically significant. In addition to providing non-market goods or services to the general public, such units may include government producers supplying non-market goods or services to other government units for purposes of intermediate consumption or gross fixed capital formation: for example, munitions factories, government printing offices, transport agencies, computer or communications agencies, etc. However, it is possible for an unincorporated enterprise within a government to be a market producer. The example often quoted is that of a bookshop within a museum.</w:t>
            </w:r>
          </w:p>
          <w:p w:rsidR="00890915" w:rsidRPr="00B2439D" w:rsidRDefault="00890915" w:rsidP="00890915">
            <w:pPr>
              <w:pStyle w:val="Num-DocParagraph"/>
              <w:rPr>
                <w:i/>
                <w:sz w:val="16"/>
                <w:szCs w:val="16"/>
                <w:lang w:val="en-US" w:eastAsia="en-US"/>
              </w:rPr>
            </w:pPr>
            <w:r w:rsidRPr="00B2439D">
              <w:rPr>
                <w:i/>
                <w:sz w:val="16"/>
                <w:szCs w:val="16"/>
                <w:lang w:val="en-US" w:eastAsia="en-US"/>
              </w:rPr>
              <w:t xml:space="preserve">Source: </w:t>
            </w:r>
            <w:r w:rsidRPr="00B2439D">
              <w:rPr>
                <w:sz w:val="16"/>
                <w:szCs w:val="16"/>
                <w:lang w:val="en-US" w:eastAsia="en-US"/>
              </w:rPr>
              <w:t xml:space="preserve">United Nations (2008), </w:t>
            </w:r>
            <w:r w:rsidRPr="00B2439D">
              <w:rPr>
                <w:i/>
                <w:sz w:val="16"/>
                <w:szCs w:val="16"/>
                <w:lang w:val="en-US" w:eastAsia="en-US"/>
              </w:rPr>
              <w:t>System of National Accounts 2008</w:t>
            </w:r>
            <w:r w:rsidRPr="00B2439D">
              <w:rPr>
                <w:sz w:val="16"/>
                <w:szCs w:val="16"/>
                <w:lang w:val="en-US" w:eastAsia="en-US"/>
              </w:rPr>
              <w:t>, European Communities, International Monetary Fund, Organisation for Economic Cooperation and Development, United Nations and World Bank, New York, 2009.</w:t>
            </w:r>
          </w:p>
        </w:tc>
      </w:tr>
    </w:tbl>
    <w:p w:rsidR="00890915" w:rsidRPr="00890915" w:rsidRDefault="00890915" w:rsidP="00890915">
      <w:pPr>
        <w:pStyle w:val="Num-DocParagraph"/>
        <w:rPr>
          <w:lang w:val="en-US" w:eastAsia="en-US"/>
        </w:rPr>
      </w:pPr>
    </w:p>
    <w:sectPr w:rsidR="00890915" w:rsidRPr="008909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EE7" w:rsidRDefault="00C34EE7" w:rsidP="003D0231">
      <w:r>
        <w:separator/>
      </w:r>
    </w:p>
  </w:endnote>
  <w:endnote w:type="continuationSeparator" w:id="0">
    <w:p w:rsidR="00C34EE7" w:rsidRDefault="00C34EE7" w:rsidP="003D0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TimesNewRoman,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EE7" w:rsidRDefault="00C34EE7" w:rsidP="00C34E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34EE7" w:rsidRDefault="00C34E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EE7" w:rsidRDefault="00C34EE7" w:rsidP="00C34E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90E75">
      <w:rPr>
        <w:rStyle w:val="PageNumber"/>
        <w:noProof/>
      </w:rPr>
      <w:t>5</w:t>
    </w:r>
    <w:r>
      <w:rPr>
        <w:rStyle w:val="PageNumber"/>
      </w:rPr>
      <w:fldChar w:fldCharType="end"/>
    </w:r>
  </w:p>
  <w:p w:rsidR="00C34EE7" w:rsidRPr="002C1AA0" w:rsidRDefault="00C34EE7" w:rsidP="00C34E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EE7" w:rsidRDefault="00C34EE7" w:rsidP="003D0231">
      <w:r>
        <w:separator/>
      </w:r>
    </w:p>
  </w:footnote>
  <w:footnote w:type="continuationSeparator" w:id="0">
    <w:p w:rsidR="00C34EE7" w:rsidRDefault="00C34EE7" w:rsidP="003D0231">
      <w:r>
        <w:continuationSeparator/>
      </w:r>
    </w:p>
  </w:footnote>
  <w:footnote w:id="1">
    <w:p w:rsidR="00C34EE7" w:rsidRDefault="00C34EE7" w:rsidP="003D0231">
      <w:pPr>
        <w:pStyle w:val="FootnoteText"/>
      </w:pPr>
      <w:r>
        <w:rPr>
          <w:rStyle w:val="FootnoteReference"/>
        </w:rPr>
        <w:footnoteRef/>
      </w:r>
      <w:r>
        <w:t xml:space="preserve"> </w:t>
      </w:r>
      <w:r w:rsidRPr="00E558EC">
        <w:rPr>
          <w:sz w:val="16"/>
          <w:szCs w:val="16"/>
        </w:rPr>
        <w:t xml:space="preserve">The number of enterprises, employees and valuation must all reflect the situation at </w:t>
      </w:r>
      <w:r>
        <w:rPr>
          <w:sz w:val="16"/>
          <w:szCs w:val="16"/>
        </w:rPr>
        <w:t xml:space="preserve">the </w:t>
      </w:r>
      <w:r w:rsidRPr="00E558EC">
        <w:rPr>
          <w:sz w:val="16"/>
          <w:szCs w:val="16"/>
        </w:rPr>
        <w:t>end</w:t>
      </w:r>
      <w:r>
        <w:rPr>
          <w:sz w:val="16"/>
          <w:szCs w:val="16"/>
        </w:rPr>
        <w:t xml:space="preserve"> of the latest year</w:t>
      </w:r>
      <w:r w:rsidRPr="00E558EC">
        <w:rPr>
          <w:sz w:val="16"/>
          <w:szCs w:val="16"/>
        </w:rPr>
        <w:t>.</w:t>
      </w:r>
      <w:r>
        <w:rPr>
          <w:sz w:val="16"/>
          <w:szCs w:val="16"/>
        </w:rPr>
        <w:t xml:space="preserve"> Any deviations therefrom should be clearly specified by the reporting agency. </w:t>
      </w:r>
    </w:p>
  </w:footnote>
  <w:footnote w:id="2">
    <w:p w:rsidR="00C34EE7" w:rsidRPr="00DA689E" w:rsidRDefault="00C34EE7" w:rsidP="003D0231">
      <w:pPr>
        <w:pStyle w:val="FootnoteText"/>
        <w:rPr>
          <w:sz w:val="16"/>
          <w:szCs w:val="16"/>
        </w:rPr>
      </w:pPr>
      <w:r w:rsidRPr="00DA689E">
        <w:rPr>
          <w:rStyle w:val="FootnoteReference"/>
        </w:rPr>
        <w:footnoteRef/>
      </w:r>
      <w:r w:rsidRPr="00DA689E">
        <w:rPr>
          <w:sz w:val="16"/>
          <w:szCs w:val="16"/>
        </w:rPr>
        <w:t xml:space="preserve"> Please specify valuation method and, if available, report alternative valuations. </w:t>
      </w:r>
      <w:r>
        <w:rPr>
          <w:sz w:val="16"/>
          <w:szCs w:val="16"/>
        </w:rPr>
        <w:t>Value should be specified in USD millions.</w:t>
      </w:r>
    </w:p>
  </w:footnote>
  <w:footnote w:id="3">
    <w:p w:rsidR="00231A95" w:rsidRDefault="00231A95" w:rsidP="003D0231">
      <w:pPr>
        <w:pStyle w:val="FootnoteText"/>
      </w:pPr>
      <w:r w:rsidRPr="004963AD">
        <w:rPr>
          <w:rStyle w:val="FootnoteReference"/>
          <w:sz w:val="16"/>
          <w:szCs w:val="16"/>
        </w:rPr>
        <w:footnoteRef/>
      </w:r>
      <w:r w:rsidRPr="004963AD">
        <w:rPr>
          <w:sz w:val="16"/>
          <w:szCs w:val="16"/>
        </w:rPr>
        <w:t xml:space="preserve"> Including the production and refining of hydrocarbons.</w:t>
      </w:r>
      <w:r>
        <w:t xml:space="preserve"> </w:t>
      </w:r>
    </w:p>
  </w:footnote>
  <w:footnote w:id="4">
    <w:p w:rsidR="00C34EE7" w:rsidRDefault="00C34EE7" w:rsidP="003D0231">
      <w:pPr>
        <w:pStyle w:val="FootnoteText"/>
      </w:pPr>
      <w:r>
        <w:rPr>
          <w:rStyle w:val="FootnoteReference"/>
        </w:rPr>
        <w:footnoteRef/>
      </w:r>
      <w:r>
        <w:t xml:space="preserve"> </w:t>
      </w:r>
      <w:r w:rsidRPr="00255C7A">
        <w:rPr>
          <w:sz w:val="16"/>
          <w:szCs w:val="16"/>
        </w:rPr>
        <w:t>The number of enterprises, employees and valuation must all reflect the situation at the end of the latest year. Any deviations therefrom should be clearly specified by the reporting agency</w:t>
      </w:r>
      <w:r>
        <w:rPr>
          <w:sz w:val="16"/>
          <w:szCs w:val="16"/>
        </w:rPr>
        <w:t xml:space="preserve">. </w:t>
      </w:r>
    </w:p>
  </w:footnote>
  <w:footnote w:id="5">
    <w:p w:rsidR="00C34EE7" w:rsidRPr="00DA689E" w:rsidRDefault="00C34EE7" w:rsidP="003D0231">
      <w:pPr>
        <w:pStyle w:val="FootnoteText"/>
        <w:rPr>
          <w:sz w:val="16"/>
          <w:szCs w:val="16"/>
        </w:rPr>
      </w:pPr>
      <w:r w:rsidRPr="00DA689E">
        <w:rPr>
          <w:rStyle w:val="FootnoteReference"/>
        </w:rPr>
        <w:footnoteRef/>
      </w:r>
      <w:r w:rsidRPr="00DA689E">
        <w:rPr>
          <w:sz w:val="16"/>
          <w:szCs w:val="16"/>
        </w:rPr>
        <w:t xml:space="preserve"> Please specify valuation method and, if available, report alternative valuations. </w:t>
      </w:r>
      <w:r>
        <w:rPr>
          <w:sz w:val="16"/>
          <w:szCs w:val="16"/>
        </w:rPr>
        <w:t>Value should be specified in USD millions.</w:t>
      </w:r>
    </w:p>
  </w:footnote>
  <w:footnote w:id="6">
    <w:p w:rsidR="00231A95" w:rsidRDefault="00231A95" w:rsidP="003D0231">
      <w:pPr>
        <w:pStyle w:val="FootnoteText"/>
      </w:pPr>
      <w:r w:rsidRPr="004963AD">
        <w:rPr>
          <w:rStyle w:val="FootnoteReference"/>
          <w:sz w:val="16"/>
          <w:szCs w:val="16"/>
        </w:rPr>
        <w:footnoteRef/>
      </w:r>
      <w:r w:rsidRPr="004963AD">
        <w:rPr>
          <w:sz w:val="16"/>
          <w:szCs w:val="16"/>
        </w:rPr>
        <w:t xml:space="preserve"> Including the production and refining of hydrocarbons.</w:t>
      </w:r>
      <w:r>
        <w:t xml:space="preserve"> </w:t>
      </w:r>
    </w:p>
  </w:footnote>
  <w:footnote w:id="7">
    <w:p w:rsidR="00C34EE7" w:rsidRPr="0083412A" w:rsidRDefault="00C34EE7" w:rsidP="003D0231">
      <w:pPr>
        <w:pStyle w:val="FootnoteText"/>
      </w:pPr>
      <w:r>
        <w:rPr>
          <w:rStyle w:val="FootnoteReference"/>
        </w:rPr>
        <w:footnoteRef/>
      </w:r>
      <w:r>
        <w:t xml:space="preserve"> Please include only companies whose voting stock is quoted on a stock exchange. Add lines if necessary. </w:t>
      </w:r>
    </w:p>
  </w:footnote>
  <w:footnote w:id="8">
    <w:p w:rsidR="00C34EE7" w:rsidRDefault="00C34EE7" w:rsidP="003D0231">
      <w:pPr>
        <w:pStyle w:val="FootnoteText"/>
      </w:pPr>
      <w:r>
        <w:rPr>
          <w:rStyle w:val="FootnoteReference"/>
        </w:rPr>
        <w:footnoteRef/>
      </w:r>
      <w:r>
        <w:t xml:space="preserve"> If a company is owned indirectly through other companies, please indicate the entire ownership chain. </w:t>
      </w:r>
    </w:p>
  </w:footnote>
  <w:footnote w:id="9">
    <w:p w:rsidR="00C34EE7" w:rsidRDefault="00C34EE7">
      <w:pPr>
        <w:pStyle w:val="FootnoteText"/>
      </w:pPr>
      <w:r>
        <w:rPr>
          <w:rStyle w:val="FootnoteReference"/>
        </w:rPr>
        <w:footnoteRef/>
      </w:r>
      <w:r>
        <w:t xml:space="preserve"> </w:t>
      </w:r>
      <w:r w:rsidRPr="004A7071">
        <w:t>For sector of operation, please follow the two-digit ISIC classification</w:t>
      </w:r>
      <w:r w:rsidR="00CD3CDA">
        <w:t xml:space="preserve">, </w:t>
      </w:r>
      <w:r w:rsidR="003E75CC">
        <w:t xml:space="preserve">which </w:t>
      </w:r>
      <w:r w:rsidR="00CD3CDA">
        <w:t>c</w:t>
      </w:r>
      <w:r w:rsidR="003E75CC">
        <w:t xml:space="preserve">an </w:t>
      </w:r>
      <w:r w:rsidRPr="004A7071">
        <w:t xml:space="preserve">can be found at: </w:t>
      </w:r>
      <w:r w:rsidRPr="00DD0144">
        <w:t>http://unstats.un.org/unsd/cr/registry/regcst.asp?Cl=27&amp;Lg=1</w:t>
      </w:r>
      <w:r w:rsidRPr="004A7071">
        <w:t>.</w:t>
      </w:r>
    </w:p>
  </w:footnote>
  <w:footnote w:id="10">
    <w:p w:rsidR="00C34EE7" w:rsidRDefault="00C34EE7">
      <w:pPr>
        <w:pStyle w:val="FootnoteText"/>
      </w:pPr>
      <w:r>
        <w:rPr>
          <w:rStyle w:val="FootnoteReference"/>
        </w:rPr>
        <w:footnoteRef/>
      </w:r>
      <w:r>
        <w:t xml:space="preserve"> P</w:t>
      </w:r>
      <w:r w:rsidRPr="004A7071">
        <w:t>lease specify percentage of both cash flow and voting rights</w:t>
      </w:r>
      <w:r>
        <w:t>.</w:t>
      </w:r>
      <w:r w:rsidRPr="004A7071">
        <w:t xml:space="preserve"> </w:t>
      </w:r>
      <w:r>
        <w:t>I</w:t>
      </w:r>
      <w:r w:rsidRPr="004A7071">
        <w:t xml:space="preserve">f </w:t>
      </w:r>
      <w:r>
        <w:t>relevant</w:t>
      </w:r>
      <w:r w:rsidRPr="004A7071">
        <w:t>, please add the ownership by other institutions under state control</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90F62"/>
    <w:multiLevelType w:val="singleLevel"/>
    <w:tmpl w:val="3502E25E"/>
    <w:name w:val="templateBullet1"/>
    <w:lvl w:ilvl="0">
      <w:start w:val="1"/>
      <w:numFmt w:val="bullet"/>
      <w:pStyle w:val="ListBullet"/>
      <w:lvlText w:val="·"/>
      <w:lvlJc w:val="left"/>
      <w:pPr>
        <w:tabs>
          <w:tab w:val="num" w:pos="850"/>
        </w:tabs>
        <w:ind w:left="850" w:hanging="408"/>
      </w:pPr>
      <w:rPr>
        <w:rFonts w:ascii="Symbol" w:hAnsi="Symbol" w:cs="Times New Roman" w:hint="default"/>
        <w:b w:val="0"/>
        <w:i w:val="0"/>
        <w:sz w:val="22"/>
      </w:rPr>
    </w:lvl>
  </w:abstractNum>
  <w:abstractNum w:abstractNumId="1">
    <w:nsid w:val="3D634108"/>
    <w:multiLevelType w:val="hybridMultilevel"/>
    <w:tmpl w:val="2C50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docVars>
    <w:docVar w:name="APWAFNeedToUniquify" w:val="false"/>
    <w:docVar w:name="APWAFVersion" w:val="5.0"/>
  </w:docVars>
  <w:rsids>
    <w:rsidRoot w:val="003D0231"/>
    <w:rsid w:val="0001776E"/>
    <w:rsid w:val="00052A23"/>
    <w:rsid w:val="00054E3A"/>
    <w:rsid w:val="000738A1"/>
    <w:rsid w:val="000A04A5"/>
    <w:rsid w:val="001025B4"/>
    <w:rsid w:val="00115F11"/>
    <w:rsid w:val="001160F4"/>
    <w:rsid w:val="0012216D"/>
    <w:rsid w:val="00137E7C"/>
    <w:rsid w:val="00144AB7"/>
    <w:rsid w:val="00161A5C"/>
    <w:rsid w:val="00161F04"/>
    <w:rsid w:val="00170476"/>
    <w:rsid w:val="001767FD"/>
    <w:rsid w:val="00186B0B"/>
    <w:rsid w:val="0019106C"/>
    <w:rsid w:val="001A7183"/>
    <w:rsid w:val="00212B88"/>
    <w:rsid w:val="00231A95"/>
    <w:rsid w:val="00261036"/>
    <w:rsid w:val="00283B77"/>
    <w:rsid w:val="002C2BEE"/>
    <w:rsid w:val="002E01FB"/>
    <w:rsid w:val="002E064F"/>
    <w:rsid w:val="00345B3C"/>
    <w:rsid w:val="00346CB2"/>
    <w:rsid w:val="00352423"/>
    <w:rsid w:val="00356530"/>
    <w:rsid w:val="003B0779"/>
    <w:rsid w:val="003B40DD"/>
    <w:rsid w:val="003B525A"/>
    <w:rsid w:val="003B654F"/>
    <w:rsid w:val="003C640F"/>
    <w:rsid w:val="003D0231"/>
    <w:rsid w:val="003E75CC"/>
    <w:rsid w:val="004641C0"/>
    <w:rsid w:val="00487EE9"/>
    <w:rsid w:val="004A7071"/>
    <w:rsid w:val="004F0ADB"/>
    <w:rsid w:val="00592BA1"/>
    <w:rsid w:val="005977AB"/>
    <w:rsid w:val="005A3FCD"/>
    <w:rsid w:val="005A427A"/>
    <w:rsid w:val="005B63CE"/>
    <w:rsid w:val="005E1B80"/>
    <w:rsid w:val="005F4C54"/>
    <w:rsid w:val="005F6722"/>
    <w:rsid w:val="00626C49"/>
    <w:rsid w:val="006932DB"/>
    <w:rsid w:val="006F6E1B"/>
    <w:rsid w:val="00714AFA"/>
    <w:rsid w:val="007454CD"/>
    <w:rsid w:val="00760905"/>
    <w:rsid w:val="00790B1C"/>
    <w:rsid w:val="00797419"/>
    <w:rsid w:val="007A14DB"/>
    <w:rsid w:val="007B186D"/>
    <w:rsid w:val="007E0F0D"/>
    <w:rsid w:val="007E3190"/>
    <w:rsid w:val="008137D0"/>
    <w:rsid w:val="00823CB6"/>
    <w:rsid w:val="00827D6C"/>
    <w:rsid w:val="0084324C"/>
    <w:rsid w:val="008775F8"/>
    <w:rsid w:val="00890915"/>
    <w:rsid w:val="008A055D"/>
    <w:rsid w:val="008C5A62"/>
    <w:rsid w:val="008E25F4"/>
    <w:rsid w:val="008E5962"/>
    <w:rsid w:val="00910BFB"/>
    <w:rsid w:val="00912A6A"/>
    <w:rsid w:val="00954A04"/>
    <w:rsid w:val="0095787F"/>
    <w:rsid w:val="00982CF7"/>
    <w:rsid w:val="009846A3"/>
    <w:rsid w:val="009B5D26"/>
    <w:rsid w:val="009C7F84"/>
    <w:rsid w:val="009F5967"/>
    <w:rsid w:val="00A64F01"/>
    <w:rsid w:val="00A836C5"/>
    <w:rsid w:val="00A87ABB"/>
    <w:rsid w:val="00A91D90"/>
    <w:rsid w:val="00AD657F"/>
    <w:rsid w:val="00AF004C"/>
    <w:rsid w:val="00B2439D"/>
    <w:rsid w:val="00B27F39"/>
    <w:rsid w:val="00B40565"/>
    <w:rsid w:val="00B42973"/>
    <w:rsid w:val="00B438EE"/>
    <w:rsid w:val="00B73F1B"/>
    <w:rsid w:val="00B90E75"/>
    <w:rsid w:val="00B9568E"/>
    <w:rsid w:val="00BC591F"/>
    <w:rsid w:val="00BF7161"/>
    <w:rsid w:val="00C34EE7"/>
    <w:rsid w:val="00C407AA"/>
    <w:rsid w:val="00C5286D"/>
    <w:rsid w:val="00C93AFC"/>
    <w:rsid w:val="00CD3CDA"/>
    <w:rsid w:val="00CF5CED"/>
    <w:rsid w:val="00D32BC9"/>
    <w:rsid w:val="00D54F54"/>
    <w:rsid w:val="00D70B2D"/>
    <w:rsid w:val="00D75895"/>
    <w:rsid w:val="00DA3CE9"/>
    <w:rsid w:val="00DD0144"/>
    <w:rsid w:val="00DD54C3"/>
    <w:rsid w:val="00DD5ACC"/>
    <w:rsid w:val="00E300FD"/>
    <w:rsid w:val="00E41E70"/>
    <w:rsid w:val="00E67A59"/>
    <w:rsid w:val="00E736E9"/>
    <w:rsid w:val="00E96A1B"/>
    <w:rsid w:val="00EC3D45"/>
    <w:rsid w:val="00EE08FC"/>
    <w:rsid w:val="00EE2D83"/>
    <w:rsid w:val="00F105C4"/>
    <w:rsid w:val="00F125AE"/>
    <w:rsid w:val="00F2306D"/>
    <w:rsid w:val="00F25A8A"/>
    <w:rsid w:val="00F31AF7"/>
    <w:rsid w:val="00F75836"/>
    <w:rsid w:val="00F927B7"/>
    <w:rsid w:val="00FA64CD"/>
    <w:rsid w:val="00FF03CF"/>
    <w:rsid w:val="00FF4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231"/>
    <w:pPr>
      <w:tabs>
        <w:tab w:val="left" w:pos="850"/>
        <w:tab w:val="left" w:pos="1191"/>
        <w:tab w:val="left" w:pos="1531"/>
      </w:tabs>
      <w:spacing w:after="0" w:line="240" w:lineRule="auto"/>
      <w:jc w:val="both"/>
    </w:pPr>
    <w:rPr>
      <w:rFonts w:ascii="Times New Roman" w:eastAsia="Times New Roman" w:hAnsi="Times New Roman" w:cs="Times New Roman"/>
      <w:lang w:eastAsia="zh-CN"/>
    </w:rPr>
  </w:style>
  <w:style w:type="paragraph" w:styleId="Heading1">
    <w:name w:val="heading 1"/>
    <w:basedOn w:val="Normal"/>
    <w:next w:val="Num-DocParagraph"/>
    <w:link w:val="Heading1Char"/>
    <w:qFormat/>
    <w:rsid w:val="003D0231"/>
    <w:pPr>
      <w:keepNext/>
      <w:spacing w:before="1200" w:after="720"/>
      <w:jc w:val="center"/>
      <w:outlineLvl w:val="0"/>
    </w:pPr>
    <w:rPr>
      <w:b/>
      <w:bCs/>
      <w:caps/>
      <w:kern w:val="28"/>
    </w:rPr>
  </w:style>
  <w:style w:type="paragraph" w:styleId="Heading2">
    <w:name w:val="heading 2"/>
    <w:basedOn w:val="Normal"/>
    <w:next w:val="Num-DocParagraph"/>
    <w:link w:val="Heading2Char"/>
    <w:qFormat/>
    <w:rsid w:val="003D0231"/>
    <w:pPr>
      <w:keepNext/>
      <w:spacing w:before="240" w:after="240"/>
      <w:outlineLvl w:val="1"/>
    </w:pPr>
    <w:rPr>
      <w:b/>
      <w:bCs/>
    </w:rPr>
  </w:style>
  <w:style w:type="paragraph" w:styleId="Heading3">
    <w:name w:val="heading 3"/>
    <w:basedOn w:val="Normal"/>
    <w:next w:val="Num-DocParagraph"/>
    <w:link w:val="Heading3Char"/>
    <w:qFormat/>
    <w:rsid w:val="003D0231"/>
    <w:pPr>
      <w:keepNext/>
      <w:spacing w:before="240" w:after="240"/>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0231"/>
    <w:rPr>
      <w:rFonts w:ascii="Times New Roman" w:eastAsia="Times New Roman" w:hAnsi="Times New Roman" w:cs="Times New Roman"/>
      <w:b/>
      <w:bCs/>
      <w:caps/>
      <w:kern w:val="28"/>
      <w:lang w:eastAsia="zh-CN"/>
    </w:rPr>
  </w:style>
  <w:style w:type="character" w:customStyle="1" w:styleId="Heading2Char">
    <w:name w:val="Heading 2 Char"/>
    <w:basedOn w:val="DefaultParagraphFont"/>
    <w:link w:val="Heading2"/>
    <w:rsid w:val="003D0231"/>
    <w:rPr>
      <w:rFonts w:ascii="Times New Roman" w:eastAsia="Times New Roman" w:hAnsi="Times New Roman" w:cs="Times New Roman"/>
      <w:b/>
      <w:bCs/>
      <w:lang w:eastAsia="zh-CN"/>
    </w:rPr>
  </w:style>
  <w:style w:type="character" w:customStyle="1" w:styleId="Heading3Char">
    <w:name w:val="Heading 3 Char"/>
    <w:basedOn w:val="DefaultParagraphFont"/>
    <w:link w:val="Heading3"/>
    <w:rsid w:val="003D0231"/>
    <w:rPr>
      <w:rFonts w:ascii="Times New Roman" w:eastAsia="Times New Roman" w:hAnsi="Times New Roman" w:cs="Times New Roman"/>
      <w:b/>
      <w:bCs/>
      <w:i/>
      <w:iCs/>
      <w:lang w:eastAsia="zh-CN"/>
    </w:rPr>
  </w:style>
  <w:style w:type="paragraph" w:styleId="BodyText">
    <w:name w:val="Body Text"/>
    <w:basedOn w:val="Normal"/>
    <w:link w:val="BodyTextChar"/>
    <w:rsid w:val="003D0231"/>
    <w:pPr>
      <w:spacing w:after="240"/>
      <w:ind w:firstLine="442"/>
    </w:pPr>
  </w:style>
  <w:style w:type="character" w:customStyle="1" w:styleId="BodyTextChar">
    <w:name w:val="Body Text Char"/>
    <w:basedOn w:val="DefaultParagraphFont"/>
    <w:link w:val="BodyText"/>
    <w:rsid w:val="003D0231"/>
    <w:rPr>
      <w:rFonts w:ascii="Times New Roman" w:eastAsia="Times New Roman" w:hAnsi="Times New Roman" w:cs="Times New Roman"/>
      <w:lang w:eastAsia="zh-CN"/>
    </w:rPr>
  </w:style>
  <w:style w:type="paragraph" w:customStyle="1" w:styleId="ColumnsHeading">
    <w:name w:val="Columns Heading"/>
    <w:basedOn w:val="Normal"/>
    <w:rsid w:val="003D0231"/>
    <w:pPr>
      <w:tabs>
        <w:tab w:val="clear" w:pos="850"/>
        <w:tab w:val="clear" w:pos="1191"/>
        <w:tab w:val="clear" w:pos="1531"/>
      </w:tabs>
      <w:jc w:val="center"/>
    </w:pPr>
    <w:rPr>
      <w:rFonts w:ascii="Arial" w:hAnsi="Arial" w:cs="Arial"/>
      <w:sz w:val="18"/>
      <w:szCs w:val="18"/>
    </w:rPr>
  </w:style>
  <w:style w:type="character" w:styleId="FootnoteReference">
    <w:name w:val="footnote reference"/>
    <w:uiPriority w:val="99"/>
    <w:semiHidden/>
    <w:rsid w:val="003D0231"/>
    <w:rPr>
      <w:vertAlign w:val="superscript"/>
    </w:rPr>
  </w:style>
  <w:style w:type="paragraph" w:styleId="FootnoteText">
    <w:name w:val="footnote text"/>
    <w:basedOn w:val="Normal"/>
    <w:link w:val="FootnoteTextChar"/>
    <w:uiPriority w:val="99"/>
    <w:semiHidden/>
    <w:rsid w:val="003D0231"/>
    <w:pPr>
      <w:spacing w:after="120"/>
      <w:ind w:left="850" w:hanging="850"/>
    </w:pPr>
    <w:rPr>
      <w:sz w:val="20"/>
      <w:szCs w:val="20"/>
    </w:rPr>
  </w:style>
  <w:style w:type="character" w:customStyle="1" w:styleId="FootnoteTextChar">
    <w:name w:val="Footnote Text Char"/>
    <w:basedOn w:val="DefaultParagraphFont"/>
    <w:link w:val="FootnoteText"/>
    <w:uiPriority w:val="99"/>
    <w:semiHidden/>
    <w:rsid w:val="003D0231"/>
    <w:rPr>
      <w:rFonts w:ascii="Times New Roman" w:eastAsia="Times New Roman" w:hAnsi="Times New Roman" w:cs="Times New Roman"/>
      <w:sz w:val="20"/>
      <w:szCs w:val="20"/>
      <w:lang w:eastAsia="zh-CN"/>
    </w:rPr>
  </w:style>
  <w:style w:type="paragraph" w:styleId="ListBullet">
    <w:name w:val="List Bullet"/>
    <w:basedOn w:val="Normal"/>
    <w:rsid w:val="003D0231"/>
    <w:pPr>
      <w:numPr>
        <w:numId w:val="1"/>
      </w:numPr>
      <w:tabs>
        <w:tab w:val="clear" w:pos="1191"/>
        <w:tab w:val="clear" w:pos="1531"/>
      </w:tabs>
      <w:spacing w:after="240"/>
    </w:pPr>
  </w:style>
  <w:style w:type="paragraph" w:customStyle="1" w:styleId="Num-DocParagraph">
    <w:name w:val="Num-Doc Paragraph"/>
    <w:basedOn w:val="BodyText"/>
    <w:rsid w:val="003D0231"/>
    <w:pPr>
      <w:ind w:firstLine="0"/>
    </w:pPr>
  </w:style>
  <w:style w:type="paragraph" w:customStyle="1" w:styleId="RowsHeading">
    <w:name w:val="Rows Heading"/>
    <w:basedOn w:val="Normal"/>
    <w:rsid w:val="003D0231"/>
    <w:pPr>
      <w:tabs>
        <w:tab w:val="clear" w:pos="850"/>
        <w:tab w:val="clear" w:pos="1191"/>
        <w:tab w:val="clear" w:pos="1531"/>
      </w:tabs>
      <w:jc w:val="left"/>
    </w:pPr>
    <w:rPr>
      <w:rFonts w:ascii="Arial" w:hAnsi="Arial" w:cs="Arial"/>
      <w:sz w:val="18"/>
      <w:szCs w:val="18"/>
    </w:rPr>
  </w:style>
  <w:style w:type="paragraph" w:customStyle="1" w:styleId="TableTitle">
    <w:name w:val="Table Title"/>
    <w:basedOn w:val="Normal"/>
    <w:rsid w:val="003D0231"/>
    <w:pPr>
      <w:keepNext/>
      <w:spacing w:after="240"/>
      <w:jc w:val="center"/>
    </w:pPr>
    <w:rPr>
      <w:rFonts w:ascii="Arial" w:hAnsi="Arial" w:cs="Arial"/>
      <w:b/>
      <w:bCs/>
      <w:sz w:val="18"/>
    </w:rPr>
  </w:style>
  <w:style w:type="paragraph" w:styleId="Footer">
    <w:name w:val="footer"/>
    <w:basedOn w:val="Normal"/>
    <w:link w:val="FooterChar"/>
    <w:uiPriority w:val="99"/>
    <w:rsid w:val="003D0231"/>
    <w:pPr>
      <w:tabs>
        <w:tab w:val="clear" w:pos="850"/>
        <w:tab w:val="clear" w:pos="1191"/>
        <w:tab w:val="clear" w:pos="1531"/>
        <w:tab w:val="center" w:pos="4536"/>
        <w:tab w:val="right" w:pos="9072"/>
      </w:tabs>
    </w:pPr>
  </w:style>
  <w:style w:type="character" w:customStyle="1" w:styleId="FooterChar">
    <w:name w:val="Footer Char"/>
    <w:basedOn w:val="DefaultParagraphFont"/>
    <w:link w:val="Footer"/>
    <w:uiPriority w:val="99"/>
    <w:rsid w:val="003D0231"/>
    <w:rPr>
      <w:rFonts w:ascii="Times New Roman" w:eastAsia="Times New Roman" w:hAnsi="Times New Roman" w:cs="Times New Roman"/>
      <w:lang w:eastAsia="zh-CN"/>
    </w:rPr>
  </w:style>
  <w:style w:type="character" w:styleId="PageNumber">
    <w:name w:val="page number"/>
    <w:basedOn w:val="DefaultParagraphFont"/>
    <w:uiPriority w:val="99"/>
    <w:semiHidden/>
    <w:unhideWhenUsed/>
    <w:rsid w:val="003D0231"/>
  </w:style>
  <w:style w:type="table" w:styleId="TableGrid">
    <w:name w:val="Table Grid"/>
    <w:basedOn w:val="TableNormal"/>
    <w:uiPriority w:val="59"/>
    <w:rsid w:val="003D0231"/>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3D0231"/>
    <w:rPr>
      <w:color w:val="0000FF"/>
      <w:u w:val="single"/>
    </w:rPr>
  </w:style>
  <w:style w:type="paragraph" w:styleId="ListParagraph">
    <w:name w:val="List Paragraph"/>
    <w:basedOn w:val="Normal"/>
    <w:uiPriority w:val="34"/>
    <w:qFormat/>
    <w:rsid w:val="00D32BC9"/>
    <w:pPr>
      <w:ind w:left="720"/>
      <w:contextualSpacing/>
    </w:pPr>
  </w:style>
  <w:style w:type="paragraph" w:styleId="TOCHeading">
    <w:name w:val="TOC Heading"/>
    <w:basedOn w:val="Heading1"/>
    <w:next w:val="Normal"/>
    <w:uiPriority w:val="39"/>
    <w:semiHidden/>
    <w:unhideWhenUsed/>
    <w:qFormat/>
    <w:rsid w:val="008137D0"/>
    <w:pPr>
      <w:keepLines/>
      <w:tabs>
        <w:tab w:val="clear" w:pos="850"/>
        <w:tab w:val="clear" w:pos="1191"/>
        <w:tab w:val="clear" w:pos="1531"/>
      </w:tabs>
      <w:spacing w:before="480" w:after="0" w:line="276" w:lineRule="auto"/>
      <w:jc w:val="left"/>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1">
    <w:name w:val="toc 1"/>
    <w:basedOn w:val="Normal"/>
    <w:next w:val="Normal"/>
    <w:autoRedefine/>
    <w:uiPriority w:val="39"/>
    <w:unhideWhenUsed/>
    <w:rsid w:val="00161F04"/>
    <w:pPr>
      <w:tabs>
        <w:tab w:val="clear" w:pos="850"/>
        <w:tab w:val="clear" w:pos="1191"/>
        <w:tab w:val="clear" w:pos="1531"/>
        <w:tab w:val="right" w:leader="dot" w:pos="9458"/>
      </w:tabs>
      <w:spacing w:after="100"/>
      <w:jc w:val="center"/>
    </w:pPr>
    <w:rPr>
      <w:b/>
    </w:rPr>
  </w:style>
  <w:style w:type="paragraph" w:styleId="TOC2">
    <w:name w:val="toc 2"/>
    <w:basedOn w:val="Normal"/>
    <w:next w:val="Normal"/>
    <w:autoRedefine/>
    <w:uiPriority w:val="39"/>
    <w:unhideWhenUsed/>
    <w:rsid w:val="008137D0"/>
    <w:pPr>
      <w:tabs>
        <w:tab w:val="clear" w:pos="850"/>
        <w:tab w:val="clear" w:pos="1191"/>
        <w:tab w:val="clear" w:pos="1531"/>
      </w:tabs>
      <w:spacing w:after="100"/>
      <w:ind w:left="220"/>
    </w:pPr>
  </w:style>
  <w:style w:type="paragraph" w:styleId="TOC3">
    <w:name w:val="toc 3"/>
    <w:basedOn w:val="Normal"/>
    <w:next w:val="Normal"/>
    <w:autoRedefine/>
    <w:uiPriority w:val="39"/>
    <w:unhideWhenUsed/>
    <w:rsid w:val="008137D0"/>
    <w:pPr>
      <w:tabs>
        <w:tab w:val="clear" w:pos="850"/>
        <w:tab w:val="clear" w:pos="1191"/>
        <w:tab w:val="clear" w:pos="1531"/>
      </w:tabs>
      <w:spacing w:after="100"/>
      <w:ind w:left="440"/>
    </w:pPr>
  </w:style>
  <w:style w:type="paragraph" w:styleId="BalloonText">
    <w:name w:val="Balloon Text"/>
    <w:basedOn w:val="Normal"/>
    <w:link w:val="BalloonTextChar"/>
    <w:uiPriority w:val="99"/>
    <w:semiHidden/>
    <w:unhideWhenUsed/>
    <w:rsid w:val="008137D0"/>
    <w:rPr>
      <w:rFonts w:ascii="Tahoma" w:hAnsi="Tahoma" w:cs="Tahoma"/>
      <w:sz w:val="16"/>
      <w:szCs w:val="16"/>
    </w:rPr>
  </w:style>
  <w:style w:type="character" w:customStyle="1" w:styleId="BalloonTextChar">
    <w:name w:val="Balloon Text Char"/>
    <w:basedOn w:val="DefaultParagraphFont"/>
    <w:link w:val="BalloonText"/>
    <w:uiPriority w:val="99"/>
    <w:semiHidden/>
    <w:rsid w:val="008137D0"/>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AC230-04BB-4CD9-8F33-7523D0F58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2608F9C5.dotm</Template>
  <TotalTime>0</TotalTime>
  <Pages>12</Pages>
  <Words>3158</Words>
  <Characters>17910</Characters>
  <Application>Microsoft Office Word</Application>
  <DocSecurity>4</DocSecurity>
  <Lines>1194</Lines>
  <Paragraphs>231</Paragraphs>
  <ScaleCrop>false</ScaleCrop>
  <HeadingPairs>
    <vt:vector size="2" baseType="variant">
      <vt:variant>
        <vt:lpstr>Title</vt:lpstr>
      </vt:variant>
      <vt:variant>
        <vt:i4>1</vt:i4>
      </vt:variant>
    </vt:vector>
  </HeadingPairs>
  <TitlesOfParts>
    <vt:vector size="1" baseType="lpstr">
      <vt:lpstr/>
    </vt:vector>
  </TitlesOfParts>
  <Company>OECD</Company>
  <LinksUpToDate>false</LinksUpToDate>
  <CharactersWithSpaces>20837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Korin Kane</dc:creator>
  <cp:lastModifiedBy>CHRISTIANSEN Hans</cp:lastModifiedBy>
  <cp:revision>2</cp:revision>
  <dcterms:created xsi:type="dcterms:W3CDTF">2018-08-01T13:42:00Z</dcterms:created>
  <dcterms:modified xsi:type="dcterms:W3CDTF">2018-08-01T13:42:00Z</dcterms:modified>
</cp:coreProperties>
</file>