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25E3" w:rsidRDefault="00F025E3" w:rsidP="00202F05">
      <w:pPr>
        <w:pStyle w:val="BodyTextIndent"/>
        <w:ind w:left="0" w:right="-114"/>
        <w:rPr>
          <w:sz w:val="28"/>
          <w:szCs w:val="28"/>
          <w:lang w:val="bg-BG"/>
        </w:rPr>
      </w:pPr>
      <w:r w:rsidRPr="00F01C70">
        <w:rPr>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2.75pt;height:53.25pt">
            <v:imagedata r:id="rId7" o:title=""/>
          </v:shape>
        </w:pict>
      </w:r>
    </w:p>
    <w:p w:rsidR="00F025E3" w:rsidRDefault="00F025E3" w:rsidP="003C4209">
      <w:pPr>
        <w:pStyle w:val="BodyTextIndent"/>
        <w:ind w:left="0" w:right="-114"/>
        <w:rPr>
          <w:b/>
          <w:bCs/>
          <w:sz w:val="28"/>
          <w:szCs w:val="28"/>
          <w:u w:val="single"/>
          <w:lang w:val="bg-BG"/>
        </w:rPr>
      </w:pPr>
    </w:p>
    <w:p w:rsidR="00F025E3" w:rsidRPr="00F42EB5" w:rsidRDefault="00F025E3" w:rsidP="000B7E23">
      <w:pPr>
        <w:pStyle w:val="BodyTextIndent"/>
        <w:ind w:left="0" w:right="-114"/>
        <w:jc w:val="center"/>
        <w:rPr>
          <w:b/>
          <w:bCs/>
          <w:sz w:val="44"/>
          <w:szCs w:val="44"/>
          <w:u w:val="single"/>
          <w:lang w:val="bg-BG"/>
        </w:rPr>
      </w:pPr>
    </w:p>
    <w:p w:rsidR="00F025E3" w:rsidRDefault="00F025E3" w:rsidP="00780D85">
      <w:pPr>
        <w:pStyle w:val="BodyTextIndent"/>
        <w:ind w:left="0" w:right="-114"/>
        <w:jc w:val="center"/>
        <w:rPr>
          <w:b/>
          <w:bCs/>
          <w:sz w:val="28"/>
          <w:szCs w:val="28"/>
          <w:u w:val="single"/>
          <w:lang w:val="bg-BG"/>
        </w:rPr>
      </w:pPr>
    </w:p>
    <w:p w:rsidR="00F025E3" w:rsidRPr="00A64C8D" w:rsidRDefault="00F025E3" w:rsidP="00780D85">
      <w:pPr>
        <w:pStyle w:val="BodyTextIndent"/>
        <w:ind w:left="0" w:right="-114"/>
        <w:jc w:val="center"/>
        <w:rPr>
          <w:b/>
          <w:bCs/>
          <w:sz w:val="28"/>
          <w:szCs w:val="28"/>
          <w:u w:val="single"/>
          <w:lang w:val="bg-BG"/>
        </w:rPr>
      </w:pPr>
      <w:r w:rsidRPr="00A64C8D">
        <w:rPr>
          <w:b/>
          <w:bCs/>
          <w:sz w:val="28"/>
          <w:szCs w:val="28"/>
          <w:u w:val="single"/>
          <w:lang w:val="bg-BG"/>
        </w:rPr>
        <w:t xml:space="preserve">А Н А Л И З </w:t>
      </w:r>
    </w:p>
    <w:p w:rsidR="00F025E3" w:rsidRPr="00A64C8D" w:rsidRDefault="00F025E3" w:rsidP="00780D85">
      <w:pPr>
        <w:pStyle w:val="BodyTextIndent"/>
        <w:ind w:left="0" w:right="-114"/>
        <w:jc w:val="center"/>
        <w:rPr>
          <w:b/>
          <w:bCs/>
          <w:sz w:val="28"/>
          <w:szCs w:val="28"/>
          <w:u w:val="single"/>
          <w:lang w:val="bg-BG"/>
        </w:rPr>
      </w:pPr>
    </w:p>
    <w:p w:rsidR="00F025E3" w:rsidRDefault="00F025E3" w:rsidP="00780D85">
      <w:pPr>
        <w:pStyle w:val="BodyTextIndent"/>
        <w:ind w:left="0" w:right="-114"/>
        <w:jc w:val="center"/>
        <w:rPr>
          <w:b/>
          <w:bCs/>
          <w:sz w:val="28"/>
          <w:szCs w:val="28"/>
          <w:u w:val="single"/>
          <w:lang w:val="bg-BG"/>
        </w:rPr>
      </w:pPr>
      <w:r>
        <w:rPr>
          <w:b/>
          <w:bCs/>
          <w:sz w:val="28"/>
          <w:szCs w:val="28"/>
          <w:u w:val="single"/>
          <w:lang w:val="bg-BG"/>
        </w:rPr>
        <w:t xml:space="preserve">за дейността и </w:t>
      </w:r>
      <w:r w:rsidRPr="00683719">
        <w:rPr>
          <w:b/>
          <w:bCs/>
          <w:sz w:val="28"/>
          <w:szCs w:val="28"/>
          <w:u w:val="single"/>
          <w:lang w:val="ru-RU"/>
        </w:rPr>
        <w:t>финансово</w:t>
      </w:r>
      <w:r>
        <w:rPr>
          <w:b/>
          <w:bCs/>
          <w:sz w:val="28"/>
          <w:szCs w:val="28"/>
          <w:u w:val="single"/>
          <w:lang w:val="bg-BG"/>
        </w:rPr>
        <w:t>то</w:t>
      </w:r>
      <w:r w:rsidRPr="00683719">
        <w:rPr>
          <w:b/>
          <w:bCs/>
          <w:sz w:val="28"/>
          <w:szCs w:val="28"/>
          <w:u w:val="single"/>
          <w:lang w:val="ru-RU"/>
        </w:rPr>
        <w:t xml:space="preserve"> състояние</w:t>
      </w:r>
      <w:r w:rsidRPr="00A64C8D">
        <w:rPr>
          <w:b/>
          <w:bCs/>
          <w:sz w:val="28"/>
          <w:szCs w:val="28"/>
          <w:u w:val="single"/>
          <w:lang w:val="bg-BG"/>
        </w:rPr>
        <w:t xml:space="preserve"> на „ТЕЦ Марица изток 2” ЕАД </w:t>
      </w:r>
    </w:p>
    <w:p w:rsidR="00F025E3" w:rsidRPr="00D86D10" w:rsidRDefault="00F025E3" w:rsidP="00780D85">
      <w:pPr>
        <w:pStyle w:val="BodyTextIndent"/>
        <w:ind w:left="0" w:right="-114"/>
        <w:jc w:val="center"/>
        <w:rPr>
          <w:b/>
          <w:bCs/>
          <w:sz w:val="28"/>
          <w:szCs w:val="28"/>
          <w:u w:val="single"/>
          <w:lang w:val="ru-RU"/>
        </w:rPr>
      </w:pPr>
      <w:r>
        <w:rPr>
          <w:b/>
          <w:bCs/>
          <w:sz w:val="28"/>
          <w:szCs w:val="28"/>
          <w:u w:val="single"/>
          <w:lang w:val="bg-BG"/>
        </w:rPr>
        <w:t>към 3</w:t>
      </w:r>
      <w:r>
        <w:rPr>
          <w:b/>
          <w:bCs/>
          <w:sz w:val="28"/>
          <w:szCs w:val="28"/>
          <w:u w:val="single"/>
          <w:lang w:val="en-US"/>
        </w:rPr>
        <w:t>0</w:t>
      </w:r>
      <w:r>
        <w:rPr>
          <w:b/>
          <w:bCs/>
          <w:sz w:val="28"/>
          <w:szCs w:val="28"/>
          <w:u w:val="single"/>
          <w:lang w:val="bg-BG"/>
        </w:rPr>
        <w:t>.</w:t>
      </w:r>
      <w:r>
        <w:rPr>
          <w:b/>
          <w:bCs/>
          <w:sz w:val="28"/>
          <w:szCs w:val="28"/>
          <w:u w:val="single"/>
          <w:lang w:val="en-US"/>
        </w:rPr>
        <w:t>06</w:t>
      </w:r>
      <w:r>
        <w:rPr>
          <w:b/>
          <w:bCs/>
          <w:sz w:val="28"/>
          <w:szCs w:val="28"/>
          <w:u w:val="single"/>
          <w:lang w:val="bg-BG"/>
        </w:rPr>
        <w:t>.</w:t>
      </w:r>
      <w:r w:rsidRPr="00A64C8D">
        <w:rPr>
          <w:b/>
          <w:bCs/>
          <w:sz w:val="28"/>
          <w:szCs w:val="28"/>
          <w:u w:val="single"/>
          <w:lang w:val="bg-BG"/>
        </w:rPr>
        <w:t>201</w:t>
      </w:r>
      <w:r>
        <w:rPr>
          <w:b/>
          <w:bCs/>
          <w:sz w:val="28"/>
          <w:szCs w:val="28"/>
          <w:u w:val="single"/>
          <w:lang w:val="ru-RU"/>
        </w:rPr>
        <w:t xml:space="preserve">6 </w:t>
      </w:r>
      <w:r>
        <w:rPr>
          <w:b/>
          <w:bCs/>
          <w:sz w:val="28"/>
          <w:szCs w:val="28"/>
          <w:u w:val="single"/>
          <w:lang w:val="bg-BG"/>
        </w:rPr>
        <w:t xml:space="preserve">г.  </w:t>
      </w:r>
    </w:p>
    <w:p w:rsidR="00F025E3" w:rsidRPr="0031036F" w:rsidRDefault="00F025E3" w:rsidP="00780D85">
      <w:pPr>
        <w:pStyle w:val="BodyTextIndent"/>
        <w:ind w:left="0" w:right="-114"/>
        <w:jc w:val="center"/>
        <w:rPr>
          <w:sz w:val="29"/>
          <w:szCs w:val="29"/>
          <w:lang w:val="ru-RU"/>
        </w:rPr>
      </w:pPr>
    </w:p>
    <w:p w:rsidR="00F025E3" w:rsidRDefault="00F025E3" w:rsidP="00780D85">
      <w:pPr>
        <w:ind w:firstLine="720"/>
        <w:jc w:val="both"/>
        <w:rPr>
          <w:sz w:val="28"/>
          <w:szCs w:val="28"/>
          <w:lang w:val="ru-RU"/>
        </w:rPr>
      </w:pPr>
    </w:p>
    <w:p w:rsidR="00F025E3" w:rsidRPr="00A64C8D" w:rsidRDefault="00F025E3" w:rsidP="00780D85">
      <w:pPr>
        <w:ind w:firstLine="720"/>
        <w:jc w:val="both"/>
        <w:rPr>
          <w:b/>
          <w:bCs/>
          <w:sz w:val="24"/>
          <w:szCs w:val="24"/>
          <w:u w:val="single"/>
          <w:lang w:val="bg-BG"/>
        </w:rPr>
      </w:pPr>
      <w:r>
        <w:rPr>
          <w:b/>
          <w:bCs/>
          <w:sz w:val="24"/>
          <w:szCs w:val="24"/>
          <w:u w:val="single"/>
          <w:lang w:val="ru-RU"/>
        </w:rPr>
        <w:t>1. Приходи, разходи и финансов резултат</w:t>
      </w:r>
    </w:p>
    <w:p w:rsidR="00F025E3" w:rsidRDefault="00F025E3" w:rsidP="00780D85">
      <w:pPr>
        <w:ind w:firstLine="720"/>
        <w:jc w:val="both"/>
        <w:rPr>
          <w:sz w:val="24"/>
          <w:szCs w:val="24"/>
          <w:lang w:val="ru-RU"/>
        </w:rPr>
      </w:pPr>
    </w:p>
    <w:p w:rsidR="00F025E3" w:rsidRPr="00BA44B5" w:rsidRDefault="00F025E3" w:rsidP="00780D85">
      <w:pPr>
        <w:ind w:firstLine="720"/>
        <w:jc w:val="both"/>
        <w:rPr>
          <w:b/>
          <w:bCs/>
          <w:sz w:val="24"/>
          <w:szCs w:val="24"/>
          <w:lang w:val="bg-BG"/>
        </w:rPr>
      </w:pPr>
      <w:r w:rsidRPr="00EE7241">
        <w:rPr>
          <w:b/>
          <w:bCs/>
          <w:sz w:val="24"/>
          <w:szCs w:val="24"/>
          <w:lang w:val="ru-RU"/>
        </w:rPr>
        <w:t>Презизминал</w:t>
      </w:r>
      <w:r w:rsidRPr="00EE7241">
        <w:rPr>
          <w:b/>
          <w:bCs/>
          <w:sz w:val="24"/>
          <w:szCs w:val="24"/>
          <w:lang w:val="bg-BG"/>
        </w:rPr>
        <w:t>о</w:t>
      </w:r>
      <w:r w:rsidRPr="00EE7241">
        <w:rPr>
          <w:b/>
          <w:bCs/>
          <w:sz w:val="24"/>
          <w:szCs w:val="24"/>
          <w:lang w:val="ru-RU"/>
        </w:rPr>
        <w:t xml:space="preserve">то първо </w:t>
      </w:r>
      <w:r w:rsidRPr="00EE7241">
        <w:rPr>
          <w:b/>
          <w:bCs/>
          <w:sz w:val="24"/>
          <w:szCs w:val="24"/>
          <w:lang w:val="bg-BG"/>
        </w:rPr>
        <w:t>шестме</w:t>
      </w:r>
      <w:r w:rsidRPr="00EE7241">
        <w:rPr>
          <w:b/>
          <w:bCs/>
          <w:sz w:val="24"/>
          <w:szCs w:val="24"/>
          <w:lang w:val="ru-RU"/>
        </w:rPr>
        <w:t xml:space="preserve">сечие на 2016 г. общия </w:t>
      </w:r>
      <w:r w:rsidRPr="00EE7241">
        <w:rPr>
          <w:b/>
          <w:bCs/>
          <w:sz w:val="24"/>
          <w:szCs w:val="24"/>
          <w:lang w:val="bg-BG"/>
        </w:rPr>
        <w:t>размер</w:t>
      </w:r>
      <w:r w:rsidRPr="00EE7241">
        <w:rPr>
          <w:b/>
          <w:bCs/>
          <w:sz w:val="24"/>
          <w:szCs w:val="24"/>
          <w:lang w:val="ru-RU"/>
        </w:rPr>
        <w:t xml:space="preserve"> на реализираните от </w:t>
      </w:r>
      <w:r w:rsidRPr="00EE7241">
        <w:rPr>
          <w:b/>
          <w:bCs/>
          <w:sz w:val="24"/>
          <w:szCs w:val="24"/>
          <w:lang w:val="bg-BG"/>
        </w:rPr>
        <w:t>„ТЕЦ Марица изток 2” ЕАД</w:t>
      </w:r>
      <w:r w:rsidRPr="00EE7241">
        <w:rPr>
          <w:b/>
          <w:bCs/>
          <w:sz w:val="24"/>
          <w:szCs w:val="24"/>
          <w:lang w:val="ru-RU"/>
        </w:rPr>
        <w:t xml:space="preserve"> приходи от оперативна дейност </w:t>
      </w:r>
      <w:r w:rsidRPr="00EE7241">
        <w:rPr>
          <w:b/>
          <w:bCs/>
          <w:sz w:val="24"/>
          <w:szCs w:val="24"/>
          <w:lang w:val="bg-BG"/>
        </w:rPr>
        <w:t>възлиза на275559хил.лв</w:t>
      </w:r>
      <w:r w:rsidRPr="00EE7241">
        <w:rPr>
          <w:b/>
          <w:bCs/>
          <w:sz w:val="24"/>
          <w:szCs w:val="24"/>
          <w:lang w:val="ru-RU"/>
        </w:rPr>
        <w:t>.</w:t>
      </w:r>
      <w:r w:rsidRPr="00EE7241">
        <w:rPr>
          <w:b/>
          <w:bCs/>
          <w:sz w:val="24"/>
          <w:szCs w:val="24"/>
          <w:lang w:val="bg-BG"/>
        </w:rPr>
        <w:t>, при отчетени през същия период на предходната 2015 г. – 299</w:t>
      </w:r>
      <w:r w:rsidRPr="00EE7241">
        <w:rPr>
          <w:b/>
          <w:bCs/>
          <w:sz w:val="24"/>
          <w:szCs w:val="24"/>
          <w:lang w:val="ru-RU"/>
        </w:rPr>
        <w:t xml:space="preserve">101 </w:t>
      </w:r>
      <w:r w:rsidRPr="00EE7241">
        <w:rPr>
          <w:b/>
          <w:bCs/>
          <w:sz w:val="24"/>
          <w:szCs w:val="24"/>
          <w:lang w:val="bg-BG"/>
        </w:rPr>
        <w:t>хил.лв. Намалението на общата приходна част е с 23</w:t>
      </w:r>
      <w:r w:rsidRPr="00EE7241">
        <w:rPr>
          <w:b/>
          <w:bCs/>
          <w:sz w:val="24"/>
          <w:szCs w:val="24"/>
          <w:lang w:val="ru-RU"/>
        </w:rPr>
        <w:t>542</w:t>
      </w:r>
      <w:r w:rsidRPr="00EE7241">
        <w:rPr>
          <w:b/>
          <w:bCs/>
          <w:sz w:val="24"/>
          <w:szCs w:val="24"/>
          <w:lang w:val="bg-BG"/>
        </w:rPr>
        <w:t xml:space="preserve"> хил.лв. или 7,87%.</w:t>
      </w:r>
    </w:p>
    <w:p w:rsidR="00F025E3" w:rsidRPr="00EE7241" w:rsidRDefault="00F025E3" w:rsidP="00751B4C">
      <w:pPr>
        <w:ind w:firstLine="720"/>
        <w:jc w:val="both"/>
        <w:rPr>
          <w:sz w:val="24"/>
          <w:szCs w:val="24"/>
          <w:lang w:val="ru-RU"/>
        </w:rPr>
      </w:pPr>
      <w:r w:rsidRPr="00EE7241">
        <w:rPr>
          <w:sz w:val="24"/>
          <w:szCs w:val="24"/>
          <w:lang w:val="ru-RU"/>
        </w:rPr>
        <w:t>Основните</w:t>
      </w:r>
      <w:r w:rsidRPr="00EE7241">
        <w:rPr>
          <w:sz w:val="24"/>
          <w:szCs w:val="24"/>
          <w:lang w:val="bg-BG"/>
        </w:rPr>
        <w:t xml:space="preserve"> си</w:t>
      </w:r>
      <w:r w:rsidRPr="00EE7241">
        <w:rPr>
          <w:sz w:val="24"/>
          <w:szCs w:val="24"/>
          <w:lang w:val="ru-RU"/>
        </w:rPr>
        <w:t xml:space="preserve"> приходи </w:t>
      </w:r>
      <w:r w:rsidRPr="00EE7241">
        <w:rPr>
          <w:b/>
          <w:bCs/>
          <w:sz w:val="24"/>
          <w:szCs w:val="24"/>
          <w:lang w:val="bg-BG"/>
        </w:rPr>
        <w:t>(271 721хил.лв</w:t>
      </w:r>
      <w:r w:rsidRPr="00EE7241">
        <w:rPr>
          <w:sz w:val="24"/>
          <w:szCs w:val="24"/>
          <w:lang w:val="bg-BG"/>
        </w:rPr>
        <w:t>) дружеството е</w:t>
      </w:r>
      <w:r>
        <w:rPr>
          <w:sz w:val="24"/>
          <w:szCs w:val="24"/>
          <w:lang w:val="en-US"/>
        </w:rPr>
        <w:t xml:space="preserve"> </w:t>
      </w:r>
      <w:r w:rsidRPr="00EE7241">
        <w:rPr>
          <w:sz w:val="24"/>
          <w:szCs w:val="24"/>
          <w:lang w:val="bg-BG"/>
        </w:rPr>
        <w:t>реализирало</w:t>
      </w:r>
      <w:r w:rsidRPr="00EE7241">
        <w:rPr>
          <w:sz w:val="24"/>
          <w:szCs w:val="24"/>
          <w:lang w:val="ru-RU"/>
        </w:rPr>
        <w:t xml:space="preserve"> от </w:t>
      </w:r>
      <w:r w:rsidRPr="00EE7241">
        <w:rPr>
          <w:sz w:val="24"/>
          <w:szCs w:val="24"/>
          <w:lang w:val="bg-BG"/>
        </w:rPr>
        <w:t>продажби на електрическа енергия на свободния пазар,</w:t>
      </w:r>
      <w:r>
        <w:rPr>
          <w:sz w:val="24"/>
          <w:szCs w:val="24"/>
          <w:lang w:val="en-US"/>
        </w:rPr>
        <w:t xml:space="preserve"> </w:t>
      </w:r>
      <w:r w:rsidRPr="00EE7241">
        <w:rPr>
          <w:sz w:val="24"/>
          <w:szCs w:val="24"/>
          <w:lang w:val="bg-BG"/>
        </w:rPr>
        <w:t>както и</w:t>
      </w:r>
      <w:r w:rsidRPr="00EE7241">
        <w:rPr>
          <w:sz w:val="24"/>
          <w:szCs w:val="24"/>
          <w:lang w:val="ru-RU"/>
        </w:rPr>
        <w:t xml:space="preserve"> продажба на електрическа енергия и разполагаема мощност НЕК ЕАД – обществен доставчик, балансираща енергия при излишък ЕСО ЕАД и участие при регулиране  нагоре ЕСО ЕАД, студен резерв на ЕСО ЕАД, </w:t>
      </w:r>
      <w:r w:rsidRPr="00EE7241">
        <w:rPr>
          <w:sz w:val="24"/>
          <w:szCs w:val="24"/>
          <w:lang w:val="bg-BG"/>
        </w:rPr>
        <w:t xml:space="preserve">разполагаема мощност за </w:t>
      </w:r>
      <w:r w:rsidRPr="00EE7241">
        <w:rPr>
          <w:sz w:val="24"/>
          <w:szCs w:val="24"/>
          <w:lang w:val="ru-RU"/>
        </w:rPr>
        <w:t xml:space="preserve">допълнителни услуги ПР и ВР  на ЕСО ЕАД. </w:t>
      </w:r>
    </w:p>
    <w:p w:rsidR="00F025E3" w:rsidRDefault="00F025E3" w:rsidP="00780D85">
      <w:pPr>
        <w:ind w:firstLine="720"/>
        <w:jc w:val="both"/>
        <w:rPr>
          <w:b/>
          <w:bCs/>
          <w:sz w:val="24"/>
          <w:szCs w:val="24"/>
          <w:lang w:val="bg-BG"/>
        </w:rPr>
      </w:pPr>
    </w:p>
    <w:p w:rsidR="00F025E3" w:rsidRPr="00D86D10" w:rsidRDefault="00F025E3" w:rsidP="00BD4909">
      <w:pPr>
        <w:ind w:right="44"/>
        <w:jc w:val="center"/>
        <w:rPr>
          <w:b/>
          <w:bCs/>
          <w:i/>
          <w:iCs/>
          <w:sz w:val="24"/>
          <w:szCs w:val="24"/>
          <w:lang w:val="ru-RU"/>
        </w:rPr>
      </w:pPr>
      <w:r w:rsidRPr="00A64C8D">
        <w:rPr>
          <w:b/>
          <w:bCs/>
          <w:i/>
          <w:iCs/>
          <w:sz w:val="24"/>
          <w:szCs w:val="24"/>
          <w:lang w:val="bg-BG"/>
        </w:rPr>
        <w:t xml:space="preserve">Справка за приходите от продажби </w:t>
      </w:r>
      <w:r>
        <w:rPr>
          <w:b/>
          <w:bCs/>
          <w:i/>
          <w:iCs/>
          <w:sz w:val="24"/>
          <w:szCs w:val="24"/>
          <w:lang w:val="bg-BG"/>
        </w:rPr>
        <w:t>към 30.06.2016 г. и 30.06.2015 г.</w:t>
      </w:r>
    </w:p>
    <w:p w:rsidR="00F025E3" w:rsidRPr="00D86D10" w:rsidRDefault="00F025E3" w:rsidP="00BD4909">
      <w:pPr>
        <w:ind w:right="44"/>
        <w:jc w:val="center"/>
        <w:rPr>
          <w:sz w:val="28"/>
          <w:szCs w:val="28"/>
          <w:lang w:val="ru-RU"/>
        </w:rPr>
      </w:pPr>
    </w:p>
    <w:tbl>
      <w:tblPr>
        <w:tblW w:w="0" w:type="auto"/>
        <w:tblInd w:w="-68" w:type="dxa"/>
        <w:tblLayout w:type="fixed"/>
        <w:tblCellMar>
          <w:left w:w="70" w:type="dxa"/>
          <w:right w:w="70" w:type="dxa"/>
        </w:tblCellMar>
        <w:tblLook w:val="0000"/>
      </w:tblPr>
      <w:tblGrid>
        <w:gridCol w:w="4740"/>
        <w:gridCol w:w="2467"/>
        <w:gridCol w:w="2527"/>
      </w:tblGrid>
      <w:tr w:rsidR="00F025E3" w:rsidRPr="00A64C8D">
        <w:trPr>
          <w:trHeight w:val="346"/>
        </w:trPr>
        <w:tc>
          <w:tcPr>
            <w:tcW w:w="4740" w:type="dxa"/>
            <w:tcBorders>
              <w:top w:val="single" w:sz="4" w:space="0" w:color="auto"/>
              <w:left w:val="single" w:sz="4" w:space="0" w:color="auto"/>
              <w:bottom w:val="single" w:sz="4" w:space="0" w:color="auto"/>
              <w:right w:val="single" w:sz="4" w:space="0" w:color="auto"/>
            </w:tcBorders>
            <w:shd w:val="clear" w:color="auto" w:fill="A6A6A6"/>
          </w:tcPr>
          <w:p w:rsidR="00F025E3" w:rsidRPr="00A64C8D" w:rsidRDefault="00F025E3" w:rsidP="004B10F9">
            <w:pPr>
              <w:widowControl w:val="0"/>
              <w:jc w:val="center"/>
              <w:rPr>
                <w:b/>
                <w:bCs/>
                <w:sz w:val="24"/>
                <w:szCs w:val="24"/>
                <w:lang w:val="ru-RU"/>
              </w:rPr>
            </w:pPr>
            <w:r w:rsidRPr="00A64C8D">
              <w:rPr>
                <w:b/>
                <w:bCs/>
                <w:sz w:val="24"/>
                <w:szCs w:val="24"/>
                <w:lang w:val="ru-RU"/>
              </w:rPr>
              <w:t>Приходи от продажба на продукция</w:t>
            </w:r>
          </w:p>
        </w:tc>
        <w:tc>
          <w:tcPr>
            <w:tcW w:w="2467" w:type="dxa"/>
            <w:tcBorders>
              <w:top w:val="single" w:sz="4" w:space="0" w:color="auto"/>
              <w:left w:val="nil"/>
              <w:bottom w:val="single" w:sz="4" w:space="0" w:color="auto"/>
              <w:right w:val="single" w:sz="4" w:space="0" w:color="auto"/>
            </w:tcBorders>
            <w:shd w:val="clear" w:color="auto" w:fill="A6A6A6"/>
            <w:vAlign w:val="bottom"/>
          </w:tcPr>
          <w:p w:rsidR="00F025E3" w:rsidRDefault="00F025E3" w:rsidP="004B10F9">
            <w:pPr>
              <w:widowControl w:val="0"/>
              <w:jc w:val="center"/>
              <w:rPr>
                <w:b/>
                <w:bCs/>
                <w:sz w:val="24"/>
                <w:szCs w:val="24"/>
                <w:lang w:val="bg-BG"/>
              </w:rPr>
            </w:pPr>
          </w:p>
          <w:p w:rsidR="00F025E3" w:rsidRPr="00A64C8D" w:rsidRDefault="00F025E3" w:rsidP="004B10F9">
            <w:pPr>
              <w:widowControl w:val="0"/>
              <w:jc w:val="center"/>
              <w:rPr>
                <w:b/>
                <w:bCs/>
                <w:sz w:val="24"/>
                <w:szCs w:val="24"/>
                <w:lang w:val="ru-RU"/>
              </w:rPr>
            </w:pPr>
            <w:r>
              <w:rPr>
                <w:b/>
                <w:bCs/>
                <w:sz w:val="24"/>
                <w:szCs w:val="24"/>
                <w:lang w:val="bg-BG"/>
              </w:rPr>
              <w:t>30</w:t>
            </w:r>
            <w:r w:rsidRPr="00A64C8D">
              <w:rPr>
                <w:b/>
                <w:bCs/>
                <w:sz w:val="24"/>
                <w:szCs w:val="24"/>
                <w:lang w:val="bg-BG"/>
              </w:rPr>
              <w:t>.</w:t>
            </w:r>
            <w:r>
              <w:rPr>
                <w:b/>
                <w:bCs/>
                <w:sz w:val="24"/>
                <w:szCs w:val="24"/>
                <w:lang w:val="bg-BG"/>
              </w:rPr>
              <w:t>06</w:t>
            </w:r>
            <w:r w:rsidRPr="00A64C8D">
              <w:rPr>
                <w:b/>
                <w:bCs/>
                <w:sz w:val="24"/>
                <w:szCs w:val="24"/>
                <w:lang w:val="ru-RU"/>
              </w:rPr>
              <w:t>.201</w:t>
            </w:r>
            <w:r>
              <w:rPr>
                <w:b/>
                <w:bCs/>
                <w:sz w:val="24"/>
                <w:szCs w:val="24"/>
                <w:lang w:val="ru-RU"/>
              </w:rPr>
              <w:t>6</w:t>
            </w:r>
          </w:p>
          <w:p w:rsidR="00F025E3" w:rsidRPr="00A64C8D" w:rsidRDefault="00F025E3" w:rsidP="004B10F9">
            <w:pPr>
              <w:widowControl w:val="0"/>
              <w:jc w:val="center"/>
              <w:rPr>
                <w:b/>
                <w:bCs/>
                <w:sz w:val="24"/>
                <w:szCs w:val="24"/>
                <w:lang w:val="ru-RU"/>
              </w:rPr>
            </w:pPr>
            <w:r w:rsidRPr="00A64C8D">
              <w:rPr>
                <w:b/>
                <w:bCs/>
                <w:sz w:val="24"/>
                <w:szCs w:val="24"/>
                <w:lang w:val="ru-RU"/>
              </w:rPr>
              <w:t xml:space="preserve">(в </w:t>
            </w:r>
            <w:r>
              <w:rPr>
                <w:b/>
                <w:bCs/>
                <w:sz w:val="24"/>
                <w:szCs w:val="24"/>
                <w:lang w:val="bg-BG"/>
              </w:rPr>
              <w:t>хил</w:t>
            </w:r>
            <w:r w:rsidRPr="00A64C8D">
              <w:rPr>
                <w:b/>
                <w:bCs/>
                <w:sz w:val="24"/>
                <w:szCs w:val="24"/>
                <w:lang w:val="ru-RU"/>
              </w:rPr>
              <w:t>.лв)</w:t>
            </w:r>
          </w:p>
        </w:tc>
        <w:tc>
          <w:tcPr>
            <w:tcW w:w="2527" w:type="dxa"/>
            <w:tcBorders>
              <w:top w:val="single" w:sz="4" w:space="0" w:color="auto"/>
              <w:left w:val="nil"/>
              <w:bottom w:val="single" w:sz="4" w:space="0" w:color="auto"/>
              <w:right w:val="single" w:sz="4" w:space="0" w:color="auto"/>
            </w:tcBorders>
            <w:shd w:val="clear" w:color="auto" w:fill="A6A6A6"/>
            <w:vAlign w:val="bottom"/>
          </w:tcPr>
          <w:p w:rsidR="00F025E3" w:rsidRPr="00A64C8D" w:rsidRDefault="00F025E3" w:rsidP="004B10F9">
            <w:pPr>
              <w:widowControl w:val="0"/>
              <w:jc w:val="center"/>
              <w:rPr>
                <w:b/>
                <w:bCs/>
                <w:sz w:val="24"/>
                <w:szCs w:val="24"/>
                <w:lang w:val="ru-RU"/>
              </w:rPr>
            </w:pPr>
            <w:r w:rsidRPr="00A64C8D">
              <w:rPr>
                <w:b/>
                <w:bCs/>
                <w:sz w:val="24"/>
                <w:szCs w:val="24"/>
                <w:lang w:val="ru-RU"/>
              </w:rPr>
              <w:t>3</w:t>
            </w:r>
            <w:r>
              <w:rPr>
                <w:b/>
                <w:bCs/>
                <w:sz w:val="24"/>
                <w:szCs w:val="24"/>
                <w:lang w:val="ru-RU"/>
              </w:rPr>
              <w:t>0</w:t>
            </w:r>
            <w:r w:rsidRPr="00A64C8D">
              <w:rPr>
                <w:b/>
                <w:bCs/>
                <w:sz w:val="24"/>
                <w:szCs w:val="24"/>
                <w:lang w:val="ru-RU"/>
              </w:rPr>
              <w:t>.</w:t>
            </w:r>
            <w:r>
              <w:rPr>
                <w:b/>
                <w:bCs/>
                <w:sz w:val="24"/>
                <w:szCs w:val="24"/>
                <w:lang w:val="ru-RU"/>
              </w:rPr>
              <w:t>06</w:t>
            </w:r>
            <w:r w:rsidRPr="00A64C8D">
              <w:rPr>
                <w:b/>
                <w:bCs/>
                <w:sz w:val="24"/>
                <w:szCs w:val="24"/>
                <w:lang w:val="ru-RU"/>
              </w:rPr>
              <w:t>.201</w:t>
            </w:r>
            <w:r>
              <w:rPr>
                <w:b/>
                <w:bCs/>
                <w:sz w:val="24"/>
                <w:szCs w:val="24"/>
                <w:lang w:val="ru-RU"/>
              </w:rPr>
              <w:t>5</w:t>
            </w:r>
          </w:p>
          <w:p w:rsidR="00F025E3" w:rsidRPr="00A64C8D" w:rsidRDefault="00F025E3" w:rsidP="004B10F9">
            <w:pPr>
              <w:widowControl w:val="0"/>
              <w:jc w:val="center"/>
              <w:rPr>
                <w:b/>
                <w:bCs/>
                <w:sz w:val="24"/>
                <w:szCs w:val="24"/>
                <w:lang w:val="ru-RU"/>
              </w:rPr>
            </w:pPr>
            <w:r w:rsidRPr="00A64C8D">
              <w:rPr>
                <w:b/>
                <w:bCs/>
                <w:sz w:val="24"/>
                <w:szCs w:val="24"/>
                <w:lang w:val="ru-RU"/>
              </w:rPr>
              <w:t xml:space="preserve"> (в </w:t>
            </w:r>
            <w:r>
              <w:rPr>
                <w:b/>
                <w:bCs/>
                <w:sz w:val="24"/>
                <w:szCs w:val="24"/>
                <w:lang w:val="bg-BG"/>
              </w:rPr>
              <w:t>хил</w:t>
            </w:r>
            <w:r w:rsidRPr="00A64C8D">
              <w:rPr>
                <w:b/>
                <w:bCs/>
                <w:sz w:val="24"/>
                <w:szCs w:val="24"/>
                <w:lang w:val="ru-RU"/>
              </w:rPr>
              <w:t>.лв.)</w:t>
            </w:r>
          </w:p>
        </w:tc>
      </w:tr>
      <w:tr w:rsidR="00F025E3" w:rsidRPr="00A64C8D">
        <w:trPr>
          <w:trHeight w:val="315"/>
        </w:trPr>
        <w:tc>
          <w:tcPr>
            <w:tcW w:w="4740" w:type="dxa"/>
            <w:tcBorders>
              <w:top w:val="nil"/>
              <w:left w:val="single" w:sz="4" w:space="0" w:color="auto"/>
              <w:bottom w:val="single" w:sz="4" w:space="0" w:color="auto"/>
              <w:right w:val="single" w:sz="4" w:space="0" w:color="auto"/>
            </w:tcBorders>
          </w:tcPr>
          <w:p w:rsidR="00F025E3" w:rsidRDefault="00F025E3" w:rsidP="004B10F9">
            <w:pPr>
              <w:widowControl w:val="0"/>
              <w:rPr>
                <w:i/>
                <w:iCs/>
                <w:sz w:val="24"/>
                <w:szCs w:val="24"/>
                <w:lang w:val="ru-RU"/>
              </w:rPr>
            </w:pPr>
            <w:r w:rsidRPr="006C54B3">
              <w:rPr>
                <w:i/>
                <w:iCs/>
                <w:sz w:val="24"/>
                <w:szCs w:val="24"/>
                <w:lang w:val="ru-RU"/>
              </w:rPr>
              <w:t xml:space="preserve">Приходи от активна ел.енергия и </w:t>
            </w:r>
          </w:p>
          <w:p w:rsidR="00F025E3" w:rsidRPr="006C54B3" w:rsidRDefault="00F025E3" w:rsidP="004B10F9">
            <w:pPr>
              <w:widowControl w:val="0"/>
              <w:rPr>
                <w:i/>
                <w:iCs/>
                <w:sz w:val="24"/>
                <w:szCs w:val="24"/>
                <w:lang w:val="ru-RU"/>
              </w:rPr>
            </w:pPr>
            <w:r w:rsidRPr="00205ADE">
              <w:rPr>
                <w:i/>
                <w:iCs/>
                <w:sz w:val="24"/>
                <w:szCs w:val="24"/>
                <w:lang w:val="bg-BG"/>
              </w:rPr>
              <w:t>разпо</w:t>
            </w:r>
            <w:r>
              <w:rPr>
                <w:i/>
                <w:iCs/>
                <w:sz w:val="24"/>
                <w:szCs w:val="24"/>
                <w:lang w:val="en-US"/>
              </w:rPr>
              <w:t>л</w:t>
            </w:r>
            <w:r w:rsidRPr="006C54B3">
              <w:rPr>
                <w:i/>
                <w:iCs/>
                <w:sz w:val="24"/>
                <w:szCs w:val="24"/>
                <w:lang w:val="ru-RU"/>
              </w:rPr>
              <w:t>а</w:t>
            </w:r>
            <w:r>
              <w:rPr>
                <w:i/>
                <w:iCs/>
                <w:sz w:val="24"/>
                <w:szCs w:val="24"/>
                <w:lang w:val="ru-RU"/>
              </w:rPr>
              <w:t>га</w:t>
            </w:r>
            <w:r w:rsidRPr="006C54B3">
              <w:rPr>
                <w:i/>
                <w:iCs/>
                <w:sz w:val="24"/>
                <w:szCs w:val="24"/>
                <w:lang w:val="ru-RU"/>
              </w:rPr>
              <w:t>ема мощност НЕК ОД</w:t>
            </w:r>
          </w:p>
        </w:tc>
        <w:tc>
          <w:tcPr>
            <w:tcW w:w="2467" w:type="dxa"/>
            <w:tcBorders>
              <w:top w:val="nil"/>
              <w:left w:val="nil"/>
              <w:bottom w:val="single" w:sz="4" w:space="0" w:color="auto"/>
              <w:right w:val="single" w:sz="4" w:space="0" w:color="auto"/>
            </w:tcBorders>
            <w:noWrap/>
            <w:vAlign w:val="bottom"/>
          </w:tcPr>
          <w:p w:rsidR="00F025E3" w:rsidRPr="00EE7241" w:rsidRDefault="00F025E3" w:rsidP="00F267B3">
            <w:pPr>
              <w:widowControl w:val="0"/>
              <w:jc w:val="center"/>
              <w:rPr>
                <w:i/>
                <w:iCs/>
                <w:sz w:val="24"/>
                <w:szCs w:val="24"/>
                <w:lang w:val="en-US"/>
              </w:rPr>
            </w:pPr>
            <w:r w:rsidRPr="00EE7241">
              <w:rPr>
                <w:i/>
                <w:iCs/>
                <w:sz w:val="24"/>
                <w:szCs w:val="24"/>
                <w:lang w:val="bg-BG"/>
              </w:rPr>
              <w:t>21413</w:t>
            </w:r>
          </w:p>
        </w:tc>
        <w:tc>
          <w:tcPr>
            <w:tcW w:w="2527" w:type="dxa"/>
            <w:tcBorders>
              <w:top w:val="nil"/>
              <w:left w:val="nil"/>
              <w:bottom w:val="single" w:sz="4" w:space="0" w:color="auto"/>
              <w:right w:val="single" w:sz="4" w:space="0" w:color="auto"/>
            </w:tcBorders>
            <w:vAlign w:val="bottom"/>
          </w:tcPr>
          <w:p w:rsidR="00F025E3" w:rsidRPr="00EE7241" w:rsidRDefault="00F025E3" w:rsidP="00301A7F">
            <w:pPr>
              <w:widowControl w:val="0"/>
              <w:jc w:val="center"/>
              <w:rPr>
                <w:i/>
                <w:iCs/>
                <w:sz w:val="24"/>
                <w:szCs w:val="24"/>
                <w:lang w:val="en-US"/>
              </w:rPr>
            </w:pPr>
            <w:r w:rsidRPr="00EE7241">
              <w:rPr>
                <w:i/>
                <w:iCs/>
                <w:sz w:val="24"/>
                <w:szCs w:val="24"/>
                <w:lang w:val="bg-BG"/>
              </w:rPr>
              <w:t>57232</w:t>
            </w:r>
          </w:p>
        </w:tc>
      </w:tr>
      <w:tr w:rsidR="00F025E3" w:rsidRPr="00A64C8D">
        <w:trPr>
          <w:trHeight w:val="315"/>
        </w:trPr>
        <w:tc>
          <w:tcPr>
            <w:tcW w:w="4740" w:type="dxa"/>
            <w:tcBorders>
              <w:top w:val="nil"/>
              <w:left w:val="single" w:sz="4" w:space="0" w:color="auto"/>
              <w:bottom w:val="single" w:sz="4" w:space="0" w:color="auto"/>
              <w:right w:val="single" w:sz="4" w:space="0" w:color="auto"/>
            </w:tcBorders>
          </w:tcPr>
          <w:p w:rsidR="00F025E3" w:rsidRPr="00337327" w:rsidRDefault="00F025E3" w:rsidP="004B10F9">
            <w:pPr>
              <w:widowControl w:val="0"/>
              <w:rPr>
                <w:i/>
                <w:iCs/>
                <w:sz w:val="24"/>
                <w:szCs w:val="24"/>
                <w:lang w:val="ru-RU"/>
              </w:rPr>
            </w:pPr>
            <w:r w:rsidRPr="00337327">
              <w:rPr>
                <w:i/>
                <w:iCs/>
                <w:sz w:val="24"/>
                <w:szCs w:val="24"/>
                <w:lang w:val="ru-RU"/>
              </w:rPr>
              <w:t>Приходи от студен резерв ЕСО</w:t>
            </w:r>
          </w:p>
        </w:tc>
        <w:tc>
          <w:tcPr>
            <w:tcW w:w="2467" w:type="dxa"/>
            <w:tcBorders>
              <w:top w:val="nil"/>
              <w:left w:val="nil"/>
              <w:bottom w:val="single" w:sz="4" w:space="0" w:color="auto"/>
              <w:right w:val="single" w:sz="4" w:space="0" w:color="auto"/>
            </w:tcBorders>
            <w:vAlign w:val="bottom"/>
          </w:tcPr>
          <w:p w:rsidR="00F025E3" w:rsidRPr="00EE7241" w:rsidRDefault="00F025E3" w:rsidP="004B10F9">
            <w:pPr>
              <w:widowControl w:val="0"/>
              <w:jc w:val="center"/>
              <w:rPr>
                <w:i/>
                <w:iCs/>
                <w:sz w:val="24"/>
                <w:szCs w:val="24"/>
                <w:lang w:val="bg-BG"/>
              </w:rPr>
            </w:pPr>
            <w:r w:rsidRPr="00EE7241">
              <w:rPr>
                <w:i/>
                <w:iCs/>
                <w:sz w:val="24"/>
                <w:szCs w:val="24"/>
                <w:lang w:val="bg-BG"/>
              </w:rPr>
              <w:t>2 864</w:t>
            </w:r>
          </w:p>
        </w:tc>
        <w:tc>
          <w:tcPr>
            <w:tcW w:w="2527" w:type="dxa"/>
            <w:tcBorders>
              <w:top w:val="nil"/>
              <w:left w:val="nil"/>
              <w:bottom w:val="single" w:sz="4" w:space="0" w:color="auto"/>
              <w:right w:val="single" w:sz="4" w:space="0" w:color="auto"/>
            </w:tcBorders>
            <w:vAlign w:val="bottom"/>
          </w:tcPr>
          <w:p w:rsidR="00F025E3" w:rsidRPr="00EE7241" w:rsidDel="007C0D8B" w:rsidRDefault="00F025E3" w:rsidP="00301A7F">
            <w:pPr>
              <w:widowControl w:val="0"/>
              <w:jc w:val="center"/>
              <w:rPr>
                <w:i/>
                <w:iCs/>
                <w:sz w:val="24"/>
                <w:szCs w:val="24"/>
                <w:lang w:val="bg-BG"/>
              </w:rPr>
            </w:pPr>
            <w:r w:rsidRPr="00EE7241">
              <w:rPr>
                <w:i/>
                <w:iCs/>
                <w:sz w:val="24"/>
                <w:szCs w:val="24"/>
                <w:lang w:val="bg-BG"/>
              </w:rPr>
              <w:t>5898</w:t>
            </w:r>
          </w:p>
        </w:tc>
      </w:tr>
      <w:tr w:rsidR="00F025E3" w:rsidRPr="00A64C8D">
        <w:trPr>
          <w:trHeight w:val="315"/>
        </w:trPr>
        <w:tc>
          <w:tcPr>
            <w:tcW w:w="4740" w:type="dxa"/>
            <w:tcBorders>
              <w:top w:val="nil"/>
              <w:left w:val="single" w:sz="4" w:space="0" w:color="auto"/>
              <w:bottom w:val="single" w:sz="4" w:space="0" w:color="auto"/>
              <w:right w:val="single" w:sz="4" w:space="0" w:color="auto"/>
            </w:tcBorders>
          </w:tcPr>
          <w:p w:rsidR="00F025E3" w:rsidRPr="00337327" w:rsidRDefault="00F025E3" w:rsidP="004B10F9">
            <w:pPr>
              <w:widowControl w:val="0"/>
              <w:rPr>
                <w:i/>
                <w:iCs/>
                <w:sz w:val="24"/>
                <w:szCs w:val="24"/>
                <w:lang w:val="bg-BG"/>
              </w:rPr>
            </w:pPr>
            <w:r w:rsidRPr="00337327">
              <w:rPr>
                <w:i/>
                <w:iCs/>
                <w:sz w:val="24"/>
                <w:szCs w:val="24"/>
                <w:lang w:val="ru-RU"/>
              </w:rPr>
              <w:t xml:space="preserve">Приходи от </w:t>
            </w:r>
            <w:r w:rsidRPr="00337327">
              <w:rPr>
                <w:i/>
                <w:iCs/>
                <w:sz w:val="24"/>
                <w:szCs w:val="24"/>
                <w:lang w:val="bg-BG"/>
              </w:rPr>
              <w:t>продажба на ПР и ВР ЕСО</w:t>
            </w:r>
          </w:p>
        </w:tc>
        <w:tc>
          <w:tcPr>
            <w:tcW w:w="2467" w:type="dxa"/>
            <w:tcBorders>
              <w:top w:val="nil"/>
              <w:left w:val="nil"/>
              <w:bottom w:val="single" w:sz="4" w:space="0" w:color="auto"/>
              <w:right w:val="single" w:sz="4" w:space="0" w:color="auto"/>
            </w:tcBorders>
            <w:vAlign w:val="bottom"/>
          </w:tcPr>
          <w:p w:rsidR="00F025E3" w:rsidRPr="00EE7241" w:rsidRDefault="00F025E3" w:rsidP="00F267B3">
            <w:pPr>
              <w:widowControl w:val="0"/>
              <w:jc w:val="center"/>
              <w:rPr>
                <w:i/>
                <w:iCs/>
                <w:sz w:val="24"/>
                <w:szCs w:val="24"/>
                <w:lang w:val="bg-BG"/>
              </w:rPr>
            </w:pPr>
            <w:r w:rsidRPr="00EE7241">
              <w:rPr>
                <w:i/>
                <w:iCs/>
                <w:sz w:val="24"/>
                <w:szCs w:val="24"/>
                <w:lang w:val="bg-BG"/>
              </w:rPr>
              <w:t>2361</w:t>
            </w:r>
          </w:p>
        </w:tc>
        <w:tc>
          <w:tcPr>
            <w:tcW w:w="2527" w:type="dxa"/>
            <w:tcBorders>
              <w:top w:val="nil"/>
              <w:left w:val="nil"/>
              <w:bottom w:val="single" w:sz="4" w:space="0" w:color="auto"/>
              <w:right w:val="single" w:sz="4" w:space="0" w:color="auto"/>
            </w:tcBorders>
            <w:vAlign w:val="bottom"/>
          </w:tcPr>
          <w:p w:rsidR="00F025E3" w:rsidRPr="00EE7241" w:rsidDel="00CD3828" w:rsidRDefault="00F025E3" w:rsidP="00301A7F">
            <w:pPr>
              <w:widowControl w:val="0"/>
              <w:jc w:val="center"/>
              <w:rPr>
                <w:i/>
                <w:iCs/>
                <w:sz w:val="24"/>
                <w:szCs w:val="24"/>
                <w:lang w:val="en-US"/>
              </w:rPr>
            </w:pPr>
            <w:r w:rsidRPr="00EE7241">
              <w:rPr>
                <w:i/>
                <w:iCs/>
                <w:sz w:val="24"/>
                <w:szCs w:val="24"/>
                <w:lang w:val="bg-BG"/>
              </w:rPr>
              <w:t>2742</w:t>
            </w:r>
          </w:p>
        </w:tc>
      </w:tr>
      <w:tr w:rsidR="00F025E3" w:rsidRPr="00A64C8D">
        <w:trPr>
          <w:trHeight w:val="315"/>
        </w:trPr>
        <w:tc>
          <w:tcPr>
            <w:tcW w:w="4740" w:type="dxa"/>
            <w:tcBorders>
              <w:top w:val="nil"/>
              <w:left w:val="single" w:sz="4" w:space="0" w:color="auto"/>
              <w:bottom w:val="single" w:sz="4" w:space="0" w:color="auto"/>
              <w:right w:val="single" w:sz="4" w:space="0" w:color="auto"/>
            </w:tcBorders>
          </w:tcPr>
          <w:p w:rsidR="00F025E3" w:rsidRPr="00BD4909" w:rsidRDefault="00F025E3" w:rsidP="004B10F9">
            <w:pPr>
              <w:widowControl w:val="0"/>
              <w:rPr>
                <w:i/>
                <w:iCs/>
                <w:sz w:val="24"/>
                <w:szCs w:val="24"/>
                <w:lang w:val="ru-RU"/>
              </w:rPr>
            </w:pPr>
            <w:r w:rsidRPr="00BD4909">
              <w:rPr>
                <w:i/>
                <w:iCs/>
                <w:sz w:val="24"/>
                <w:szCs w:val="24"/>
                <w:lang w:val="ru-RU"/>
              </w:rPr>
              <w:t>Приходи балансираща енергия ЕСО</w:t>
            </w:r>
          </w:p>
        </w:tc>
        <w:tc>
          <w:tcPr>
            <w:tcW w:w="2467" w:type="dxa"/>
            <w:tcBorders>
              <w:top w:val="nil"/>
              <w:left w:val="nil"/>
              <w:bottom w:val="single" w:sz="4" w:space="0" w:color="auto"/>
              <w:right w:val="single" w:sz="4" w:space="0" w:color="auto"/>
            </w:tcBorders>
            <w:vAlign w:val="bottom"/>
          </w:tcPr>
          <w:p w:rsidR="00F025E3" w:rsidRPr="00EE7241" w:rsidRDefault="00F025E3" w:rsidP="004B10F9">
            <w:pPr>
              <w:widowControl w:val="0"/>
              <w:jc w:val="center"/>
              <w:rPr>
                <w:i/>
                <w:iCs/>
                <w:sz w:val="24"/>
                <w:szCs w:val="24"/>
                <w:lang w:val="bg-BG"/>
              </w:rPr>
            </w:pPr>
            <w:r w:rsidRPr="00EE7241">
              <w:rPr>
                <w:i/>
                <w:iCs/>
                <w:sz w:val="24"/>
                <w:szCs w:val="24"/>
                <w:lang w:val="bg-BG"/>
              </w:rPr>
              <w:t>58</w:t>
            </w:r>
          </w:p>
        </w:tc>
        <w:tc>
          <w:tcPr>
            <w:tcW w:w="2527" w:type="dxa"/>
            <w:tcBorders>
              <w:top w:val="nil"/>
              <w:left w:val="nil"/>
              <w:bottom w:val="single" w:sz="4" w:space="0" w:color="auto"/>
              <w:right w:val="single" w:sz="4" w:space="0" w:color="auto"/>
            </w:tcBorders>
            <w:vAlign w:val="bottom"/>
          </w:tcPr>
          <w:p w:rsidR="00F025E3" w:rsidRPr="00EE7241" w:rsidRDefault="00F025E3" w:rsidP="004B10F9">
            <w:pPr>
              <w:widowControl w:val="0"/>
              <w:jc w:val="center"/>
              <w:rPr>
                <w:i/>
                <w:iCs/>
                <w:sz w:val="24"/>
                <w:szCs w:val="24"/>
                <w:lang w:val="bg-BG"/>
              </w:rPr>
            </w:pPr>
            <w:r w:rsidRPr="00EE7241">
              <w:rPr>
                <w:i/>
                <w:iCs/>
                <w:sz w:val="24"/>
                <w:szCs w:val="24"/>
                <w:lang w:val="bg-BG"/>
              </w:rPr>
              <w:t>51</w:t>
            </w:r>
          </w:p>
        </w:tc>
      </w:tr>
      <w:tr w:rsidR="00F025E3" w:rsidRPr="00A64C8D">
        <w:trPr>
          <w:trHeight w:val="315"/>
        </w:trPr>
        <w:tc>
          <w:tcPr>
            <w:tcW w:w="4740" w:type="dxa"/>
            <w:tcBorders>
              <w:top w:val="nil"/>
              <w:left w:val="single" w:sz="4" w:space="0" w:color="auto"/>
              <w:bottom w:val="single" w:sz="4" w:space="0" w:color="auto"/>
              <w:right w:val="single" w:sz="4" w:space="0" w:color="auto"/>
            </w:tcBorders>
          </w:tcPr>
          <w:p w:rsidR="00F025E3" w:rsidRPr="00BD4909" w:rsidRDefault="00F025E3" w:rsidP="004B10F9">
            <w:pPr>
              <w:widowControl w:val="0"/>
              <w:rPr>
                <w:i/>
                <w:iCs/>
                <w:sz w:val="24"/>
                <w:szCs w:val="24"/>
                <w:lang w:val="ru-RU"/>
              </w:rPr>
            </w:pPr>
            <w:r w:rsidRPr="00BD4909">
              <w:rPr>
                <w:i/>
                <w:iCs/>
                <w:sz w:val="24"/>
                <w:szCs w:val="24"/>
                <w:lang w:val="ru-RU"/>
              </w:rPr>
              <w:t>Приходи за участие регулиране нагоре ЕСО</w:t>
            </w:r>
          </w:p>
        </w:tc>
        <w:tc>
          <w:tcPr>
            <w:tcW w:w="2467" w:type="dxa"/>
            <w:tcBorders>
              <w:top w:val="nil"/>
              <w:left w:val="nil"/>
              <w:bottom w:val="single" w:sz="4" w:space="0" w:color="auto"/>
              <w:right w:val="single" w:sz="4" w:space="0" w:color="auto"/>
            </w:tcBorders>
            <w:vAlign w:val="bottom"/>
          </w:tcPr>
          <w:p w:rsidR="00F025E3" w:rsidRPr="00EE7241" w:rsidRDefault="00F025E3" w:rsidP="00F267B3">
            <w:pPr>
              <w:widowControl w:val="0"/>
              <w:jc w:val="center"/>
              <w:rPr>
                <w:i/>
                <w:iCs/>
                <w:sz w:val="24"/>
                <w:szCs w:val="24"/>
                <w:lang w:val="en-US"/>
              </w:rPr>
            </w:pPr>
            <w:r w:rsidRPr="00EE7241">
              <w:rPr>
                <w:i/>
                <w:iCs/>
                <w:sz w:val="24"/>
                <w:szCs w:val="24"/>
                <w:lang w:val="bg-BG"/>
              </w:rPr>
              <w:t>12703</w:t>
            </w:r>
          </w:p>
        </w:tc>
        <w:tc>
          <w:tcPr>
            <w:tcW w:w="2527" w:type="dxa"/>
            <w:tcBorders>
              <w:top w:val="nil"/>
              <w:left w:val="nil"/>
              <w:bottom w:val="single" w:sz="4" w:space="0" w:color="auto"/>
              <w:right w:val="single" w:sz="4" w:space="0" w:color="auto"/>
            </w:tcBorders>
            <w:vAlign w:val="bottom"/>
          </w:tcPr>
          <w:p w:rsidR="00F025E3" w:rsidRPr="00EE7241" w:rsidRDefault="00F025E3" w:rsidP="00301A7F">
            <w:pPr>
              <w:widowControl w:val="0"/>
              <w:jc w:val="center"/>
              <w:rPr>
                <w:i/>
                <w:iCs/>
                <w:sz w:val="24"/>
                <w:szCs w:val="24"/>
                <w:lang w:val="en-US"/>
              </w:rPr>
            </w:pPr>
            <w:r w:rsidRPr="00EE7241">
              <w:rPr>
                <w:i/>
                <w:iCs/>
                <w:sz w:val="24"/>
                <w:szCs w:val="24"/>
                <w:lang w:val="bg-BG"/>
              </w:rPr>
              <w:t>13101</w:t>
            </w:r>
          </w:p>
        </w:tc>
      </w:tr>
      <w:tr w:rsidR="00F025E3" w:rsidRPr="00A64C8D">
        <w:trPr>
          <w:trHeight w:val="315"/>
        </w:trPr>
        <w:tc>
          <w:tcPr>
            <w:tcW w:w="4740" w:type="dxa"/>
            <w:tcBorders>
              <w:top w:val="nil"/>
              <w:left w:val="single" w:sz="4" w:space="0" w:color="auto"/>
              <w:bottom w:val="single" w:sz="4" w:space="0" w:color="auto"/>
              <w:right w:val="single" w:sz="4" w:space="0" w:color="auto"/>
            </w:tcBorders>
          </w:tcPr>
          <w:p w:rsidR="00F025E3" w:rsidRPr="00337327" w:rsidRDefault="00F025E3" w:rsidP="004B10F9">
            <w:pPr>
              <w:widowControl w:val="0"/>
              <w:rPr>
                <w:i/>
                <w:iCs/>
                <w:sz w:val="24"/>
                <w:szCs w:val="24"/>
                <w:lang w:val="ru-RU"/>
              </w:rPr>
            </w:pPr>
            <w:r w:rsidRPr="00337327">
              <w:rPr>
                <w:i/>
                <w:iCs/>
                <w:sz w:val="24"/>
                <w:szCs w:val="24"/>
                <w:lang w:val="ru-RU"/>
              </w:rPr>
              <w:t xml:space="preserve">Приходи от ел.енергия </w:t>
            </w:r>
            <w:r w:rsidRPr="00337327">
              <w:rPr>
                <w:i/>
                <w:iCs/>
                <w:sz w:val="24"/>
                <w:szCs w:val="24"/>
                <w:lang w:val="bg-BG"/>
              </w:rPr>
              <w:t>-</w:t>
            </w:r>
            <w:r w:rsidRPr="00337327">
              <w:rPr>
                <w:i/>
                <w:iCs/>
                <w:sz w:val="24"/>
                <w:szCs w:val="24"/>
                <w:lang w:val="ru-RU"/>
              </w:rPr>
              <w:t xml:space="preserve"> свободен пазар</w:t>
            </w:r>
          </w:p>
        </w:tc>
        <w:tc>
          <w:tcPr>
            <w:tcW w:w="2467" w:type="dxa"/>
            <w:tcBorders>
              <w:top w:val="nil"/>
              <w:left w:val="nil"/>
              <w:bottom w:val="single" w:sz="4" w:space="0" w:color="auto"/>
              <w:right w:val="single" w:sz="4" w:space="0" w:color="auto"/>
            </w:tcBorders>
            <w:noWrap/>
            <w:vAlign w:val="bottom"/>
          </w:tcPr>
          <w:p w:rsidR="00F025E3" w:rsidRPr="00EE7241" w:rsidRDefault="00F025E3" w:rsidP="00B12184">
            <w:pPr>
              <w:widowControl w:val="0"/>
              <w:jc w:val="center"/>
              <w:rPr>
                <w:i/>
                <w:iCs/>
                <w:sz w:val="24"/>
                <w:szCs w:val="24"/>
                <w:lang w:val="bg-BG"/>
              </w:rPr>
            </w:pPr>
            <w:r w:rsidRPr="00EE7241">
              <w:rPr>
                <w:i/>
                <w:iCs/>
                <w:sz w:val="24"/>
                <w:szCs w:val="24"/>
                <w:lang w:val="bg-BG"/>
              </w:rPr>
              <w:t>220974</w:t>
            </w:r>
          </w:p>
        </w:tc>
        <w:tc>
          <w:tcPr>
            <w:tcW w:w="2527" w:type="dxa"/>
            <w:tcBorders>
              <w:top w:val="nil"/>
              <w:left w:val="nil"/>
              <w:bottom w:val="single" w:sz="4" w:space="0" w:color="auto"/>
              <w:right w:val="single" w:sz="4" w:space="0" w:color="auto"/>
            </w:tcBorders>
            <w:vAlign w:val="bottom"/>
          </w:tcPr>
          <w:p w:rsidR="00F025E3" w:rsidRPr="00EE7241" w:rsidRDefault="00F025E3" w:rsidP="00301A7F">
            <w:pPr>
              <w:widowControl w:val="0"/>
              <w:jc w:val="center"/>
              <w:rPr>
                <w:i/>
                <w:iCs/>
                <w:sz w:val="24"/>
                <w:szCs w:val="24"/>
                <w:lang w:val="en-US"/>
              </w:rPr>
            </w:pPr>
            <w:r w:rsidRPr="00EE7241">
              <w:rPr>
                <w:i/>
                <w:iCs/>
                <w:sz w:val="24"/>
                <w:szCs w:val="24"/>
                <w:lang w:val="bg-BG"/>
              </w:rPr>
              <w:t>215978</w:t>
            </w:r>
          </w:p>
        </w:tc>
      </w:tr>
      <w:tr w:rsidR="00F025E3" w:rsidRPr="00A64C8D">
        <w:trPr>
          <w:trHeight w:val="315"/>
        </w:trPr>
        <w:tc>
          <w:tcPr>
            <w:tcW w:w="4740" w:type="dxa"/>
            <w:tcBorders>
              <w:top w:val="nil"/>
              <w:left w:val="single" w:sz="4" w:space="0" w:color="auto"/>
              <w:bottom w:val="single" w:sz="4" w:space="0" w:color="auto"/>
              <w:right w:val="single" w:sz="4" w:space="0" w:color="auto"/>
            </w:tcBorders>
          </w:tcPr>
          <w:p w:rsidR="00F025E3" w:rsidRPr="00337327" w:rsidRDefault="00F025E3" w:rsidP="00135444">
            <w:pPr>
              <w:widowControl w:val="0"/>
              <w:rPr>
                <w:i/>
                <w:iCs/>
                <w:sz w:val="24"/>
                <w:szCs w:val="24"/>
                <w:lang w:val="ru-RU"/>
              </w:rPr>
            </w:pPr>
            <w:r>
              <w:rPr>
                <w:i/>
                <w:iCs/>
                <w:sz w:val="24"/>
                <w:szCs w:val="24"/>
                <w:lang w:val="ru-RU"/>
              </w:rPr>
              <w:t>Приходи от ел.енергия – БНЕБ ЕАД</w:t>
            </w:r>
          </w:p>
        </w:tc>
        <w:tc>
          <w:tcPr>
            <w:tcW w:w="2467" w:type="dxa"/>
            <w:tcBorders>
              <w:top w:val="nil"/>
              <w:left w:val="nil"/>
              <w:bottom w:val="single" w:sz="4" w:space="0" w:color="auto"/>
              <w:right w:val="single" w:sz="4" w:space="0" w:color="auto"/>
            </w:tcBorders>
            <w:noWrap/>
            <w:vAlign w:val="bottom"/>
          </w:tcPr>
          <w:p w:rsidR="00F025E3" w:rsidRPr="00EE7241" w:rsidRDefault="00F025E3" w:rsidP="00B12184">
            <w:pPr>
              <w:widowControl w:val="0"/>
              <w:jc w:val="center"/>
              <w:rPr>
                <w:i/>
                <w:iCs/>
                <w:sz w:val="24"/>
                <w:szCs w:val="24"/>
                <w:lang w:val="bg-BG"/>
              </w:rPr>
            </w:pPr>
            <w:r w:rsidRPr="00EE7241">
              <w:rPr>
                <w:i/>
                <w:iCs/>
                <w:sz w:val="24"/>
                <w:szCs w:val="24"/>
                <w:lang w:val="bg-BG"/>
              </w:rPr>
              <w:t>11348</w:t>
            </w:r>
          </w:p>
        </w:tc>
        <w:tc>
          <w:tcPr>
            <w:tcW w:w="2527" w:type="dxa"/>
            <w:tcBorders>
              <w:top w:val="nil"/>
              <w:left w:val="nil"/>
              <w:bottom w:val="single" w:sz="4" w:space="0" w:color="auto"/>
              <w:right w:val="single" w:sz="4" w:space="0" w:color="auto"/>
            </w:tcBorders>
            <w:vAlign w:val="bottom"/>
          </w:tcPr>
          <w:p w:rsidR="00F025E3" w:rsidRPr="00EE7241" w:rsidRDefault="00F025E3" w:rsidP="0067029C">
            <w:pPr>
              <w:widowControl w:val="0"/>
              <w:jc w:val="center"/>
              <w:rPr>
                <w:i/>
                <w:iCs/>
                <w:sz w:val="24"/>
                <w:szCs w:val="24"/>
                <w:lang w:val="bg-BG"/>
              </w:rPr>
            </w:pPr>
            <w:r w:rsidRPr="00EE7241">
              <w:rPr>
                <w:i/>
                <w:iCs/>
                <w:sz w:val="24"/>
                <w:szCs w:val="24"/>
                <w:lang w:val="bg-BG"/>
              </w:rPr>
              <w:t>0</w:t>
            </w:r>
          </w:p>
        </w:tc>
      </w:tr>
      <w:tr w:rsidR="00F025E3" w:rsidRPr="00A64C8D">
        <w:trPr>
          <w:trHeight w:val="207"/>
        </w:trPr>
        <w:tc>
          <w:tcPr>
            <w:tcW w:w="4740" w:type="dxa"/>
            <w:tcBorders>
              <w:top w:val="single" w:sz="4" w:space="0" w:color="auto"/>
              <w:left w:val="single" w:sz="4" w:space="0" w:color="auto"/>
              <w:bottom w:val="single" w:sz="4" w:space="0" w:color="auto"/>
              <w:right w:val="nil"/>
            </w:tcBorders>
            <w:shd w:val="clear" w:color="auto" w:fill="FFFF99"/>
            <w:noWrap/>
            <w:vAlign w:val="bottom"/>
          </w:tcPr>
          <w:p w:rsidR="00F025E3" w:rsidRPr="006C54B3" w:rsidRDefault="00F025E3" w:rsidP="004B10F9">
            <w:pPr>
              <w:widowControl w:val="0"/>
              <w:rPr>
                <w:b/>
                <w:bCs/>
                <w:sz w:val="24"/>
                <w:szCs w:val="24"/>
                <w:lang w:val="en-US"/>
              </w:rPr>
            </w:pPr>
            <w:r w:rsidRPr="006C54B3">
              <w:rPr>
                <w:b/>
                <w:bCs/>
                <w:sz w:val="24"/>
                <w:szCs w:val="24"/>
              </w:rPr>
              <w:t>Общо:</w:t>
            </w:r>
          </w:p>
        </w:tc>
        <w:tc>
          <w:tcPr>
            <w:tcW w:w="2467" w:type="dxa"/>
            <w:tcBorders>
              <w:top w:val="single" w:sz="4" w:space="0" w:color="auto"/>
              <w:left w:val="single" w:sz="4" w:space="0" w:color="auto"/>
              <w:bottom w:val="single" w:sz="4" w:space="0" w:color="auto"/>
              <w:right w:val="single" w:sz="4" w:space="0" w:color="auto"/>
            </w:tcBorders>
            <w:shd w:val="clear" w:color="auto" w:fill="FFFF99"/>
            <w:noWrap/>
            <w:vAlign w:val="bottom"/>
          </w:tcPr>
          <w:p w:rsidR="00F025E3" w:rsidRPr="00EE7241" w:rsidRDefault="00F025E3" w:rsidP="00F267B3">
            <w:pPr>
              <w:widowControl w:val="0"/>
              <w:jc w:val="center"/>
              <w:rPr>
                <w:b/>
                <w:bCs/>
                <w:sz w:val="24"/>
                <w:szCs w:val="24"/>
                <w:lang w:val="en-US"/>
              </w:rPr>
            </w:pPr>
            <w:r w:rsidRPr="00EE7241">
              <w:rPr>
                <w:b/>
                <w:bCs/>
                <w:sz w:val="24"/>
                <w:szCs w:val="24"/>
                <w:lang w:val="bg-BG"/>
              </w:rPr>
              <w:t>271721</w:t>
            </w:r>
          </w:p>
        </w:tc>
        <w:tc>
          <w:tcPr>
            <w:tcW w:w="2527" w:type="dxa"/>
            <w:tcBorders>
              <w:top w:val="single" w:sz="4" w:space="0" w:color="auto"/>
              <w:left w:val="nil"/>
              <w:bottom w:val="single" w:sz="4" w:space="0" w:color="auto"/>
              <w:right w:val="single" w:sz="4" w:space="0" w:color="auto"/>
            </w:tcBorders>
            <w:shd w:val="clear" w:color="auto" w:fill="FFFF99"/>
            <w:noWrap/>
            <w:vAlign w:val="bottom"/>
          </w:tcPr>
          <w:p w:rsidR="00F025E3" w:rsidRPr="00EE7241" w:rsidRDefault="00F025E3" w:rsidP="00301A7F">
            <w:pPr>
              <w:widowControl w:val="0"/>
              <w:jc w:val="center"/>
              <w:rPr>
                <w:b/>
                <w:bCs/>
                <w:sz w:val="24"/>
                <w:szCs w:val="24"/>
                <w:lang w:val="bg-BG"/>
              </w:rPr>
            </w:pPr>
            <w:r w:rsidRPr="00EE7241">
              <w:rPr>
                <w:b/>
                <w:bCs/>
                <w:sz w:val="24"/>
                <w:szCs w:val="24"/>
                <w:lang w:val="bg-BG"/>
              </w:rPr>
              <w:t>295002</w:t>
            </w:r>
          </w:p>
        </w:tc>
      </w:tr>
    </w:tbl>
    <w:p w:rsidR="00F025E3" w:rsidRDefault="00F025E3" w:rsidP="00780D85">
      <w:pPr>
        <w:ind w:firstLine="720"/>
        <w:jc w:val="both"/>
        <w:rPr>
          <w:b/>
          <w:bCs/>
          <w:sz w:val="24"/>
          <w:szCs w:val="24"/>
          <w:lang w:val="ru-RU"/>
        </w:rPr>
      </w:pPr>
    </w:p>
    <w:p w:rsidR="00F025E3" w:rsidRPr="00EE7241" w:rsidRDefault="00F025E3" w:rsidP="00BA44B5">
      <w:pPr>
        <w:ind w:firstLine="720"/>
        <w:jc w:val="both"/>
        <w:rPr>
          <w:sz w:val="24"/>
          <w:szCs w:val="24"/>
          <w:lang w:val="ru-RU"/>
        </w:rPr>
      </w:pPr>
      <w:r w:rsidRPr="00EE7241">
        <w:rPr>
          <w:sz w:val="24"/>
          <w:szCs w:val="24"/>
          <w:lang w:val="ru-RU"/>
        </w:rPr>
        <w:t>Към 30.06.2016 г. са реализирани 3 620351 МВтч електроенергия, като за същия период на предходната 2015 г. са продадени 3 866 019 МВтч.  Отчита се намаление с  245668 МВтч или 6,35%. През изминалото първо полугодие на 2016 г.  се отчита нарастване на продажбите на либерализирания пазар с  283110 Мвтч, като са реализирани 3 227 038 Мвтч /дялово съотношение 85,50%/</w:t>
      </w:r>
      <w:r>
        <w:rPr>
          <w:sz w:val="24"/>
          <w:szCs w:val="24"/>
          <w:lang w:val="bg-BG"/>
        </w:rPr>
        <w:t>от които на „БНЕБ“ЕАД са реализирани 179 160 Мвтч</w:t>
      </w:r>
      <w:r w:rsidRPr="00EE7241">
        <w:rPr>
          <w:sz w:val="24"/>
          <w:szCs w:val="24"/>
          <w:lang w:val="ru-RU"/>
        </w:rPr>
        <w:t>, а за същия период през предходната 2015 г. са реализирани 2943 928 Мвтч /дялово съотношение 73,21%/. В общия реализиран обем продажби на либерализирания пазар през първото полугодие на 2016 г. са включени закупените 100 600 Мвтч от свободния пазар.</w:t>
      </w:r>
    </w:p>
    <w:p w:rsidR="00F025E3" w:rsidRPr="00EE7241" w:rsidRDefault="00F025E3" w:rsidP="00DE296F">
      <w:pPr>
        <w:ind w:firstLine="720"/>
        <w:jc w:val="both"/>
        <w:rPr>
          <w:sz w:val="24"/>
          <w:szCs w:val="24"/>
          <w:lang w:val="ru-RU"/>
        </w:rPr>
      </w:pPr>
      <w:r w:rsidRPr="00EE7241">
        <w:rPr>
          <w:sz w:val="24"/>
          <w:szCs w:val="24"/>
          <w:lang w:val="ru-RU"/>
        </w:rPr>
        <w:t xml:space="preserve">Първата търговска сесия на „Българска независима енергийна борса ”ЕАД (БНЕБ) се проведе на 19.01.2016 г. </w:t>
      </w:r>
    </w:p>
    <w:p w:rsidR="00F025E3" w:rsidRDefault="00F025E3" w:rsidP="00D7461D">
      <w:pPr>
        <w:ind w:firstLine="720"/>
        <w:jc w:val="both"/>
        <w:rPr>
          <w:color w:val="000000"/>
          <w:sz w:val="24"/>
          <w:szCs w:val="24"/>
          <w:lang w:val="bg-BG"/>
        </w:rPr>
      </w:pPr>
    </w:p>
    <w:p w:rsidR="00F025E3" w:rsidRDefault="00F025E3" w:rsidP="00D7461D">
      <w:pPr>
        <w:ind w:firstLine="720"/>
        <w:jc w:val="both"/>
        <w:rPr>
          <w:color w:val="000000"/>
          <w:sz w:val="24"/>
          <w:szCs w:val="24"/>
          <w:lang w:val="bg-BG"/>
        </w:rPr>
      </w:pPr>
    </w:p>
    <w:p w:rsidR="00F025E3" w:rsidRPr="00EE7241" w:rsidRDefault="00F025E3" w:rsidP="00D7461D">
      <w:pPr>
        <w:ind w:firstLine="720"/>
        <w:jc w:val="both"/>
        <w:rPr>
          <w:color w:val="000000"/>
          <w:sz w:val="24"/>
          <w:szCs w:val="24"/>
          <w:lang w:val="bg-BG"/>
        </w:rPr>
      </w:pPr>
      <w:r w:rsidRPr="00EE7241">
        <w:rPr>
          <w:color w:val="000000"/>
          <w:sz w:val="24"/>
          <w:szCs w:val="24"/>
          <w:lang w:val="bg-BG"/>
        </w:rPr>
        <w:t xml:space="preserve">През първото полугодие на 2016г. „ТЕЦ Марица изток 2“ЕАД продаде179160Мвтч електроенергия на борсовата платформа на „Българска независима енергийна борса“ЕАД </w:t>
      </w:r>
      <w:r w:rsidRPr="00EE7241">
        <w:rPr>
          <w:color w:val="000000"/>
          <w:sz w:val="24"/>
          <w:szCs w:val="24"/>
          <w:lang w:val="en-US"/>
        </w:rPr>
        <w:t>(</w:t>
      </w:r>
      <w:r w:rsidRPr="00EE7241">
        <w:rPr>
          <w:color w:val="000000"/>
          <w:sz w:val="24"/>
          <w:szCs w:val="24"/>
          <w:lang w:val="bg-BG"/>
        </w:rPr>
        <w:t>БНЕБ</w:t>
      </w:r>
      <w:r w:rsidRPr="00EE7241">
        <w:rPr>
          <w:color w:val="000000"/>
          <w:sz w:val="24"/>
          <w:szCs w:val="24"/>
          <w:lang w:val="en-US"/>
        </w:rPr>
        <w:t xml:space="preserve">) </w:t>
      </w:r>
      <w:r w:rsidRPr="00EE7241">
        <w:rPr>
          <w:color w:val="000000"/>
          <w:sz w:val="24"/>
          <w:szCs w:val="24"/>
          <w:lang w:val="bg-BG"/>
        </w:rPr>
        <w:t xml:space="preserve">и реализира 11 348 хил.лв. при средна продажна цена от 63,34 лв./Мвтч. </w:t>
      </w:r>
    </w:p>
    <w:p w:rsidR="00F025E3" w:rsidRPr="00EE7241" w:rsidRDefault="00F025E3" w:rsidP="0047061A">
      <w:pPr>
        <w:ind w:firstLine="720"/>
        <w:jc w:val="both"/>
        <w:rPr>
          <w:color w:val="000000"/>
          <w:sz w:val="24"/>
          <w:szCs w:val="24"/>
          <w:lang w:val="bg-BG"/>
        </w:rPr>
      </w:pPr>
      <w:r w:rsidRPr="00EE7241">
        <w:rPr>
          <w:color w:val="000000"/>
          <w:sz w:val="24"/>
          <w:szCs w:val="24"/>
          <w:lang w:val="bg-BG"/>
        </w:rPr>
        <w:t xml:space="preserve">Количествата реализирана електроенергия и разполагаема мощност на НЕК ОД на регулирания пазар са  315 119 Мвтч и бележат понижение от 522 821 Мвтч, представляващи 62.39 % по-малко спрямо отчетените 837 940 Мвтч през съпоставимия период на предходната 2015 г. </w:t>
      </w:r>
    </w:p>
    <w:p w:rsidR="00F025E3" w:rsidRPr="00EE7241" w:rsidRDefault="00F025E3" w:rsidP="0047061A">
      <w:pPr>
        <w:ind w:firstLine="720"/>
        <w:jc w:val="both"/>
        <w:rPr>
          <w:sz w:val="24"/>
          <w:szCs w:val="24"/>
          <w:lang w:val="ru-RU"/>
        </w:rPr>
      </w:pPr>
      <w:r w:rsidRPr="00EE7241">
        <w:rPr>
          <w:b/>
          <w:bCs/>
          <w:sz w:val="24"/>
          <w:szCs w:val="24"/>
          <w:lang w:val="bg-BG"/>
        </w:rPr>
        <w:t>Съгласно Решение на КЕВР № Ц-27/31.07.2015 година</w:t>
      </w:r>
      <w:r w:rsidRPr="00EE7241">
        <w:rPr>
          <w:b/>
          <w:bCs/>
          <w:sz w:val="24"/>
          <w:szCs w:val="24"/>
          <w:lang w:val="ru-RU"/>
        </w:rPr>
        <w:t xml:space="preserve"> в сила от 01.08.2015 г. за активна ел.енергия нето е утвърдена цена  в размер на 44,22 лв./Мвтч, а разполагаема мощност 23,73 лв./Мвтч.По този начин общата еднокомпонентна цена за продажби на регулиран пазар  бе понижена от 68,30 лв./Мвтч на 67,95 лв./Мвтч</w:t>
      </w:r>
      <w:r w:rsidRPr="00EE7241">
        <w:rPr>
          <w:sz w:val="24"/>
          <w:szCs w:val="24"/>
          <w:lang w:val="ru-RU"/>
        </w:rPr>
        <w:t xml:space="preserve"> основно поради намалението на цената на разполагаемата мощност с 0,40 лв./Мвтч, а цената на активната ел.енергия бе минимално повишена с 0,05 лв./Мвтч при утвърдена квота за продажби на регулиран пазар за регулаторния период възлизаща на 613</w:t>
      </w:r>
      <w:r w:rsidRPr="00EE7241">
        <w:rPr>
          <w:sz w:val="24"/>
          <w:szCs w:val="24"/>
          <w:lang w:val="en-US"/>
        </w:rPr>
        <w:t> </w:t>
      </w:r>
      <w:r w:rsidRPr="00EE7241">
        <w:rPr>
          <w:sz w:val="24"/>
          <w:szCs w:val="24"/>
          <w:lang w:val="ru-RU"/>
        </w:rPr>
        <w:t>200 Мвтч съгласно Решение на КЕВР № ТЕ-025/31.07.2015 година.</w:t>
      </w:r>
    </w:p>
    <w:p w:rsidR="00F025E3" w:rsidRPr="00EE7241" w:rsidRDefault="00F025E3" w:rsidP="0047061A">
      <w:pPr>
        <w:ind w:firstLine="720"/>
        <w:jc w:val="both"/>
        <w:rPr>
          <w:sz w:val="24"/>
          <w:szCs w:val="24"/>
          <w:lang w:val="ru-RU"/>
        </w:rPr>
      </w:pPr>
      <w:r w:rsidRPr="00EE7241">
        <w:rPr>
          <w:sz w:val="24"/>
          <w:szCs w:val="24"/>
          <w:lang w:val="ru-RU"/>
        </w:rPr>
        <w:t>Намалението на цената за разполагаемост е мотивирано от КЕВР с предприетите действия от принципала на дружеството – Министерство на енергетиката, за провеждане на политика за съкращаване на административните разходи в държавните предприятия от сектор „Енергетика“ с 10% (въпреки, че заплатите на експлоатационния  и ремонтния персонал не могат да бъдат класифицирани като административни разходи</w:t>
      </w:r>
      <w:r w:rsidRPr="00EE7241">
        <w:rPr>
          <w:sz w:val="24"/>
          <w:szCs w:val="24"/>
          <w:lang w:val="bg-BG"/>
        </w:rPr>
        <w:t>.</w:t>
      </w:r>
    </w:p>
    <w:p w:rsidR="00F025E3" w:rsidRPr="00EE7241" w:rsidRDefault="00F025E3" w:rsidP="00D7461D">
      <w:pPr>
        <w:ind w:firstLine="720"/>
        <w:jc w:val="both"/>
        <w:rPr>
          <w:sz w:val="24"/>
          <w:szCs w:val="24"/>
          <w:lang w:val="ru-RU"/>
        </w:rPr>
      </w:pPr>
      <w:r w:rsidRPr="00EE7241">
        <w:rPr>
          <w:sz w:val="24"/>
          <w:szCs w:val="24"/>
          <w:lang w:val="ru-RU"/>
        </w:rPr>
        <w:t xml:space="preserve">През първото полугодие на 2016 г. </w:t>
      </w:r>
      <w:r w:rsidRPr="00EE7241">
        <w:rPr>
          <w:b/>
          <w:bCs/>
          <w:sz w:val="24"/>
          <w:szCs w:val="24"/>
          <w:lang w:val="bg-BG"/>
        </w:rPr>
        <w:t>„</w:t>
      </w:r>
      <w:r w:rsidRPr="00EE7241">
        <w:rPr>
          <w:sz w:val="24"/>
          <w:szCs w:val="24"/>
          <w:lang w:val="bg-BG"/>
        </w:rPr>
        <w:t xml:space="preserve">ТЕЦ Марица изток 2” ЕАД </w:t>
      </w:r>
      <w:r w:rsidRPr="00EE7241">
        <w:rPr>
          <w:sz w:val="24"/>
          <w:szCs w:val="24"/>
          <w:lang w:val="ru-RU"/>
        </w:rPr>
        <w:t>реализира 74 721 Мвтч ел.енергия продадена за регулиране нагоре на ЕСО на стойност  12703 хил.лв., както и 3 473 Мвтч балансираща енергия при излишък на стойност 58 хил.лв. За съпоставимия период на предходната 2015 година са реализирани 7</w:t>
      </w:r>
      <w:r>
        <w:rPr>
          <w:sz w:val="24"/>
          <w:szCs w:val="24"/>
          <w:lang w:val="ru-RU"/>
        </w:rPr>
        <w:t>9</w:t>
      </w:r>
      <w:r w:rsidRPr="00EE7241">
        <w:rPr>
          <w:sz w:val="24"/>
          <w:szCs w:val="24"/>
          <w:lang w:val="ru-RU"/>
        </w:rPr>
        <w:t> </w:t>
      </w:r>
      <w:r>
        <w:rPr>
          <w:sz w:val="24"/>
          <w:szCs w:val="24"/>
          <w:lang w:val="ru-RU"/>
        </w:rPr>
        <w:t>657</w:t>
      </w:r>
      <w:r w:rsidRPr="00EE7241">
        <w:rPr>
          <w:sz w:val="24"/>
          <w:szCs w:val="24"/>
          <w:lang w:val="ru-RU"/>
        </w:rPr>
        <w:t xml:space="preserve"> Мвтч ел.енергия продадена за регулиране нагоре на ЕСО на стойност  1</w:t>
      </w:r>
      <w:r>
        <w:rPr>
          <w:sz w:val="24"/>
          <w:szCs w:val="24"/>
          <w:lang w:val="ru-RU"/>
        </w:rPr>
        <w:t>3101</w:t>
      </w:r>
      <w:r w:rsidRPr="00EE7241">
        <w:rPr>
          <w:sz w:val="24"/>
          <w:szCs w:val="24"/>
          <w:lang w:val="ru-RU"/>
        </w:rPr>
        <w:t xml:space="preserve"> хил.лв., както и </w:t>
      </w:r>
      <w:r>
        <w:rPr>
          <w:sz w:val="24"/>
          <w:szCs w:val="24"/>
          <w:lang w:val="ru-RU"/>
        </w:rPr>
        <w:t>4</w:t>
      </w:r>
      <w:r w:rsidRPr="00EE7241">
        <w:rPr>
          <w:sz w:val="24"/>
          <w:szCs w:val="24"/>
          <w:lang w:val="ru-RU"/>
        </w:rPr>
        <w:t> 4</w:t>
      </w:r>
      <w:r>
        <w:rPr>
          <w:sz w:val="24"/>
          <w:szCs w:val="24"/>
          <w:lang w:val="ru-RU"/>
        </w:rPr>
        <w:t>94</w:t>
      </w:r>
      <w:r w:rsidRPr="00EE7241">
        <w:rPr>
          <w:sz w:val="24"/>
          <w:szCs w:val="24"/>
          <w:lang w:val="ru-RU"/>
        </w:rPr>
        <w:t xml:space="preserve"> Мвтч балансираща енергия при излишък на стойност 5</w:t>
      </w:r>
      <w:r>
        <w:rPr>
          <w:sz w:val="24"/>
          <w:szCs w:val="24"/>
          <w:lang w:val="ru-RU"/>
        </w:rPr>
        <w:t>1</w:t>
      </w:r>
      <w:r w:rsidRPr="00EE7241">
        <w:rPr>
          <w:sz w:val="24"/>
          <w:szCs w:val="24"/>
          <w:lang w:val="ru-RU"/>
        </w:rPr>
        <w:t xml:space="preserve"> хил.лв. </w:t>
      </w:r>
      <w:r>
        <w:rPr>
          <w:sz w:val="24"/>
          <w:szCs w:val="24"/>
          <w:lang w:val="ru-RU"/>
        </w:rPr>
        <w:t>общо в размер на</w:t>
      </w:r>
      <w:r w:rsidRPr="00EE7241">
        <w:rPr>
          <w:sz w:val="24"/>
          <w:szCs w:val="24"/>
          <w:lang w:val="ru-RU"/>
        </w:rPr>
        <w:t>13 152 хил.лв.  или с 391 хил.лв. повече спрямо отчетените 12 761 хил.лв. към 30.06.2016 година.</w:t>
      </w:r>
    </w:p>
    <w:p w:rsidR="00F025E3" w:rsidRPr="00EE7241" w:rsidRDefault="00F025E3" w:rsidP="0047061A">
      <w:pPr>
        <w:pStyle w:val="BodyText"/>
        <w:ind w:firstLine="709"/>
        <w:jc w:val="both"/>
        <w:rPr>
          <w:sz w:val="24"/>
          <w:szCs w:val="24"/>
          <w:lang w:val="ru-RU"/>
        </w:rPr>
      </w:pPr>
      <w:r w:rsidRPr="00EE7241">
        <w:rPr>
          <w:b/>
          <w:bCs/>
          <w:sz w:val="24"/>
          <w:szCs w:val="24"/>
          <w:lang w:val="bg-BG"/>
        </w:rPr>
        <w:t>Дружеството отчита умерен ръст на продажбите на либерализирания пазар с 16 344 хил.лв. или 7,57%, като повишението на реализираните количества беше отчетено  през януари, февруари, март, май и юни2016 г. През изминалото първо полугодие на 2016 г. среднопретеглената цена за продажби на свободен пазар бележи намаление с 1,37 лв./Мвтч до 71,99 лв./Мвтч спрямо отчетените 73,36 лв,/Мвтч през предходната година</w:t>
      </w:r>
      <w:r w:rsidRPr="00EE7241">
        <w:rPr>
          <w:sz w:val="24"/>
          <w:szCs w:val="24"/>
          <w:lang w:val="ru-RU"/>
        </w:rPr>
        <w:t>.</w:t>
      </w:r>
    </w:p>
    <w:p w:rsidR="00F025E3" w:rsidRPr="00EE7241" w:rsidRDefault="00F025E3" w:rsidP="007F6401">
      <w:pPr>
        <w:pStyle w:val="Normal12pt"/>
        <w:ind w:right="-138" w:firstLine="540"/>
        <w:jc w:val="both"/>
      </w:pPr>
      <w:r w:rsidRPr="00EE7241">
        <w:rPr>
          <w:b/>
          <w:bCs/>
          <w:lang w:val="ru-RU"/>
        </w:rPr>
        <w:t xml:space="preserve">Понижението на средната продажна цена основно се дължи на участието на </w:t>
      </w:r>
      <w:r w:rsidRPr="00EE7241">
        <w:rPr>
          <w:b/>
          <w:bCs/>
        </w:rPr>
        <w:t xml:space="preserve">„ТЕЦ Марица изток 2” </w:t>
      </w:r>
      <w:r w:rsidRPr="00EE7241">
        <w:rPr>
          <w:b/>
          <w:bCs/>
          <w:lang w:val="ru-RU"/>
        </w:rPr>
        <w:t>ЕАД на борсовата платформа на</w:t>
      </w:r>
      <w:r w:rsidRPr="00EE7241">
        <w:rPr>
          <w:b/>
          <w:bCs/>
        </w:rPr>
        <w:t>„БНЕБ” ЕАД където отчетената средна про</w:t>
      </w:r>
      <w:r>
        <w:rPr>
          <w:b/>
          <w:bCs/>
        </w:rPr>
        <w:t>дажна цена през първото полугод</w:t>
      </w:r>
      <w:r w:rsidRPr="00EE7241">
        <w:rPr>
          <w:b/>
          <w:bCs/>
        </w:rPr>
        <w:t>ие е 63,34 лв./Мвтч.</w:t>
      </w:r>
      <w:r>
        <w:rPr>
          <w:b/>
          <w:bCs/>
          <w:lang w:val="en-US"/>
        </w:rPr>
        <w:t xml:space="preserve"> </w:t>
      </w:r>
      <w:r w:rsidRPr="00EE7241">
        <w:t xml:space="preserve">Във връзка с подписаните на 16.10.2015 г. Ангажименти, представени от „БЕХ” ЕАД, „НЕК” ЕАД, „ТЕЦ Марица изток 2” ЕАД, „АЕЦ” ЕАД, „БНЕБ” ЕАД по дело АТ.39767 – БЕХ Електричество, „ТЕЦ Марица изток 2” ЕАД  стриктно </w:t>
      </w:r>
      <w:r w:rsidRPr="00EE7241">
        <w:rPr>
          <w:lang w:val="en-US"/>
        </w:rPr>
        <w:t>изпълн</w:t>
      </w:r>
      <w:r w:rsidRPr="00EE7241">
        <w:t>ява</w:t>
      </w:r>
      <w:r w:rsidRPr="00EE7241">
        <w:rPr>
          <w:lang w:val="en-US"/>
        </w:rPr>
        <w:t xml:space="preserve"> своята част от поетите общи ангажименти </w:t>
      </w:r>
      <w:r w:rsidRPr="00EE7241">
        <w:t>като</w:t>
      </w:r>
      <w:r w:rsidRPr="00EE7241">
        <w:rPr>
          <w:lang w:val="en-US"/>
        </w:rPr>
        <w:t xml:space="preserve"> предостав</w:t>
      </w:r>
      <w:r w:rsidRPr="00EE7241">
        <w:t>я</w:t>
      </w:r>
      <w:r>
        <w:rPr>
          <w:lang w:val="en-US"/>
        </w:rPr>
        <w:t xml:space="preserve"> </w:t>
      </w:r>
      <w:r w:rsidRPr="00EE7241">
        <w:t>съответните количества електрическа енергия на свободен пазар чрез борсовата платформа на „Българска независима енергийна борса” ЕАД.</w:t>
      </w:r>
    </w:p>
    <w:p w:rsidR="00F025E3" w:rsidRPr="00EE7241" w:rsidRDefault="00F025E3" w:rsidP="0047061A">
      <w:pPr>
        <w:pStyle w:val="BodyText"/>
        <w:ind w:firstLine="709"/>
        <w:jc w:val="both"/>
        <w:rPr>
          <w:sz w:val="24"/>
          <w:szCs w:val="24"/>
          <w:lang w:val="ru-RU"/>
        </w:rPr>
      </w:pPr>
    </w:p>
    <w:p w:rsidR="00F025E3" w:rsidRPr="00EE7241" w:rsidRDefault="00F025E3" w:rsidP="0002733D">
      <w:pPr>
        <w:ind w:firstLine="720"/>
        <w:jc w:val="both"/>
        <w:outlineLvl w:val="1"/>
        <w:rPr>
          <w:color w:val="000000"/>
          <w:sz w:val="24"/>
          <w:szCs w:val="24"/>
          <w:lang w:val="bg-BG"/>
        </w:rPr>
      </w:pPr>
      <w:r w:rsidRPr="00EE7241">
        <w:rPr>
          <w:color w:val="000000"/>
          <w:sz w:val="24"/>
          <w:szCs w:val="24"/>
          <w:lang w:val="bg-BG"/>
        </w:rPr>
        <w:t>Въпреки отчетеното</w:t>
      </w:r>
      <w:r>
        <w:rPr>
          <w:color w:val="000000"/>
          <w:sz w:val="24"/>
          <w:szCs w:val="24"/>
          <w:lang w:val="en-US"/>
        </w:rPr>
        <w:t xml:space="preserve"> </w:t>
      </w:r>
      <w:r w:rsidRPr="00EE7241">
        <w:rPr>
          <w:color w:val="000000"/>
          <w:sz w:val="24"/>
          <w:szCs w:val="24"/>
          <w:lang w:val="bg-BG"/>
        </w:rPr>
        <w:t>нарастване на продажбите на свободния пазар, през първото полугодие на 2016 г. Дружеството реализира незначителни приходи</w:t>
      </w:r>
      <w:r w:rsidRPr="00EE7241">
        <w:rPr>
          <w:color w:val="000000"/>
          <w:sz w:val="24"/>
          <w:szCs w:val="24"/>
          <w:lang w:val="ru-RU"/>
        </w:rPr>
        <w:t xml:space="preserve"> от продажба на студен резерв</w:t>
      </w:r>
      <w:r w:rsidRPr="00EE7241">
        <w:rPr>
          <w:color w:val="000000"/>
          <w:sz w:val="24"/>
          <w:szCs w:val="24"/>
          <w:lang w:val="bg-BG"/>
        </w:rPr>
        <w:t xml:space="preserve">в размер на 2 864 хил.лв. в сравнение с отчетените 5 898 хил.лв. на същия период на предходната 2015 г. и 17 </w:t>
      </w:r>
      <w:r w:rsidRPr="00EE7241">
        <w:rPr>
          <w:color w:val="000000"/>
          <w:sz w:val="24"/>
          <w:szCs w:val="24"/>
          <w:lang w:val="ru-RU"/>
        </w:rPr>
        <w:t>770</w:t>
      </w:r>
      <w:r w:rsidRPr="00EE7241">
        <w:rPr>
          <w:color w:val="000000"/>
          <w:sz w:val="24"/>
          <w:szCs w:val="24"/>
          <w:lang w:val="bg-BG"/>
        </w:rPr>
        <w:t xml:space="preserve">хил.лв. през 2014 година. </w:t>
      </w:r>
    </w:p>
    <w:p w:rsidR="00F025E3" w:rsidRPr="00EE7241" w:rsidRDefault="00F025E3" w:rsidP="0002733D">
      <w:pPr>
        <w:ind w:firstLine="720"/>
        <w:jc w:val="both"/>
        <w:outlineLvl w:val="1"/>
        <w:rPr>
          <w:color w:val="000000"/>
          <w:sz w:val="24"/>
          <w:szCs w:val="24"/>
          <w:lang w:val="bg-BG"/>
        </w:rPr>
      </w:pPr>
      <w:r w:rsidRPr="00EE7241">
        <w:rPr>
          <w:color w:val="000000"/>
          <w:sz w:val="24"/>
          <w:szCs w:val="24"/>
          <w:lang w:val="bg-BG"/>
        </w:rPr>
        <w:t xml:space="preserve">В решенията си след 2013 г. </w:t>
      </w:r>
      <w:r w:rsidRPr="00EE7241">
        <w:rPr>
          <w:sz w:val="24"/>
          <w:szCs w:val="24"/>
          <w:lang w:val="ru-RU"/>
        </w:rPr>
        <w:t>КЕВР</w:t>
      </w:r>
      <w:r w:rsidRPr="00EE7241">
        <w:rPr>
          <w:color w:val="000000"/>
          <w:sz w:val="24"/>
          <w:szCs w:val="24"/>
          <w:lang w:val="bg-BG"/>
        </w:rPr>
        <w:t xml:space="preserve"> признава на ЕСО ЕАД разходи за закупуване на разполагаемост за студен резерв и за допълнителни услуги,  които определят праг на цената на разполагаема мощност (10 лв/МВтч) и праг на количеството разполагаемост за резерв и допълнителни услуги, значително по-ниски спрямо утвърдените от КЕВР цена и количество за разполагаема мощност на „ТЕЦ Марица изток 2“ ЕАД. ЕСО ЕАД обявява търгове за студен резерв, на които дружеството редовно участва, но е декласирано, поради факта, че не може да удовлетвори изискването за цена по-ниска от 10 лв/МВтч, тъй като регулираната цена за разполагаемост на „ТЕЦ Марица изток 2“ ЕАД е над 24 лв/МВтч. </w:t>
      </w:r>
    </w:p>
    <w:p w:rsidR="00F025E3" w:rsidRPr="00EE7241" w:rsidRDefault="00F025E3" w:rsidP="00E951BB">
      <w:pPr>
        <w:tabs>
          <w:tab w:val="num" w:pos="520"/>
        </w:tabs>
        <w:suppressAutoHyphens/>
        <w:ind w:firstLine="720"/>
        <w:jc w:val="both"/>
        <w:rPr>
          <w:sz w:val="24"/>
          <w:szCs w:val="24"/>
          <w:lang w:val="bg-BG"/>
        </w:rPr>
      </w:pPr>
      <w:r w:rsidRPr="00EE7241">
        <w:rPr>
          <w:sz w:val="24"/>
          <w:szCs w:val="24"/>
          <w:lang w:val="ru-RU"/>
        </w:rPr>
        <w:t xml:space="preserve">С писмо наш изх. №2524/23.01.2015 г. до „ЕСО”ЕАД и с копие до КЕВР беше поискано  съдействие от КЕВР относно възможността Дружеството да бъде допуснато да участва в обявената тръжна процедура за предоставяне на нетна разполагаема мощност за студен резерв за периода от 01.02.2015 до 31.03.2015 г. с цена в размер на 24,13 лв./Мвтч. Своевременно беше получен отговор от страна на </w:t>
      </w:r>
      <w:r w:rsidRPr="00EE7241">
        <w:rPr>
          <w:sz w:val="24"/>
          <w:szCs w:val="24"/>
          <w:lang w:val="bg-BG"/>
        </w:rPr>
        <w:t>(</w:t>
      </w:r>
      <w:r w:rsidRPr="00EE7241">
        <w:rPr>
          <w:sz w:val="24"/>
          <w:szCs w:val="24"/>
          <w:lang w:val="ru-RU"/>
        </w:rPr>
        <w:t>Д</w:t>
      </w:r>
      <w:r w:rsidRPr="00EE7241">
        <w:rPr>
          <w:sz w:val="24"/>
          <w:szCs w:val="24"/>
          <w:lang w:val="bg-BG"/>
        </w:rPr>
        <w:t>)</w:t>
      </w:r>
      <w:r w:rsidRPr="00EE7241">
        <w:rPr>
          <w:sz w:val="24"/>
          <w:szCs w:val="24"/>
          <w:lang w:val="ru-RU"/>
        </w:rPr>
        <w:t>КЕВР съгласно писмо изх.№ Е-13-12-2/27.01.2015 г., според ко</w:t>
      </w:r>
      <w:r w:rsidRPr="00EE7241">
        <w:rPr>
          <w:sz w:val="24"/>
          <w:szCs w:val="24"/>
          <w:lang w:val="bg-BG"/>
        </w:rPr>
        <w:t>е</w:t>
      </w:r>
      <w:r w:rsidRPr="00EE7241">
        <w:rPr>
          <w:sz w:val="24"/>
          <w:szCs w:val="24"/>
          <w:lang w:val="ru-RU"/>
        </w:rPr>
        <w:t xml:space="preserve">то „ЕСО”ЕАД не следва  да декласира участници с предложения, надхвърлящи 10 лв./Мвтч и централите които ще участват в тръжните процедури за студен резерв да съобразяват предложенията си с пазарните условия, като предлагат конкурентни цени. След проведен търг на 28.03.2016 г. беше сключен договор № </w:t>
      </w:r>
      <w:r w:rsidRPr="00EE7241">
        <w:rPr>
          <w:sz w:val="24"/>
          <w:szCs w:val="24"/>
        </w:rPr>
        <w:t>DDE</w:t>
      </w:r>
      <w:r w:rsidRPr="00EE7241">
        <w:rPr>
          <w:sz w:val="24"/>
          <w:szCs w:val="24"/>
          <w:lang w:val="ru-RU"/>
        </w:rPr>
        <w:t>-005/31.03.2016 г. с „ЕСО”</w:t>
      </w:r>
      <w:r>
        <w:rPr>
          <w:sz w:val="24"/>
          <w:szCs w:val="24"/>
          <w:lang w:val="en-US"/>
        </w:rPr>
        <w:t xml:space="preserve"> </w:t>
      </w:r>
      <w:r w:rsidRPr="00EE7241">
        <w:rPr>
          <w:sz w:val="24"/>
          <w:szCs w:val="24"/>
          <w:lang w:val="ru-RU"/>
        </w:rPr>
        <w:t>ЕАД за продажба на 418</w:t>
      </w:r>
      <w:r w:rsidRPr="00EE7241">
        <w:rPr>
          <w:sz w:val="24"/>
          <w:szCs w:val="24"/>
        </w:rPr>
        <w:t> </w:t>
      </w:r>
      <w:r w:rsidRPr="00EE7241">
        <w:rPr>
          <w:sz w:val="24"/>
          <w:szCs w:val="24"/>
          <w:lang w:val="bg-BG"/>
        </w:rPr>
        <w:t>704</w:t>
      </w:r>
      <w:r w:rsidRPr="00EE7241">
        <w:rPr>
          <w:sz w:val="24"/>
          <w:szCs w:val="24"/>
          <w:lang w:val="ru-RU"/>
        </w:rPr>
        <w:t xml:space="preserve"> Мвтч  студен резерв при цена от 9,17 лв./Мвтч за периода от 01.04.2016  до 31.07.2016 г.</w:t>
      </w:r>
    </w:p>
    <w:p w:rsidR="00F025E3" w:rsidRPr="00EE7241" w:rsidRDefault="00F025E3" w:rsidP="002F0C75">
      <w:pPr>
        <w:ind w:right="44" w:firstLine="720"/>
        <w:jc w:val="both"/>
        <w:rPr>
          <w:color w:val="000000"/>
          <w:sz w:val="24"/>
          <w:szCs w:val="24"/>
          <w:lang w:val="bg-BG"/>
        </w:rPr>
      </w:pPr>
      <w:r w:rsidRPr="00EE7241">
        <w:rPr>
          <w:color w:val="000000"/>
          <w:sz w:val="24"/>
          <w:szCs w:val="24"/>
          <w:lang w:val="bg-BG"/>
        </w:rPr>
        <w:t xml:space="preserve">На основание чл.129 ал.3 и чл.131 ал.4 от Правилата за търговия с електрическа енергия дружеството е задължено да осигури разполагаемост за допълнителни услуги от работещи блокове (първично и вторично регулиране на мощността), които продава на ЕСО-ЕАД, съгласно сключен „Договор за достъп, предоставяне на допълнителни услуги и участие в пазара на балансираща енергия“ от 30.01.2014 г. по цена 10 лв/МВтч. Тази цена е договорена предвид решенията на КЕВР за по-ниски разходи на оператора, но не може да компенсира съответните разходи на „ТЕЦ Марица изток 2“ ЕАД за поддържането на резерви от мощност или ако дружеството продаде количествата на свободния пазар. </w:t>
      </w:r>
    </w:p>
    <w:p w:rsidR="00F025E3" w:rsidRPr="00EE7241" w:rsidRDefault="00F025E3" w:rsidP="00BD4909">
      <w:pPr>
        <w:ind w:right="44" w:firstLine="709"/>
        <w:jc w:val="both"/>
        <w:rPr>
          <w:sz w:val="24"/>
          <w:szCs w:val="24"/>
          <w:lang w:val="bg-BG"/>
        </w:rPr>
      </w:pPr>
      <w:r w:rsidRPr="00EE7241">
        <w:rPr>
          <w:b/>
          <w:bCs/>
          <w:sz w:val="24"/>
          <w:szCs w:val="24"/>
          <w:lang w:val="ru-RU"/>
        </w:rPr>
        <w:t>Към 30.</w:t>
      </w:r>
      <w:r w:rsidRPr="00EE7241">
        <w:rPr>
          <w:b/>
          <w:bCs/>
          <w:sz w:val="24"/>
          <w:szCs w:val="24"/>
          <w:lang w:val="en-US"/>
        </w:rPr>
        <w:t>0</w:t>
      </w:r>
      <w:r w:rsidRPr="00EE7241">
        <w:rPr>
          <w:b/>
          <w:bCs/>
          <w:sz w:val="24"/>
          <w:szCs w:val="24"/>
          <w:lang w:val="bg-BG"/>
        </w:rPr>
        <w:t>6</w:t>
      </w:r>
      <w:r w:rsidRPr="00EE7241">
        <w:rPr>
          <w:b/>
          <w:bCs/>
          <w:sz w:val="24"/>
          <w:szCs w:val="24"/>
          <w:lang w:val="ru-RU"/>
        </w:rPr>
        <w:t>.201</w:t>
      </w:r>
      <w:r w:rsidRPr="00EE7241">
        <w:rPr>
          <w:b/>
          <w:bCs/>
          <w:sz w:val="24"/>
          <w:szCs w:val="24"/>
          <w:lang w:val="en-US"/>
        </w:rPr>
        <w:t>6</w:t>
      </w:r>
      <w:r w:rsidRPr="00EE7241">
        <w:rPr>
          <w:b/>
          <w:bCs/>
          <w:sz w:val="24"/>
          <w:szCs w:val="24"/>
          <w:lang w:val="ru-RU"/>
        </w:rPr>
        <w:t xml:space="preserve"> г. „ТЕЦ Марица изток 2” ЕАД отчита отрицателен финансов резултат </w:t>
      </w:r>
      <w:r>
        <w:rPr>
          <w:b/>
          <w:bCs/>
          <w:sz w:val="24"/>
          <w:szCs w:val="24"/>
          <w:lang w:val="bg-BG"/>
        </w:rPr>
        <w:t xml:space="preserve">- </w:t>
      </w:r>
      <w:r w:rsidRPr="00EE7241">
        <w:rPr>
          <w:b/>
          <w:bCs/>
          <w:sz w:val="24"/>
          <w:szCs w:val="24"/>
          <w:lang w:val="ru-RU"/>
        </w:rPr>
        <w:t>загуба</w:t>
      </w:r>
      <w:r w:rsidRPr="00EE7241">
        <w:rPr>
          <w:b/>
          <w:bCs/>
          <w:sz w:val="24"/>
          <w:szCs w:val="24"/>
          <w:lang w:val="bg-BG"/>
        </w:rPr>
        <w:t xml:space="preserve"> преди данъци</w:t>
      </w:r>
      <w:r w:rsidRPr="00EE7241">
        <w:rPr>
          <w:b/>
          <w:bCs/>
          <w:sz w:val="24"/>
          <w:szCs w:val="24"/>
          <w:lang w:val="ru-RU"/>
        </w:rPr>
        <w:t xml:space="preserve"> в размер на 51</w:t>
      </w:r>
      <w:r w:rsidRPr="00EE7241">
        <w:rPr>
          <w:b/>
          <w:bCs/>
          <w:sz w:val="24"/>
          <w:szCs w:val="24"/>
          <w:lang w:val="bg-BG"/>
        </w:rPr>
        <w:t>069</w:t>
      </w:r>
      <w:r w:rsidRPr="00EE7241">
        <w:rPr>
          <w:b/>
          <w:bCs/>
          <w:sz w:val="24"/>
          <w:szCs w:val="24"/>
          <w:lang w:val="ru-RU"/>
        </w:rPr>
        <w:t xml:space="preserve"> хил.лв</w:t>
      </w:r>
      <w:r w:rsidRPr="00EE7241">
        <w:rPr>
          <w:b/>
          <w:bCs/>
          <w:sz w:val="24"/>
          <w:szCs w:val="24"/>
          <w:lang w:val="bg-BG"/>
        </w:rPr>
        <w:t>.</w:t>
      </w:r>
      <w:r w:rsidRPr="00EE7241">
        <w:rPr>
          <w:sz w:val="24"/>
          <w:szCs w:val="24"/>
          <w:lang w:val="bg-BG"/>
        </w:rPr>
        <w:t xml:space="preserve"> която е с 18 328 хил.лв. по-</w:t>
      </w:r>
      <w:r w:rsidRPr="00EE7241">
        <w:rPr>
          <w:sz w:val="24"/>
          <w:szCs w:val="24"/>
          <w:lang w:val="ru-RU"/>
        </w:rPr>
        <w:t>голяма</w:t>
      </w:r>
      <w:r w:rsidRPr="00EE7241">
        <w:rPr>
          <w:sz w:val="24"/>
          <w:szCs w:val="24"/>
          <w:lang w:val="bg-BG"/>
        </w:rPr>
        <w:t xml:space="preserve"> спрямо отчетената загуба преди данъци 32 741 хил.лв. към 30.06.2015 г. Основните причини за отрицателния финансов резултат са свързани с редица регулаторни и нормативни промени в бизнес средата за периода 2012 – 2015 г., най-съществените от които са на </w:t>
      </w:r>
      <w:r w:rsidRPr="00EE7241">
        <w:rPr>
          <w:sz w:val="24"/>
          <w:szCs w:val="24"/>
          <w:lang w:val="ru-RU"/>
        </w:rPr>
        <w:t xml:space="preserve">силно намалелите приходи на дружеството от предоставяне на разполагаема мощност на </w:t>
      </w:r>
      <w:r w:rsidRPr="00EE7241">
        <w:rPr>
          <w:sz w:val="24"/>
          <w:szCs w:val="24"/>
          <w:lang w:val="bg-BG"/>
        </w:rPr>
        <w:t>ЕСО, непрекъснато увеличаващите се променливи разходи на дружеството</w:t>
      </w:r>
      <w:r>
        <w:rPr>
          <w:sz w:val="24"/>
          <w:szCs w:val="24"/>
          <w:lang w:val="bg-BG"/>
        </w:rPr>
        <w:t>, както и</w:t>
      </w:r>
      <w:r>
        <w:rPr>
          <w:sz w:val="24"/>
          <w:szCs w:val="24"/>
          <w:lang w:val="en-US"/>
        </w:rPr>
        <w:t xml:space="preserve"> </w:t>
      </w:r>
      <w:r w:rsidRPr="00EE7241">
        <w:rPr>
          <w:sz w:val="24"/>
          <w:szCs w:val="24"/>
          <w:lang w:val="bg-BG"/>
        </w:rPr>
        <w:t>отчетените отрицателни курсови разлики от преоценка на валутни салда в японски йени</w:t>
      </w:r>
      <w:r>
        <w:rPr>
          <w:sz w:val="24"/>
          <w:szCs w:val="24"/>
          <w:lang w:val="bg-BG"/>
        </w:rPr>
        <w:t>.</w:t>
      </w:r>
      <w:r w:rsidRPr="00EE7241">
        <w:rPr>
          <w:sz w:val="24"/>
          <w:szCs w:val="24"/>
          <w:lang w:val="bg-BG"/>
        </w:rPr>
        <w:t>.</w:t>
      </w:r>
    </w:p>
    <w:p w:rsidR="00F025E3" w:rsidRPr="00EE7241" w:rsidRDefault="00F025E3" w:rsidP="00780D85">
      <w:pPr>
        <w:pStyle w:val="BodyTextIndent"/>
        <w:ind w:left="0" w:right="44"/>
        <w:jc w:val="both"/>
        <w:rPr>
          <w:sz w:val="24"/>
          <w:szCs w:val="24"/>
          <w:lang w:val="bg-BG"/>
        </w:rPr>
      </w:pPr>
    </w:p>
    <w:p w:rsidR="00F025E3" w:rsidRPr="00EE7241" w:rsidRDefault="00F025E3" w:rsidP="00780D85">
      <w:pPr>
        <w:pStyle w:val="BodyTextIndent"/>
        <w:ind w:left="0" w:right="44"/>
        <w:jc w:val="both"/>
        <w:rPr>
          <w:sz w:val="24"/>
          <w:szCs w:val="24"/>
          <w:lang w:val="bg-BG"/>
        </w:rPr>
      </w:pPr>
      <w:r w:rsidRPr="00EE7241">
        <w:rPr>
          <w:sz w:val="24"/>
          <w:szCs w:val="24"/>
          <w:lang w:val="bg-BG"/>
        </w:rPr>
        <w:tab/>
      </w:r>
    </w:p>
    <w:p w:rsidR="00F025E3" w:rsidRPr="00EE7241" w:rsidRDefault="00F025E3" w:rsidP="00780D85">
      <w:pPr>
        <w:pStyle w:val="BodyTextIndent"/>
        <w:ind w:left="0" w:right="44"/>
        <w:jc w:val="both"/>
        <w:rPr>
          <w:b/>
          <w:bCs/>
          <w:sz w:val="24"/>
          <w:szCs w:val="24"/>
          <w:u w:val="single"/>
          <w:lang w:val="ru-RU"/>
        </w:rPr>
      </w:pPr>
      <w:r w:rsidRPr="00EE7241">
        <w:rPr>
          <w:b/>
          <w:bCs/>
          <w:sz w:val="24"/>
          <w:szCs w:val="24"/>
          <w:u w:val="single"/>
          <w:lang w:val="bg-BG"/>
        </w:rPr>
        <w:t>Разходи</w:t>
      </w:r>
    </w:p>
    <w:p w:rsidR="00F025E3" w:rsidRPr="00EE7241" w:rsidRDefault="00F025E3" w:rsidP="00780D85">
      <w:pPr>
        <w:ind w:right="44"/>
        <w:jc w:val="center"/>
        <w:rPr>
          <w:b/>
          <w:bCs/>
          <w:i/>
          <w:iCs/>
          <w:sz w:val="24"/>
          <w:szCs w:val="24"/>
          <w:lang w:val="bg-BG"/>
        </w:rPr>
      </w:pPr>
    </w:p>
    <w:p w:rsidR="00F025E3" w:rsidRPr="00EE7241" w:rsidRDefault="00F025E3" w:rsidP="00780D85">
      <w:pPr>
        <w:ind w:right="44"/>
        <w:jc w:val="center"/>
        <w:rPr>
          <w:b/>
          <w:bCs/>
          <w:i/>
          <w:iCs/>
          <w:sz w:val="24"/>
          <w:szCs w:val="24"/>
          <w:lang w:val="bg-BG"/>
        </w:rPr>
      </w:pPr>
    </w:p>
    <w:p w:rsidR="00F025E3" w:rsidRPr="00EE7241" w:rsidRDefault="00F025E3" w:rsidP="00780D85">
      <w:pPr>
        <w:ind w:right="44"/>
        <w:jc w:val="center"/>
        <w:rPr>
          <w:b/>
          <w:bCs/>
          <w:i/>
          <w:iCs/>
          <w:sz w:val="24"/>
          <w:szCs w:val="24"/>
          <w:lang w:val="ru-RU"/>
        </w:rPr>
      </w:pPr>
      <w:r w:rsidRPr="00EE7241">
        <w:rPr>
          <w:b/>
          <w:bCs/>
          <w:i/>
          <w:iCs/>
          <w:sz w:val="24"/>
          <w:szCs w:val="24"/>
          <w:lang w:val="bg-BG"/>
        </w:rPr>
        <w:t>Справка за разходите по икономически елементи  към 30.06.2016</w:t>
      </w:r>
      <w:r w:rsidRPr="00EE7241">
        <w:rPr>
          <w:b/>
          <w:bCs/>
          <w:i/>
          <w:iCs/>
          <w:sz w:val="24"/>
          <w:szCs w:val="24"/>
          <w:lang w:val="ru-RU"/>
        </w:rPr>
        <w:t xml:space="preserve"> и 30.06.</w:t>
      </w:r>
      <w:r w:rsidRPr="00EE7241">
        <w:rPr>
          <w:b/>
          <w:bCs/>
          <w:i/>
          <w:iCs/>
          <w:sz w:val="24"/>
          <w:szCs w:val="24"/>
          <w:lang w:val="bg-BG"/>
        </w:rPr>
        <w:t>2015</w:t>
      </w:r>
      <w:r w:rsidRPr="00EE7241">
        <w:rPr>
          <w:b/>
          <w:bCs/>
          <w:i/>
          <w:iCs/>
          <w:sz w:val="24"/>
          <w:szCs w:val="24"/>
          <w:lang w:val="ru-RU"/>
        </w:rPr>
        <w:t xml:space="preserve"> г.</w:t>
      </w:r>
    </w:p>
    <w:p w:rsidR="00F025E3" w:rsidRPr="00EE7241" w:rsidRDefault="00F025E3" w:rsidP="00780D85">
      <w:pPr>
        <w:ind w:right="44"/>
        <w:jc w:val="center"/>
        <w:rPr>
          <w:b/>
          <w:bCs/>
          <w:i/>
          <w:iCs/>
          <w:sz w:val="24"/>
          <w:szCs w:val="24"/>
          <w:lang w:val="ru-RU"/>
        </w:rPr>
      </w:pPr>
    </w:p>
    <w:tbl>
      <w:tblPr>
        <w:tblW w:w="9734"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740"/>
        <w:gridCol w:w="2467"/>
        <w:gridCol w:w="2527"/>
      </w:tblGrid>
      <w:tr w:rsidR="00F025E3" w:rsidRPr="00EE7241">
        <w:trPr>
          <w:trHeight w:val="303"/>
        </w:trPr>
        <w:tc>
          <w:tcPr>
            <w:tcW w:w="4740" w:type="dxa"/>
            <w:shd w:val="clear" w:color="auto" w:fill="A6A6A6"/>
            <w:noWrap/>
            <w:vAlign w:val="bottom"/>
          </w:tcPr>
          <w:p w:rsidR="00F025E3" w:rsidRPr="00EE7241" w:rsidRDefault="00F025E3" w:rsidP="00FD7D77">
            <w:pPr>
              <w:widowControl w:val="0"/>
              <w:jc w:val="center"/>
              <w:rPr>
                <w:b/>
                <w:bCs/>
                <w:sz w:val="24"/>
                <w:szCs w:val="24"/>
                <w:lang w:val="ru-RU"/>
              </w:rPr>
            </w:pPr>
            <w:r w:rsidRPr="00EE7241">
              <w:rPr>
                <w:b/>
                <w:bCs/>
                <w:sz w:val="24"/>
                <w:szCs w:val="24"/>
                <w:lang w:val="ru-RU"/>
              </w:rPr>
              <w:t>Наименование</w:t>
            </w:r>
          </w:p>
        </w:tc>
        <w:tc>
          <w:tcPr>
            <w:tcW w:w="2467" w:type="dxa"/>
            <w:shd w:val="clear" w:color="auto" w:fill="A6A6A6"/>
            <w:vAlign w:val="bottom"/>
          </w:tcPr>
          <w:p w:rsidR="00F025E3" w:rsidRPr="00EE7241" w:rsidRDefault="00F025E3" w:rsidP="00FD7D77">
            <w:pPr>
              <w:widowControl w:val="0"/>
              <w:jc w:val="center"/>
              <w:rPr>
                <w:b/>
                <w:bCs/>
                <w:sz w:val="24"/>
                <w:szCs w:val="24"/>
                <w:lang w:val="ru-RU"/>
              </w:rPr>
            </w:pPr>
            <w:r w:rsidRPr="00EE7241">
              <w:rPr>
                <w:b/>
                <w:bCs/>
                <w:sz w:val="24"/>
                <w:szCs w:val="24"/>
                <w:lang w:val="bg-BG"/>
              </w:rPr>
              <w:t>30.06</w:t>
            </w:r>
            <w:r w:rsidRPr="00EE7241">
              <w:rPr>
                <w:b/>
                <w:bCs/>
                <w:sz w:val="24"/>
                <w:szCs w:val="24"/>
                <w:lang w:val="ru-RU"/>
              </w:rPr>
              <w:t>.2016</w:t>
            </w:r>
          </w:p>
          <w:p w:rsidR="00F025E3" w:rsidRPr="00EE7241" w:rsidRDefault="00F025E3" w:rsidP="00FD7D77">
            <w:pPr>
              <w:widowControl w:val="0"/>
              <w:jc w:val="center"/>
              <w:rPr>
                <w:b/>
                <w:bCs/>
                <w:sz w:val="24"/>
                <w:szCs w:val="24"/>
                <w:lang w:val="en-US"/>
              </w:rPr>
            </w:pPr>
            <w:r w:rsidRPr="00EE7241">
              <w:rPr>
                <w:b/>
                <w:bCs/>
                <w:sz w:val="24"/>
                <w:szCs w:val="24"/>
                <w:lang w:val="ru-RU"/>
              </w:rPr>
              <w:t xml:space="preserve">(в </w:t>
            </w:r>
            <w:r w:rsidRPr="00EE7241">
              <w:rPr>
                <w:b/>
                <w:bCs/>
                <w:sz w:val="24"/>
                <w:szCs w:val="24"/>
                <w:lang w:val="bg-BG"/>
              </w:rPr>
              <w:t>хил</w:t>
            </w:r>
            <w:r w:rsidRPr="00EE7241">
              <w:rPr>
                <w:b/>
                <w:bCs/>
                <w:sz w:val="24"/>
                <w:szCs w:val="24"/>
                <w:lang w:val="ru-RU"/>
              </w:rPr>
              <w:t>.л</w:t>
            </w:r>
            <w:r w:rsidRPr="00EE7241">
              <w:rPr>
                <w:b/>
                <w:bCs/>
                <w:sz w:val="24"/>
                <w:szCs w:val="24"/>
              </w:rPr>
              <w:t>в)</w:t>
            </w:r>
          </w:p>
        </w:tc>
        <w:tc>
          <w:tcPr>
            <w:tcW w:w="2527" w:type="dxa"/>
            <w:shd w:val="clear" w:color="auto" w:fill="A6A6A6"/>
            <w:vAlign w:val="bottom"/>
          </w:tcPr>
          <w:p w:rsidR="00F025E3" w:rsidRPr="00EE7241" w:rsidRDefault="00F025E3" w:rsidP="00FD7D77">
            <w:pPr>
              <w:widowControl w:val="0"/>
              <w:jc w:val="center"/>
              <w:rPr>
                <w:b/>
                <w:bCs/>
                <w:sz w:val="24"/>
                <w:szCs w:val="24"/>
                <w:lang w:val="ru-RU"/>
              </w:rPr>
            </w:pPr>
            <w:r w:rsidRPr="00EE7241">
              <w:rPr>
                <w:b/>
                <w:bCs/>
                <w:sz w:val="24"/>
                <w:szCs w:val="24"/>
                <w:lang w:val="ru-RU"/>
              </w:rPr>
              <w:t>30.06.2015</w:t>
            </w:r>
          </w:p>
          <w:p w:rsidR="00F025E3" w:rsidRPr="00EE7241" w:rsidRDefault="00F025E3" w:rsidP="00FD7D77">
            <w:pPr>
              <w:widowControl w:val="0"/>
              <w:jc w:val="center"/>
              <w:rPr>
                <w:b/>
                <w:bCs/>
                <w:sz w:val="24"/>
                <w:szCs w:val="24"/>
                <w:lang w:val="en-US"/>
              </w:rPr>
            </w:pPr>
            <w:r w:rsidRPr="00EE7241">
              <w:rPr>
                <w:b/>
                <w:bCs/>
                <w:sz w:val="24"/>
                <w:szCs w:val="24"/>
              </w:rPr>
              <w:t xml:space="preserve">(в </w:t>
            </w:r>
            <w:r w:rsidRPr="00EE7241">
              <w:rPr>
                <w:b/>
                <w:bCs/>
                <w:sz w:val="24"/>
                <w:szCs w:val="24"/>
                <w:lang w:val="bg-BG"/>
              </w:rPr>
              <w:t>хил</w:t>
            </w:r>
            <w:r w:rsidRPr="00EE7241">
              <w:rPr>
                <w:b/>
                <w:bCs/>
                <w:sz w:val="24"/>
                <w:szCs w:val="24"/>
              </w:rPr>
              <w:t>.лв.)</w:t>
            </w:r>
          </w:p>
        </w:tc>
      </w:tr>
      <w:tr w:rsidR="00F025E3" w:rsidRPr="00EE7241">
        <w:trPr>
          <w:trHeight w:val="315"/>
        </w:trPr>
        <w:tc>
          <w:tcPr>
            <w:tcW w:w="4740" w:type="dxa"/>
          </w:tcPr>
          <w:p w:rsidR="00F025E3" w:rsidRPr="00EE7241" w:rsidRDefault="00F025E3" w:rsidP="00FD7D77">
            <w:pPr>
              <w:widowControl w:val="0"/>
              <w:jc w:val="both"/>
              <w:rPr>
                <w:i/>
                <w:iCs/>
                <w:sz w:val="24"/>
                <w:szCs w:val="24"/>
                <w:lang w:val="en-US"/>
              </w:rPr>
            </w:pPr>
            <w:r w:rsidRPr="00EE7241">
              <w:rPr>
                <w:i/>
                <w:iCs/>
                <w:sz w:val="24"/>
                <w:szCs w:val="24"/>
              </w:rPr>
              <w:t>Гориво</w:t>
            </w:r>
          </w:p>
        </w:tc>
        <w:tc>
          <w:tcPr>
            <w:tcW w:w="2467" w:type="dxa"/>
            <w:vAlign w:val="bottom"/>
          </w:tcPr>
          <w:p w:rsidR="00F025E3" w:rsidRPr="00EE7241" w:rsidRDefault="00F025E3" w:rsidP="00A55480">
            <w:pPr>
              <w:widowControl w:val="0"/>
              <w:jc w:val="center"/>
              <w:rPr>
                <w:i/>
                <w:iCs/>
                <w:sz w:val="24"/>
                <w:szCs w:val="24"/>
                <w:lang w:val="bg-BG"/>
              </w:rPr>
            </w:pPr>
            <w:r w:rsidRPr="00EE7241">
              <w:rPr>
                <w:i/>
                <w:iCs/>
                <w:sz w:val="24"/>
                <w:szCs w:val="24"/>
                <w:lang w:val="bg-BG"/>
              </w:rPr>
              <w:t>119359</w:t>
            </w:r>
          </w:p>
        </w:tc>
        <w:tc>
          <w:tcPr>
            <w:tcW w:w="2527" w:type="dxa"/>
            <w:vAlign w:val="bottom"/>
          </w:tcPr>
          <w:p w:rsidR="00F025E3" w:rsidRPr="00EE7241" w:rsidRDefault="00F025E3" w:rsidP="00630B76">
            <w:pPr>
              <w:widowControl w:val="0"/>
              <w:jc w:val="center"/>
              <w:rPr>
                <w:i/>
                <w:iCs/>
                <w:sz w:val="24"/>
                <w:szCs w:val="24"/>
                <w:lang w:val="en-US"/>
              </w:rPr>
            </w:pPr>
            <w:r w:rsidRPr="00EE7241">
              <w:rPr>
                <w:i/>
                <w:iCs/>
                <w:sz w:val="24"/>
                <w:szCs w:val="24"/>
                <w:lang w:val="bg-BG"/>
              </w:rPr>
              <w:t>129824</w:t>
            </w:r>
          </w:p>
        </w:tc>
      </w:tr>
      <w:tr w:rsidR="00F025E3" w:rsidRPr="00EE7241">
        <w:trPr>
          <w:trHeight w:val="315"/>
        </w:trPr>
        <w:tc>
          <w:tcPr>
            <w:tcW w:w="4740" w:type="dxa"/>
          </w:tcPr>
          <w:p w:rsidR="00F025E3" w:rsidRPr="00EE7241" w:rsidRDefault="00F025E3" w:rsidP="00FD7D77">
            <w:pPr>
              <w:widowControl w:val="0"/>
              <w:jc w:val="both"/>
              <w:rPr>
                <w:i/>
                <w:iCs/>
                <w:sz w:val="24"/>
                <w:szCs w:val="24"/>
                <w:lang w:val="en-US"/>
              </w:rPr>
            </w:pPr>
            <w:r w:rsidRPr="00EE7241">
              <w:rPr>
                <w:i/>
                <w:iCs/>
                <w:sz w:val="24"/>
                <w:szCs w:val="24"/>
                <w:lang w:val="bg-BG"/>
              </w:rPr>
              <w:t>Други м</w:t>
            </w:r>
            <w:r w:rsidRPr="00EE7241">
              <w:rPr>
                <w:i/>
                <w:iCs/>
                <w:sz w:val="24"/>
                <w:szCs w:val="24"/>
              </w:rPr>
              <w:t>атериали</w:t>
            </w:r>
          </w:p>
        </w:tc>
        <w:tc>
          <w:tcPr>
            <w:tcW w:w="2467" w:type="dxa"/>
            <w:vAlign w:val="bottom"/>
          </w:tcPr>
          <w:p w:rsidR="00F025E3" w:rsidRPr="00EE7241" w:rsidRDefault="00F025E3" w:rsidP="00A55480">
            <w:pPr>
              <w:widowControl w:val="0"/>
              <w:jc w:val="center"/>
              <w:rPr>
                <w:i/>
                <w:iCs/>
                <w:sz w:val="24"/>
                <w:szCs w:val="24"/>
                <w:lang w:val="bg-BG"/>
              </w:rPr>
            </w:pPr>
            <w:r w:rsidRPr="00EE7241">
              <w:rPr>
                <w:i/>
                <w:iCs/>
                <w:sz w:val="24"/>
                <w:szCs w:val="24"/>
                <w:lang w:val="bg-BG"/>
              </w:rPr>
              <w:t>22769</w:t>
            </w:r>
          </w:p>
        </w:tc>
        <w:tc>
          <w:tcPr>
            <w:tcW w:w="2527" w:type="dxa"/>
            <w:vAlign w:val="bottom"/>
          </w:tcPr>
          <w:p w:rsidR="00F025E3" w:rsidRPr="00EE7241" w:rsidRDefault="00F025E3" w:rsidP="00630B76">
            <w:pPr>
              <w:widowControl w:val="0"/>
              <w:jc w:val="center"/>
              <w:rPr>
                <w:i/>
                <w:iCs/>
                <w:sz w:val="24"/>
                <w:szCs w:val="24"/>
                <w:lang w:val="en-US"/>
              </w:rPr>
            </w:pPr>
            <w:r w:rsidRPr="00EE7241">
              <w:rPr>
                <w:i/>
                <w:iCs/>
                <w:sz w:val="24"/>
                <w:szCs w:val="24"/>
                <w:lang w:val="bg-BG"/>
              </w:rPr>
              <w:t>19744</w:t>
            </w:r>
          </w:p>
        </w:tc>
      </w:tr>
      <w:tr w:rsidR="00F025E3" w:rsidRPr="00EE7241">
        <w:trPr>
          <w:trHeight w:val="315"/>
        </w:trPr>
        <w:tc>
          <w:tcPr>
            <w:tcW w:w="4740" w:type="dxa"/>
          </w:tcPr>
          <w:p w:rsidR="00F025E3" w:rsidRPr="00EE7241" w:rsidRDefault="00F025E3" w:rsidP="00FD7D77">
            <w:pPr>
              <w:widowControl w:val="0"/>
              <w:jc w:val="both"/>
              <w:rPr>
                <w:i/>
                <w:iCs/>
                <w:sz w:val="24"/>
                <w:szCs w:val="24"/>
                <w:lang w:val="en-US"/>
              </w:rPr>
            </w:pPr>
            <w:r w:rsidRPr="00EE7241">
              <w:rPr>
                <w:i/>
                <w:iCs/>
                <w:sz w:val="24"/>
                <w:szCs w:val="24"/>
              </w:rPr>
              <w:t>Външни услуги</w:t>
            </w:r>
          </w:p>
        </w:tc>
        <w:tc>
          <w:tcPr>
            <w:tcW w:w="2467" w:type="dxa"/>
            <w:vAlign w:val="bottom"/>
          </w:tcPr>
          <w:p w:rsidR="00F025E3" w:rsidRPr="00EE7241" w:rsidRDefault="00F025E3" w:rsidP="00A55480">
            <w:pPr>
              <w:widowControl w:val="0"/>
              <w:jc w:val="center"/>
              <w:rPr>
                <w:i/>
                <w:iCs/>
                <w:sz w:val="24"/>
                <w:szCs w:val="24"/>
                <w:lang w:val="en-US"/>
              </w:rPr>
            </w:pPr>
            <w:r w:rsidRPr="00EE7241">
              <w:rPr>
                <w:i/>
                <w:iCs/>
                <w:sz w:val="24"/>
                <w:szCs w:val="24"/>
                <w:lang w:val="bg-BG"/>
              </w:rPr>
              <w:t>18310</w:t>
            </w:r>
          </w:p>
        </w:tc>
        <w:tc>
          <w:tcPr>
            <w:tcW w:w="2527" w:type="dxa"/>
            <w:vAlign w:val="bottom"/>
          </w:tcPr>
          <w:p w:rsidR="00F025E3" w:rsidRPr="00EE7241" w:rsidRDefault="00F025E3" w:rsidP="00630B76">
            <w:pPr>
              <w:widowControl w:val="0"/>
              <w:jc w:val="center"/>
              <w:rPr>
                <w:i/>
                <w:iCs/>
                <w:sz w:val="24"/>
                <w:szCs w:val="24"/>
                <w:lang w:val="en-US"/>
              </w:rPr>
            </w:pPr>
            <w:r w:rsidRPr="00EE7241">
              <w:rPr>
                <w:i/>
                <w:iCs/>
                <w:sz w:val="24"/>
                <w:szCs w:val="24"/>
                <w:lang w:val="bg-BG"/>
              </w:rPr>
              <w:t>13187</w:t>
            </w:r>
          </w:p>
        </w:tc>
      </w:tr>
      <w:tr w:rsidR="00F025E3" w:rsidRPr="00EE7241">
        <w:trPr>
          <w:trHeight w:val="315"/>
        </w:trPr>
        <w:tc>
          <w:tcPr>
            <w:tcW w:w="4740" w:type="dxa"/>
          </w:tcPr>
          <w:p w:rsidR="00F025E3" w:rsidRPr="00EE7241" w:rsidRDefault="00F025E3" w:rsidP="00FD7D77">
            <w:pPr>
              <w:widowControl w:val="0"/>
              <w:jc w:val="both"/>
              <w:rPr>
                <w:i/>
                <w:iCs/>
                <w:sz w:val="24"/>
                <w:szCs w:val="24"/>
                <w:lang w:val="bg-BG"/>
              </w:rPr>
            </w:pPr>
            <w:r w:rsidRPr="00EE7241">
              <w:rPr>
                <w:i/>
                <w:iCs/>
                <w:sz w:val="24"/>
                <w:szCs w:val="24"/>
                <w:lang w:val="bg-BG"/>
              </w:rPr>
              <w:t>Разходи за а</w:t>
            </w:r>
            <w:r w:rsidRPr="00EE7241">
              <w:rPr>
                <w:i/>
                <w:iCs/>
                <w:sz w:val="24"/>
                <w:szCs w:val="24"/>
                <w:lang w:val="ru-RU"/>
              </w:rPr>
              <w:t>мортизации</w:t>
            </w:r>
          </w:p>
        </w:tc>
        <w:tc>
          <w:tcPr>
            <w:tcW w:w="2467" w:type="dxa"/>
            <w:vAlign w:val="bottom"/>
          </w:tcPr>
          <w:p w:rsidR="00F025E3" w:rsidRPr="00EE7241" w:rsidRDefault="00F025E3" w:rsidP="00A55480">
            <w:pPr>
              <w:widowControl w:val="0"/>
              <w:jc w:val="center"/>
              <w:rPr>
                <w:i/>
                <w:iCs/>
                <w:sz w:val="24"/>
                <w:szCs w:val="24"/>
                <w:lang w:val="en-US"/>
              </w:rPr>
            </w:pPr>
            <w:r w:rsidRPr="00EE7241">
              <w:rPr>
                <w:i/>
                <w:iCs/>
                <w:sz w:val="24"/>
                <w:szCs w:val="24"/>
                <w:lang w:val="bg-BG"/>
              </w:rPr>
              <w:t>46517</w:t>
            </w:r>
          </w:p>
        </w:tc>
        <w:tc>
          <w:tcPr>
            <w:tcW w:w="2527" w:type="dxa"/>
            <w:vAlign w:val="bottom"/>
          </w:tcPr>
          <w:p w:rsidR="00F025E3" w:rsidRPr="00EE7241" w:rsidRDefault="00F025E3" w:rsidP="00630B76">
            <w:pPr>
              <w:widowControl w:val="0"/>
              <w:jc w:val="center"/>
              <w:rPr>
                <w:i/>
                <w:iCs/>
                <w:sz w:val="24"/>
                <w:szCs w:val="24"/>
                <w:lang w:val="bg-BG"/>
              </w:rPr>
            </w:pPr>
            <w:r w:rsidRPr="00EE7241">
              <w:rPr>
                <w:i/>
                <w:iCs/>
                <w:sz w:val="24"/>
                <w:szCs w:val="24"/>
                <w:lang w:val="bg-BG"/>
              </w:rPr>
              <w:t>45</w:t>
            </w:r>
            <w:r w:rsidRPr="00EE7241">
              <w:rPr>
                <w:i/>
                <w:iCs/>
                <w:sz w:val="24"/>
                <w:szCs w:val="24"/>
                <w:lang w:val="en-US"/>
              </w:rPr>
              <w:t>9</w:t>
            </w:r>
            <w:r w:rsidRPr="00EE7241">
              <w:rPr>
                <w:i/>
                <w:iCs/>
                <w:sz w:val="24"/>
                <w:szCs w:val="24"/>
                <w:lang w:val="bg-BG"/>
              </w:rPr>
              <w:t>46</w:t>
            </w:r>
          </w:p>
        </w:tc>
      </w:tr>
      <w:tr w:rsidR="00F025E3" w:rsidRPr="00EE7241">
        <w:trPr>
          <w:trHeight w:val="315"/>
        </w:trPr>
        <w:tc>
          <w:tcPr>
            <w:tcW w:w="4740" w:type="dxa"/>
          </w:tcPr>
          <w:p w:rsidR="00F025E3" w:rsidRPr="00EE7241" w:rsidRDefault="00F025E3" w:rsidP="00FD7D77">
            <w:pPr>
              <w:widowControl w:val="0"/>
              <w:jc w:val="both"/>
              <w:rPr>
                <w:i/>
                <w:iCs/>
                <w:sz w:val="24"/>
                <w:szCs w:val="24"/>
                <w:lang w:val="en-US"/>
              </w:rPr>
            </w:pPr>
            <w:r w:rsidRPr="00EE7241">
              <w:rPr>
                <w:i/>
                <w:iCs/>
                <w:sz w:val="24"/>
                <w:szCs w:val="24"/>
              </w:rPr>
              <w:t>Разходи за персонала</w:t>
            </w:r>
          </w:p>
        </w:tc>
        <w:tc>
          <w:tcPr>
            <w:tcW w:w="2467" w:type="dxa"/>
            <w:vAlign w:val="bottom"/>
          </w:tcPr>
          <w:p w:rsidR="00F025E3" w:rsidRPr="00EE7241" w:rsidRDefault="00F025E3" w:rsidP="00A55480">
            <w:pPr>
              <w:widowControl w:val="0"/>
              <w:jc w:val="center"/>
              <w:rPr>
                <w:i/>
                <w:iCs/>
                <w:sz w:val="24"/>
                <w:szCs w:val="24"/>
                <w:lang w:val="en-US"/>
              </w:rPr>
            </w:pPr>
            <w:r w:rsidRPr="00EE7241">
              <w:rPr>
                <w:i/>
                <w:iCs/>
                <w:sz w:val="24"/>
                <w:szCs w:val="24"/>
                <w:lang w:val="bg-BG"/>
              </w:rPr>
              <w:t>55078</w:t>
            </w:r>
          </w:p>
        </w:tc>
        <w:tc>
          <w:tcPr>
            <w:tcW w:w="2527" w:type="dxa"/>
            <w:vAlign w:val="bottom"/>
          </w:tcPr>
          <w:p w:rsidR="00F025E3" w:rsidRPr="00EE7241" w:rsidRDefault="00F025E3" w:rsidP="00630B76">
            <w:pPr>
              <w:widowControl w:val="0"/>
              <w:jc w:val="center"/>
              <w:rPr>
                <w:i/>
                <w:iCs/>
                <w:sz w:val="24"/>
                <w:szCs w:val="24"/>
                <w:lang w:val="en-US"/>
              </w:rPr>
            </w:pPr>
            <w:r w:rsidRPr="00EE7241">
              <w:rPr>
                <w:i/>
                <w:iCs/>
                <w:sz w:val="24"/>
                <w:szCs w:val="24"/>
                <w:lang w:val="bg-BG"/>
              </w:rPr>
              <w:t>55177</w:t>
            </w:r>
          </w:p>
        </w:tc>
      </w:tr>
      <w:tr w:rsidR="00F025E3" w:rsidRPr="00EE7241">
        <w:trPr>
          <w:trHeight w:val="181"/>
        </w:trPr>
        <w:tc>
          <w:tcPr>
            <w:tcW w:w="4740" w:type="dxa"/>
          </w:tcPr>
          <w:p w:rsidR="00F025E3" w:rsidRPr="00EE7241" w:rsidRDefault="00F025E3" w:rsidP="00FD7D77">
            <w:pPr>
              <w:widowControl w:val="0"/>
              <w:rPr>
                <w:i/>
                <w:iCs/>
                <w:sz w:val="24"/>
                <w:szCs w:val="24"/>
                <w:lang w:val="ru-RU"/>
              </w:rPr>
            </w:pPr>
            <w:r w:rsidRPr="00EE7241">
              <w:rPr>
                <w:i/>
                <w:iCs/>
                <w:sz w:val="24"/>
                <w:szCs w:val="24"/>
                <w:lang w:val="ru-RU"/>
              </w:rPr>
              <w:t>Разходи за  емисии на парникови газове</w:t>
            </w:r>
          </w:p>
        </w:tc>
        <w:tc>
          <w:tcPr>
            <w:tcW w:w="2467" w:type="dxa"/>
            <w:vAlign w:val="bottom"/>
          </w:tcPr>
          <w:p w:rsidR="00F025E3" w:rsidRPr="00EE7241" w:rsidRDefault="00F025E3" w:rsidP="00A55480">
            <w:pPr>
              <w:widowControl w:val="0"/>
              <w:jc w:val="center"/>
              <w:rPr>
                <w:i/>
                <w:iCs/>
                <w:sz w:val="24"/>
                <w:szCs w:val="24"/>
                <w:lang w:val="en-US"/>
              </w:rPr>
            </w:pPr>
            <w:r w:rsidRPr="00EE7241">
              <w:rPr>
                <w:i/>
                <w:iCs/>
                <w:sz w:val="24"/>
                <w:szCs w:val="24"/>
                <w:lang w:val="bg-BG"/>
              </w:rPr>
              <w:t>24840</w:t>
            </w:r>
          </w:p>
        </w:tc>
        <w:tc>
          <w:tcPr>
            <w:tcW w:w="2527" w:type="dxa"/>
            <w:vAlign w:val="bottom"/>
          </w:tcPr>
          <w:p w:rsidR="00F025E3" w:rsidRPr="00EE7241" w:rsidRDefault="00F025E3" w:rsidP="00630B76">
            <w:pPr>
              <w:widowControl w:val="0"/>
              <w:jc w:val="center"/>
              <w:rPr>
                <w:i/>
                <w:iCs/>
                <w:sz w:val="24"/>
                <w:szCs w:val="24"/>
                <w:lang w:val="en-US"/>
              </w:rPr>
            </w:pPr>
            <w:r w:rsidRPr="00EE7241">
              <w:rPr>
                <w:i/>
                <w:iCs/>
                <w:sz w:val="24"/>
                <w:szCs w:val="24"/>
                <w:lang w:val="bg-BG"/>
              </w:rPr>
              <w:t>47 604</w:t>
            </w:r>
          </w:p>
        </w:tc>
      </w:tr>
      <w:tr w:rsidR="00F025E3" w:rsidRPr="00EE7241">
        <w:trPr>
          <w:trHeight w:val="181"/>
        </w:trPr>
        <w:tc>
          <w:tcPr>
            <w:tcW w:w="4740" w:type="dxa"/>
          </w:tcPr>
          <w:p w:rsidR="00F025E3" w:rsidRPr="00EE7241" w:rsidRDefault="00F025E3" w:rsidP="00FD7D77">
            <w:pPr>
              <w:widowControl w:val="0"/>
              <w:jc w:val="both"/>
              <w:rPr>
                <w:i/>
                <w:iCs/>
                <w:sz w:val="24"/>
                <w:szCs w:val="24"/>
                <w:lang w:val="en-US"/>
              </w:rPr>
            </w:pPr>
            <w:r w:rsidRPr="00EE7241">
              <w:rPr>
                <w:i/>
                <w:iCs/>
                <w:sz w:val="24"/>
                <w:szCs w:val="24"/>
              </w:rPr>
              <w:t xml:space="preserve">Други разходи </w:t>
            </w:r>
          </w:p>
        </w:tc>
        <w:tc>
          <w:tcPr>
            <w:tcW w:w="2467" w:type="dxa"/>
            <w:vAlign w:val="bottom"/>
          </w:tcPr>
          <w:p w:rsidR="00F025E3" w:rsidRPr="00EE7241" w:rsidRDefault="00F025E3" w:rsidP="00A55480">
            <w:pPr>
              <w:widowControl w:val="0"/>
              <w:jc w:val="center"/>
              <w:rPr>
                <w:i/>
                <w:iCs/>
                <w:sz w:val="24"/>
                <w:szCs w:val="24"/>
                <w:lang w:val="en-US"/>
              </w:rPr>
            </w:pPr>
            <w:r w:rsidRPr="00EE7241">
              <w:rPr>
                <w:i/>
                <w:iCs/>
                <w:sz w:val="24"/>
                <w:szCs w:val="24"/>
                <w:lang w:val="bg-BG"/>
              </w:rPr>
              <w:t>17172</w:t>
            </w:r>
          </w:p>
        </w:tc>
        <w:tc>
          <w:tcPr>
            <w:tcW w:w="2527" w:type="dxa"/>
            <w:vAlign w:val="bottom"/>
          </w:tcPr>
          <w:p w:rsidR="00F025E3" w:rsidRPr="00EE7241" w:rsidRDefault="00F025E3" w:rsidP="00630B76">
            <w:pPr>
              <w:widowControl w:val="0"/>
              <w:jc w:val="center"/>
              <w:rPr>
                <w:i/>
                <w:iCs/>
                <w:sz w:val="24"/>
                <w:szCs w:val="24"/>
                <w:lang w:val="en-US"/>
              </w:rPr>
            </w:pPr>
            <w:r w:rsidRPr="00EE7241">
              <w:rPr>
                <w:i/>
                <w:iCs/>
                <w:sz w:val="24"/>
                <w:szCs w:val="24"/>
                <w:lang w:val="bg-BG"/>
              </w:rPr>
              <w:t>3649</w:t>
            </w:r>
          </w:p>
        </w:tc>
      </w:tr>
      <w:tr w:rsidR="00F025E3" w:rsidRPr="00EE7241">
        <w:trPr>
          <w:trHeight w:val="209"/>
        </w:trPr>
        <w:tc>
          <w:tcPr>
            <w:tcW w:w="4740" w:type="dxa"/>
            <w:shd w:val="clear" w:color="auto" w:fill="FFFF99"/>
          </w:tcPr>
          <w:p w:rsidR="00F025E3" w:rsidRPr="00EE7241" w:rsidRDefault="00F025E3" w:rsidP="00FD7D77">
            <w:pPr>
              <w:widowControl w:val="0"/>
              <w:jc w:val="both"/>
              <w:rPr>
                <w:b/>
                <w:bCs/>
                <w:sz w:val="24"/>
                <w:szCs w:val="24"/>
                <w:lang w:val="en-US"/>
              </w:rPr>
            </w:pPr>
            <w:r w:rsidRPr="00EE7241">
              <w:rPr>
                <w:b/>
                <w:bCs/>
                <w:sz w:val="24"/>
                <w:szCs w:val="24"/>
              </w:rPr>
              <w:t>Общо:</w:t>
            </w:r>
          </w:p>
        </w:tc>
        <w:tc>
          <w:tcPr>
            <w:tcW w:w="2467" w:type="dxa"/>
            <w:shd w:val="clear" w:color="auto" w:fill="FFFF99"/>
            <w:vAlign w:val="bottom"/>
          </w:tcPr>
          <w:p w:rsidR="00F025E3" w:rsidRPr="00EE7241" w:rsidRDefault="00F025E3" w:rsidP="00A55480">
            <w:pPr>
              <w:widowControl w:val="0"/>
              <w:jc w:val="center"/>
              <w:rPr>
                <w:b/>
                <w:bCs/>
                <w:sz w:val="24"/>
                <w:szCs w:val="24"/>
                <w:lang w:val="en-US"/>
              </w:rPr>
            </w:pPr>
            <w:r w:rsidRPr="00EE7241">
              <w:rPr>
                <w:b/>
                <w:bCs/>
                <w:sz w:val="24"/>
                <w:szCs w:val="24"/>
                <w:lang w:val="bg-BG"/>
              </w:rPr>
              <w:t>304045</w:t>
            </w:r>
          </w:p>
        </w:tc>
        <w:tc>
          <w:tcPr>
            <w:tcW w:w="2527" w:type="dxa"/>
            <w:shd w:val="clear" w:color="auto" w:fill="FFFF99"/>
            <w:noWrap/>
            <w:vAlign w:val="bottom"/>
          </w:tcPr>
          <w:p w:rsidR="00F025E3" w:rsidRPr="00EE7241" w:rsidRDefault="00F025E3" w:rsidP="00A55480">
            <w:pPr>
              <w:widowControl w:val="0"/>
              <w:jc w:val="center"/>
              <w:rPr>
                <w:b/>
                <w:bCs/>
                <w:sz w:val="24"/>
                <w:szCs w:val="24"/>
                <w:lang w:val="en-US"/>
              </w:rPr>
            </w:pPr>
            <w:r w:rsidRPr="00EE7241">
              <w:rPr>
                <w:b/>
                <w:bCs/>
                <w:sz w:val="24"/>
                <w:szCs w:val="24"/>
                <w:lang w:val="bg-BG"/>
              </w:rPr>
              <w:t>315130</w:t>
            </w:r>
          </w:p>
        </w:tc>
      </w:tr>
    </w:tbl>
    <w:p w:rsidR="00F025E3" w:rsidRPr="00EE7241" w:rsidRDefault="00F025E3" w:rsidP="00780D85">
      <w:pPr>
        <w:ind w:right="44" w:firstLine="720"/>
        <w:jc w:val="both"/>
        <w:rPr>
          <w:sz w:val="24"/>
          <w:szCs w:val="24"/>
          <w:lang w:val="bg-BG"/>
        </w:rPr>
      </w:pPr>
    </w:p>
    <w:p w:rsidR="00F025E3" w:rsidRPr="00EE7241" w:rsidRDefault="00F025E3" w:rsidP="00B126C2">
      <w:pPr>
        <w:pStyle w:val="BodyTextIndent"/>
        <w:ind w:left="0" w:right="-114"/>
        <w:jc w:val="both"/>
      </w:pPr>
      <w:r w:rsidRPr="00F01C70">
        <w:rPr>
          <w:noProof/>
          <w:lang w:val="bg-BG" w:eastAsia="bg-BG"/>
        </w:rPr>
        <w:pict>
          <v:shape id="Chart 1" o:spid="_x0000_i1026" type="#_x0000_t75" style="width:477pt;height:264pt;visibility:visible">
            <v:imagedata r:id="rId8" o:title=""/>
            <o:lock v:ext="edit" aspectratio="f"/>
          </v:shape>
        </w:pict>
      </w:r>
    </w:p>
    <w:p w:rsidR="00F025E3" w:rsidRPr="00EE7241" w:rsidRDefault="00F025E3" w:rsidP="00780D85">
      <w:pPr>
        <w:pStyle w:val="BodyTextIndent"/>
        <w:ind w:left="0" w:right="-114" w:firstLine="720"/>
        <w:jc w:val="both"/>
        <w:rPr>
          <w:sz w:val="24"/>
          <w:szCs w:val="24"/>
          <w:lang w:val="en-US"/>
        </w:rPr>
      </w:pPr>
    </w:p>
    <w:p w:rsidR="00F025E3" w:rsidRPr="00EE7241" w:rsidRDefault="00F025E3" w:rsidP="00780D85">
      <w:pPr>
        <w:pStyle w:val="BodyTextIndent"/>
        <w:ind w:left="0" w:right="-114" w:firstLine="720"/>
        <w:jc w:val="both"/>
        <w:rPr>
          <w:sz w:val="24"/>
          <w:szCs w:val="24"/>
          <w:lang w:val="bg-BG"/>
        </w:rPr>
      </w:pPr>
      <w:r w:rsidRPr="00EE7241">
        <w:rPr>
          <w:sz w:val="24"/>
          <w:szCs w:val="24"/>
          <w:lang w:val="bg-BG"/>
        </w:rPr>
        <w:t>Основните разходи на дружеството са вложените горива за производство, които  към 30.06.20</w:t>
      </w:r>
      <w:r w:rsidRPr="00EE7241">
        <w:rPr>
          <w:sz w:val="24"/>
          <w:szCs w:val="24"/>
          <w:lang w:val="ru-RU"/>
        </w:rPr>
        <w:t>16</w:t>
      </w:r>
      <w:r w:rsidRPr="00EE7241">
        <w:rPr>
          <w:sz w:val="24"/>
          <w:szCs w:val="24"/>
          <w:lang w:val="bg-BG"/>
        </w:rPr>
        <w:t xml:space="preserve"> г. са на стойност 117</w:t>
      </w:r>
      <w:r>
        <w:rPr>
          <w:sz w:val="24"/>
          <w:szCs w:val="24"/>
          <w:lang w:val="en-US"/>
        </w:rPr>
        <w:t xml:space="preserve"> </w:t>
      </w:r>
      <w:r w:rsidRPr="00EE7241">
        <w:rPr>
          <w:sz w:val="24"/>
          <w:szCs w:val="24"/>
          <w:lang w:val="ru-RU"/>
        </w:rPr>
        <w:t>180</w:t>
      </w:r>
      <w:r w:rsidRPr="00EE7241">
        <w:rPr>
          <w:sz w:val="24"/>
          <w:szCs w:val="24"/>
          <w:lang w:val="bg-BG"/>
        </w:rPr>
        <w:t xml:space="preserve"> хил.лв., като считано </w:t>
      </w:r>
      <w:r w:rsidRPr="00EE7241">
        <w:rPr>
          <w:b/>
          <w:bCs/>
          <w:sz w:val="24"/>
          <w:szCs w:val="24"/>
          <w:lang w:val="bg-BG"/>
        </w:rPr>
        <w:t>от 01.07.2014 г. е в сила определената нова по-висока цена в размер на 77,00 лв./тУГ  (увеличена от 75,00 лв/тУГ) на лигнитните въглища от „Мини Марица изток”</w:t>
      </w:r>
      <w:r>
        <w:rPr>
          <w:b/>
          <w:bCs/>
          <w:sz w:val="24"/>
          <w:szCs w:val="24"/>
          <w:lang w:val="en-US"/>
        </w:rPr>
        <w:t xml:space="preserve"> </w:t>
      </w:r>
      <w:r w:rsidRPr="00EE7241">
        <w:rPr>
          <w:b/>
          <w:bCs/>
          <w:sz w:val="24"/>
          <w:szCs w:val="24"/>
          <w:lang w:val="bg-BG"/>
        </w:rPr>
        <w:t>ЕАД.</w:t>
      </w:r>
      <w:r w:rsidRPr="00EE7241">
        <w:rPr>
          <w:sz w:val="24"/>
          <w:szCs w:val="24"/>
          <w:lang w:val="bg-BG"/>
        </w:rPr>
        <w:t xml:space="preserve"> През съпоставимият период от предходната 201</w:t>
      </w:r>
      <w:r>
        <w:rPr>
          <w:sz w:val="24"/>
          <w:szCs w:val="24"/>
          <w:lang w:val="bg-BG"/>
        </w:rPr>
        <w:t>5</w:t>
      </w:r>
      <w:r>
        <w:rPr>
          <w:sz w:val="24"/>
          <w:szCs w:val="24"/>
          <w:lang w:val="en-US"/>
        </w:rPr>
        <w:t xml:space="preserve"> </w:t>
      </w:r>
      <w:r w:rsidRPr="00EE7241">
        <w:rPr>
          <w:sz w:val="24"/>
          <w:szCs w:val="24"/>
          <w:lang w:val="bg-BG"/>
        </w:rPr>
        <w:t>г. те са в размер на 126</w:t>
      </w:r>
      <w:r>
        <w:rPr>
          <w:sz w:val="24"/>
          <w:szCs w:val="24"/>
          <w:lang w:val="en-US"/>
        </w:rPr>
        <w:t xml:space="preserve"> </w:t>
      </w:r>
      <w:r w:rsidRPr="00EE7241">
        <w:rPr>
          <w:sz w:val="24"/>
          <w:szCs w:val="24"/>
          <w:lang w:val="bg-BG"/>
        </w:rPr>
        <w:t>548 хил.лв. Отчетено е намаление</w:t>
      </w:r>
      <w:r>
        <w:rPr>
          <w:sz w:val="24"/>
          <w:szCs w:val="24"/>
          <w:lang w:val="en-US"/>
        </w:rPr>
        <w:t xml:space="preserve"> </w:t>
      </w:r>
      <w:r w:rsidRPr="00EE7241">
        <w:rPr>
          <w:sz w:val="24"/>
          <w:szCs w:val="24"/>
          <w:lang w:val="bg-BG"/>
        </w:rPr>
        <w:t xml:space="preserve">с 9368 хил.лв., което се дължи на отчетеното по-ниско бруто производство на ел.енергия.   Отчетената разходна норма към 30.06.2016 г. възлиза на 445,49 груг/квтч, като е с 8,42 груг/квтч или 1,93% по-висока спрямо отчетената през предходната  2015 г.  - 437,17 груг/квтч. </w:t>
      </w:r>
      <w:r>
        <w:rPr>
          <w:sz w:val="24"/>
          <w:szCs w:val="24"/>
          <w:lang w:val="bg-BG"/>
        </w:rPr>
        <w:t>Увеличението се дължи на по-високият процент разход на ел.енергия за собствени нужди, който е в резултат на намаления обем производство.</w:t>
      </w:r>
    </w:p>
    <w:p w:rsidR="00F025E3" w:rsidRPr="00EE7241" w:rsidRDefault="00F025E3" w:rsidP="00363E7B">
      <w:pPr>
        <w:pStyle w:val="BodyTextIndent"/>
        <w:ind w:left="0" w:right="-114" w:firstLine="720"/>
        <w:jc w:val="both"/>
        <w:rPr>
          <w:sz w:val="24"/>
          <w:szCs w:val="24"/>
          <w:lang w:val="ru-RU"/>
        </w:rPr>
      </w:pPr>
      <w:r w:rsidRPr="00EE7241">
        <w:rPr>
          <w:sz w:val="24"/>
          <w:szCs w:val="24"/>
          <w:lang w:val="ru-RU"/>
        </w:rPr>
        <w:t>За периода към 30.06.2016 г. „ТЕЦ Марица изток 2” ЕАД отч</w:t>
      </w:r>
      <w:r w:rsidRPr="00EE7241">
        <w:rPr>
          <w:sz w:val="24"/>
          <w:szCs w:val="24"/>
          <w:lang w:val="bg-BG"/>
        </w:rPr>
        <w:t>ита</w:t>
      </w:r>
      <w:r w:rsidRPr="00EE7241">
        <w:rPr>
          <w:sz w:val="24"/>
          <w:szCs w:val="24"/>
          <w:lang w:val="ru-RU"/>
        </w:rPr>
        <w:t xml:space="preserve"> разходи за парникови газове в размер на 24</w:t>
      </w:r>
      <w:r>
        <w:rPr>
          <w:sz w:val="24"/>
          <w:szCs w:val="24"/>
          <w:lang w:val="en-US"/>
        </w:rPr>
        <w:t xml:space="preserve"> </w:t>
      </w:r>
      <w:r w:rsidRPr="00EE7241">
        <w:rPr>
          <w:sz w:val="24"/>
          <w:szCs w:val="24"/>
          <w:lang w:val="ru-RU"/>
        </w:rPr>
        <w:t xml:space="preserve">840 хил.лв, като следва да отбележим, че съгласно Решение на КЕВР № Ц-27/31.07.2015 г., </w:t>
      </w:r>
      <w:r>
        <w:rPr>
          <w:sz w:val="24"/>
          <w:szCs w:val="24"/>
          <w:lang w:val="ru-RU"/>
        </w:rPr>
        <w:t xml:space="preserve">както и новото решение напиши </w:t>
      </w:r>
      <w:r w:rsidRPr="00EE7241">
        <w:rPr>
          <w:sz w:val="24"/>
          <w:szCs w:val="24"/>
          <w:lang w:val="ru-RU"/>
        </w:rPr>
        <w:t xml:space="preserve">отнасящо се до утвърждаване на  цените за текущия  регулаторен период същите не бяха признати в пълен размер в цената на електрическата енергия. Отчита се намаление спрямо предходната 2015 г. с 22 764 хил.лв., което се дължи на  спад в цената на квотите. </w:t>
      </w:r>
    </w:p>
    <w:p w:rsidR="00F025E3" w:rsidRPr="00EE7241" w:rsidRDefault="00F025E3" w:rsidP="00363E7B">
      <w:pPr>
        <w:pStyle w:val="BodyTextIndent"/>
        <w:ind w:left="0" w:right="-114" w:firstLine="720"/>
        <w:jc w:val="both"/>
        <w:rPr>
          <w:sz w:val="24"/>
          <w:szCs w:val="24"/>
          <w:lang w:val="ru-RU"/>
        </w:rPr>
      </w:pPr>
      <w:r w:rsidRPr="00EE7241">
        <w:rPr>
          <w:sz w:val="24"/>
          <w:szCs w:val="24"/>
          <w:lang w:val="ru-RU"/>
        </w:rPr>
        <w:t>Поетапно дружеството промени източника на захранване на собствени обекти, които не са част от вътрешната мрежа (Помпени станции с. Ханово и с. Ботево, станция захранваща МТЛТ). Същите се захранват от собственото производство,  като по този начин се отчита намаление при разхода за ел.енергия за собствени нужди в размер на 218 хил.лв. за изминалото първо полугодие на 2016г. спрямо предходната 2015г.</w:t>
      </w:r>
    </w:p>
    <w:p w:rsidR="00F025E3" w:rsidRPr="00EE7241" w:rsidRDefault="00F025E3" w:rsidP="00363E7B">
      <w:pPr>
        <w:pStyle w:val="BodyTextIndent"/>
        <w:ind w:left="0" w:right="-114" w:firstLine="720"/>
        <w:jc w:val="both"/>
        <w:rPr>
          <w:sz w:val="24"/>
          <w:szCs w:val="24"/>
          <w:lang w:val="ru-RU"/>
        </w:rPr>
      </w:pPr>
      <w:r w:rsidRPr="00EE7241">
        <w:rPr>
          <w:sz w:val="24"/>
          <w:szCs w:val="24"/>
          <w:lang w:val="ru-RU"/>
        </w:rPr>
        <w:t>През първото полугодие на 2016г.  разходите за застраховка на имуществото са с 203 хил.лв. повече спрямо същия период на предходната година  поради по-висок</w:t>
      </w:r>
      <w:r>
        <w:rPr>
          <w:sz w:val="24"/>
          <w:szCs w:val="24"/>
          <w:lang w:val="ru-RU"/>
        </w:rPr>
        <w:t>ата стойност на активите застраховани</w:t>
      </w:r>
      <w:r w:rsidRPr="00EE7241">
        <w:rPr>
          <w:sz w:val="24"/>
          <w:szCs w:val="24"/>
          <w:lang w:val="ru-RU"/>
        </w:rPr>
        <w:t>договора за задължително застраховане произтичащо от Лицензиите за производство на ел.енергия сключен в средата на мес. Август 2015 г.</w:t>
      </w:r>
    </w:p>
    <w:p w:rsidR="00F025E3" w:rsidRPr="00EE7241" w:rsidRDefault="00F025E3" w:rsidP="00363E7B">
      <w:pPr>
        <w:pStyle w:val="BodyTextIndent"/>
        <w:ind w:left="0" w:right="-114" w:firstLine="720"/>
        <w:jc w:val="both"/>
        <w:rPr>
          <w:lang w:val="bg-BG"/>
        </w:rPr>
      </w:pPr>
      <w:r w:rsidRPr="00EE7241">
        <w:rPr>
          <w:sz w:val="24"/>
          <w:szCs w:val="24"/>
          <w:lang w:val="ru-RU"/>
        </w:rPr>
        <w:t>Отчетените разходи за персонала за към 30.06.2016 г. са 55 078 хил.лв. и са с 99 хил.лв. по-малко спрямо отчетените 55 177 хил.лв.  за съпоставимия период. Ра</w:t>
      </w:r>
      <w:r>
        <w:rPr>
          <w:sz w:val="24"/>
          <w:szCs w:val="24"/>
          <w:lang w:val="ru-RU"/>
        </w:rPr>
        <w:t xml:space="preserve">зходите за осигурителни вноски </w:t>
      </w:r>
      <w:r w:rsidRPr="00EE7241">
        <w:rPr>
          <w:sz w:val="24"/>
          <w:szCs w:val="24"/>
          <w:lang w:val="ru-RU"/>
        </w:rPr>
        <w:t>бележат незначително намаление с 86 хил.лв. до 9</w:t>
      </w:r>
      <w:r>
        <w:rPr>
          <w:sz w:val="24"/>
          <w:szCs w:val="24"/>
          <w:lang w:val="en-US"/>
        </w:rPr>
        <w:t xml:space="preserve"> </w:t>
      </w:r>
      <w:r w:rsidRPr="00EE7241">
        <w:rPr>
          <w:sz w:val="24"/>
          <w:szCs w:val="24"/>
          <w:lang w:val="ru-RU"/>
        </w:rPr>
        <w:t>822 хил.лв. вследствие на  запазването размера на максимален осигурителен доход действащ от началото на 2016 година.</w:t>
      </w:r>
    </w:p>
    <w:p w:rsidR="00F025E3" w:rsidRPr="00EE7241" w:rsidRDefault="00F025E3" w:rsidP="00363E7B">
      <w:pPr>
        <w:pStyle w:val="BodyTextIndent"/>
        <w:ind w:left="0" w:right="-114" w:firstLine="720"/>
        <w:jc w:val="both"/>
        <w:rPr>
          <w:sz w:val="24"/>
          <w:szCs w:val="24"/>
          <w:lang w:val="ru-RU"/>
        </w:rPr>
      </w:pPr>
      <w:r w:rsidRPr="00EE7241">
        <w:rPr>
          <w:sz w:val="24"/>
          <w:szCs w:val="24"/>
          <w:lang w:val="ru-RU"/>
        </w:rPr>
        <w:t>След приетите промени в Закона за енергетиката и  създаването от 24.07.2015</w:t>
      </w:r>
      <w:r>
        <w:rPr>
          <w:sz w:val="24"/>
          <w:szCs w:val="24"/>
          <w:lang w:val="en-US"/>
        </w:rPr>
        <w:t xml:space="preserve"> </w:t>
      </w:r>
      <w:r w:rsidRPr="00EE7241">
        <w:rPr>
          <w:sz w:val="24"/>
          <w:szCs w:val="24"/>
          <w:lang w:val="ru-RU"/>
        </w:rPr>
        <w:t>г. на фонд „Сигурност на енергийната система” в него ще постъпват 5% от приходите на произведената и продаденаел.енергия на всички производители на енергия. Реализираните приходи ще отиват за покриване на дефицитите по изкупуването на скъпия ток от НЕК ЕАД. Отчитането на разходите  допълнително се отрази негативно на  „ТЕЦ Марица изток 2“ЕАД, като разходите към края на първото полугодие на 2016</w:t>
      </w:r>
      <w:r>
        <w:rPr>
          <w:sz w:val="24"/>
          <w:szCs w:val="24"/>
          <w:lang w:val="en-US"/>
        </w:rPr>
        <w:t xml:space="preserve"> </w:t>
      </w:r>
      <w:r w:rsidRPr="00EE7241">
        <w:rPr>
          <w:sz w:val="24"/>
          <w:szCs w:val="24"/>
          <w:lang w:val="ru-RU"/>
        </w:rPr>
        <w:t>г. са в размер на 13</w:t>
      </w:r>
      <w:r>
        <w:rPr>
          <w:sz w:val="24"/>
          <w:szCs w:val="24"/>
          <w:lang w:val="en-US"/>
        </w:rPr>
        <w:t xml:space="preserve"> </w:t>
      </w:r>
      <w:r w:rsidRPr="00EE7241">
        <w:rPr>
          <w:sz w:val="24"/>
          <w:szCs w:val="24"/>
          <w:lang w:val="ru-RU"/>
        </w:rPr>
        <w:t>003 хил.лв., като за календарната 2016г.се очаквада достигнат над 25 000 хил.лв. Тези допълнителни разходи са основната причина за значителното увеличение на перото „Други разходи”.</w:t>
      </w:r>
    </w:p>
    <w:p w:rsidR="00F025E3" w:rsidRPr="00EE7241" w:rsidRDefault="00F025E3" w:rsidP="00D166BC">
      <w:pPr>
        <w:ind w:firstLine="708"/>
        <w:jc w:val="both"/>
        <w:rPr>
          <w:sz w:val="24"/>
          <w:szCs w:val="24"/>
          <w:lang w:val="ru-RU"/>
        </w:rPr>
      </w:pPr>
      <w:r w:rsidRPr="00EE7241">
        <w:rPr>
          <w:sz w:val="24"/>
          <w:szCs w:val="24"/>
          <w:lang w:val="ru-RU"/>
        </w:rPr>
        <w:t xml:space="preserve">Нетните финансови разходи </w:t>
      </w:r>
      <w:r w:rsidRPr="00EE7241">
        <w:rPr>
          <w:sz w:val="24"/>
          <w:szCs w:val="24"/>
          <w:lang w:val="bg-BG"/>
        </w:rPr>
        <w:t xml:space="preserve">в </w:t>
      </w:r>
      <w:r w:rsidRPr="00EE7241">
        <w:rPr>
          <w:sz w:val="24"/>
          <w:szCs w:val="24"/>
          <w:lang w:val="ru-RU"/>
        </w:rPr>
        <w:t xml:space="preserve">основната си част са във връзка с </w:t>
      </w:r>
      <w:r w:rsidRPr="00EE7241">
        <w:rPr>
          <w:sz w:val="24"/>
          <w:szCs w:val="24"/>
          <w:lang w:val="bg-BG"/>
        </w:rPr>
        <w:t>отчетените отрицателни курсови разлики от преоценка на валутни салда в японски йени</w:t>
      </w:r>
      <w:r w:rsidRPr="00EE7241">
        <w:rPr>
          <w:sz w:val="24"/>
          <w:szCs w:val="24"/>
          <w:lang w:val="ru-RU"/>
        </w:rPr>
        <w:t xml:space="preserve"> по дългосрочен банков заем с ЯБМС (Японската банка за международно сътрудничество) и лихви по заеми, отпуснати от ”</w:t>
      </w:r>
      <w:r w:rsidRPr="00EE7241">
        <w:rPr>
          <w:sz w:val="24"/>
          <w:szCs w:val="24"/>
          <w:lang w:val="bg-BG"/>
        </w:rPr>
        <w:t>Сосиете Женерал Експресбанк”АД, както и лихви по заеми отпуснати от едноличния собственик на капитала</w:t>
      </w:r>
      <w:r w:rsidRPr="00EE7241">
        <w:rPr>
          <w:sz w:val="24"/>
          <w:szCs w:val="24"/>
          <w:lang w:val="ru-RU"/>
        </w:rPr>
        <w:t xml:space="preserve"> и са в размер на 22</w:t>
      </w:r>
      <w:r>
        <w:rPr>
          <w:sz w:val="24"/>
          <w:szCs w:val="24"/>
          <w:lang w:val="en-US"/>
        </w:rPr>
        <w:t xml:space="preserve"> </w:t>
      </w:r>
      <w:r w:rsidRPr="00EE7241">
        <w:rPr>
          <w:sz w:val="24"/>
          <w:szCs w:val="24"/>
          <w:lang w:val="ru-RU"/>
        </w:rPr>
        <w:t xml:space="preserve">583 хил.лв. </w:t>
      </w:r>
      <w:r w:rsidRPr="00EE7241">
        <w:rPr>
          <w:sz w:val="24"/>
          <w:szCs w:val="24"/>
          <w:lang w:val="bg-BG"/>
        </w:rPr>
        <w:t>раз</w:t>
      </w:r>
      <w:r w:rsidRPr="00EE7241">
        <w:rPr>
          <w:sz w:val="24"/>
          <w:szCs w:val="24"/>
          <w:lang w:val="ru-RU"/>
        </w:rPr>
        <w:t>ходи, като финансовите приходи са в размер на 553 хил.лв., а финансовите разходи – 23</w:t>
      </w:r>
      <w:r>
        <w:rPr>
          <w:sz w:val="24"/>
          <w:szCs w:val="24"/>
          <w:lang w:val="en-US"/>
        </w:rPr>
        <w:t xml:space="preserve"> </w:t>
      </w:r>
      <w:r w:rsidRPr="00EE7241">
        <w:rPr>
          <w:sz w:val="24"/>
          <w:szCs w:val="24"/>
          <w:lang w:val="ru-RU"/>
        </w:rPr>
        <w:t xml:space="preserve">136хил.лв. </w:t>
      </w:r>
    </w:p>
    <w:p w:rsidR="00F025E3" w:rsidRPr="00EE7241" w:rsidRDefault="00F025E3" w:rsidP="00780D85">
      <w:pPr>
        <w:pStyle w:val="BodyTextIndent"/>
        <w:ind w:left="0" w:right="-114" w:firstLine="720"/>
        <w:jc w:val="both"/>
        <w:rPr>
          <w:b/>
          <w:bCs/>
          <w:sz w:val="24"/>
          <w:szCs w:val="24"/>
          <w:u w:val="single"/>
          <w:lang w:val="bg-BG"/>
        </w:rPr>
      </w:pPr>
    </w:p>
    <w:p w:rsidR="00F025E3" w:rsidRPr="00EE7241" w:rsidRDefault="00F025E3" w:rsidP="00780D85">
      <w:pPr>
        <w:pStyle w:val="BodyTextIndent"/>
        <w:ind w:left="0" w:right="-114" w:firstLine="720"/>
        <w:jc w:val="both"/>
        <w:rPr>
          <w:b/>
          <w:bCs/>
          <w:sz w:val="24"/>
          <w:szCs w:val="24"/>
          <w:u w:val="single"/>
          <w:lang w:val="ru-RU"/>
        </w:rPr>
      </w:pPr>
      <w:r w:rsidRPr="00EE7241">
        <w:rPr>
          <w:b/>
          <w:bCs/>
          <w:sz w:val="24"/>
          <w:szCs w:val="24"/>
          <w:u w:val="single"/>
          <w:lang w:val="bg-BG"/>
        </w:rPr>
        <w:t xml:space="preserve">2. </w:t>
      </w:r>
      <w:r w:rsidRPr="00EE7241">
        <w:rPr>
          <w:b/>
          <w:bCs/>
          <w:sz w:val="24"/>
          <w:szCs w:val="24"/>
          <w:u w:val="single"/>
          <w:lang w:val="ru-RU"/>
        </w:rPr>
        <w:t xml:space="preserve">Други </w:t>
      </w:r>
      <w:r w:rsidRPr="00EE7241">
        <w:rPr>
          <w:b/>
          <w:bCs/>
          <w:sz w:val="24"/>
          <w:szCs w:val="24"/>
          <w:u w:val="single"/>
          <w:lang w:val="bg-BG"/>
        </w:rPr>
        <w:t xml:space="preserve">промени в бизнес средата </w:t>
      </w:r>
    </w:p>
    <w:p w:rsidR="00F025E3" w:rsidRPr="00EE7241" w:rsidRDefault="00F025E3" w:rsidP="00E526E4">
      <w:pPr>
        <w:ind w:firstLine="720"/>
        <w:jc w:val="both"/>
        <w:rPr>
          <w:sz w:val="24"/>
          <w:szCs w:val="24"/>
          <w:lang w:val="bg-BG"/>
        </w:rPr>
      </w:pPr>
    </w:p>
    <w:p w:rsidR="00F025E3" w:rsidRPr="00EE7241" w:rsidRDefault="00F025E3" w:rsidP="008033A1">
      <w:pPr>
        <w:ind w:firstLine="720"/>
        <w:jc w:val="both"/>
        <w:rPr>
          <w:sz w:val="24"/>
          <w:szCs w:val="24"/>
          <w:lang w:val="bg-BG"/>
        </w:rPr>
      </w:pPr>
    </w:p>
    <w:p w:rsidR="00F025E3" w:rsidRPr="00EE7241" w:rsidRDefault="00F025E3" w:rsidP="003B6708">
      <w:pPr>
        <w:spacing w:line="60" w:lineRule="atLeast"/>
        <w:ind w:firstLine="709"/>
        <w:jc w:val="both"/>
        <w:rPr>
          <w:sz w:val="24"/>
          <w:szCs w:val="24"/>
          <w:lang w:val="bg-BG"/>
        </w:rPr>
      </w:pPr>
      <w:r w:rsidRPr="00EE7241">
        <w:rPr>
          <w:sz w:val="24"/>
          <w:szCs w:val="24"/>
          <w:lang w:val="ru-RU"/>
        </w:rPr>
        <w:t>На основание чл.35,ал.2,т.4 от Закона за енергетиката „ТЕЦ Марица изток 2“</w:t>
      </w:r>
      <w:r w:rsidRPr="00EE7241">
        <w:rPr>
          <w:sz w:val="24"/>
          <w:szCs w:val="24"/>
          <w:lang w:val="bg-BG"/>
        </w:rPr>
        <w:t>ЕАД подаде заявление изх.</w:t>
      </w:r>
      <w:r>
        <w:rPr>
          <w:sz w:val="24"/>
          <w:szCs w:val="24"/>
          <w:lang w:val="en-US"/>
        </w:rPr>
        <w:t xml:space="preserve"> </w:t>
      </w:r>
      <w:r w:rsidRPr="00EE7241">
        <w:rPr>
          <w:sz w:val="24"/>
          <w:szCs w:val="24"/>
          <w:lang w:val="bg-BG"/>
        </w:rPr>
        <w:t>№ 46765/28.12.2015г. до КЕВР за компенсиране на разходи, произтичащи от наложени задължения към обществото, свързани със защитата на обекти, представляващи критична инфраструктура в енергетиката, по което комисията не се произнесе. Поисканата компенсация беше в размер на 85 826 хил.лв., представляващи некомпенсирани разходи за 2015 г.</w:t>
      </w:r>
    </w:p>
    <w:p w:rsidR="00F025E3" w:rsidRPr="00EE7241" w:rsidRDefault="00F025E3" w:rsidP="003B6708">
      <w:pPr>
        <w:spacing w:line="60" w:lineRule="atLeast"/>
        <w:ind w:firstLine="709"/>
        <w:jc w:val="both"/>
        <w:rPr>
          <w:sz w:val="24"/>
          <w:szCs w:val="24"/>
          <w:lang w:val="bg-BG"/>
        </w:rPr>
      </w:pPr>
      <w:r w:rsidRPr="00EE7241">
        <w:rPr>
          <w:sz w:val="24"/>
          <w:szCs w:val="24"/>
          <w:lang w:val="bg-BG"/>
        </w:rPr>
        <w:t xml:space="preserve">На </w:t>
      </w:r>
      <w:r w:rsidRPr="00EE7241">
        <w:rPr>
          <w:sz w:val="24"/>
          <w:szCs w:val="24"/>
          <w:lang w:val="en-US"/>
        </w:rPr>
        <w:t>31</w:t>
      </w:r>
      <w:r w:rsidRPr="00EE7241">
        <w:rPr>
          <w:sz w:val="24"/>
          <w:szCs w:val="24"/>
          <w:lang w:val="bg-BG"/>
        </w:rPr>
        <w:t>.03.2016</w:t>
      </w:r>
      <w:r>
        <w:rPr>
          <w:sz w:val="24"/>
          <w:szCs w:val="24"/>
          <w:lang w:val="en-US"/>
        </w:rPr>
        <w:t xml:space="preserve"> </w:t>
      </w:r>
      <w:r w:rsidRPr="00EE7241">
        <w:rPr>
          <w:sz w:val="24"/>
          <w:szCs w:val="24"/>
          <w:lang w:val="bg-BG"/>
        </w:rPr>
        <w:t xml:space="preserve">г. </w:t>
      </w:r>
      <w:r w:rsidRPr="00EE7241">
        <w:rPr>
          <w:sz w:val="24"/>
          <w:szCs w:val="24"/>
          <w:lang w:val="ru-RU"/>
        </w:rPr>
        <w:t>„ТЕЦ Марица изток 2“</w:t>
      </w:r>
      <w:r>
        <w:rPr>
          <w:sz w:val="24"/>
          <w:szCs w:val="24"/>
          <w:lang w:val="en-US"/>
        </w:rPr>
        <w:t xml:space="preserve"> </w:t>
      </w:r>
      <w:r w:rsidRPr="00EE7241">
        <w:rPr>
          <w:sz w:val="24"/>
          <w:szCs w:val="24"/>
          <w:lang w:val="bg-BG"/>
        </w:rPr>
        <w:t>ЕАД заедно със заявлението изх.</w:t>
      </w:r>
      <w:r>
        <w:rPr>
          <w:sz w:val="24"/>
          <w:szCs w:val="24"/>
          <w:lang w:val="en-US"/>
        </w:rPr>
        <w:t xml:space="preserve"> </w:t>
      </w:r>
      <w:r w:rsidRPr="00EE7241">
        <w:rPr>
          <w:sz w:val="24"/>
          <w:szCs w:val="24"/>
          <w:lang w:val="bg-BG"/>
        </w:rPr>
        <w:t xml:space="preserve">№11307/30.03.2016г. за утвърждаване на цени на ел.енергията за новия регулаторен период внесе отново искане на </w:t>
      </w:r>
      <w:r w:rsidRPr="00EE7241">
        <w:rPr>
          <w:sz w:val="24"/>
          <w:szCs w:val="24"/>
          <w:lang w:val="ru-RU"/>
        </w:rPr>
        <w:t>основание чл.35,ал.2,т.4 от Закона за енергетиката, като размера на некомпенсираните разходи, които дружеството поиска да бъдат признати е 128 804 хил.лв., включващи отчетени некомпенсирани разходи за 2015 г. в размер на 78 279 хил.лв. и разходи подлежащи на компенсиране за периода 01.07.2016 до 30.06.2017 г. в размер на 50 525 хил.лв.</w:t>
      </w:r>
      <w:r w:rsidRPr="00EE7241">
        <w:rPr>
          <w:sz w:val="24"/>
          <w:szCs w:val="24"/>
          <w:lang w:val="bg-BG"/>
        </w:rPr>
        <w:t>, които не бяха признати от КЕВР съгласно Решение № Ц-19/30.06.2016 г.</w:t>
      </w:r>
    </w:p>
    <w:p w:rsidR="00F025E3" w:rsidRPr="00EE7241" w:rsidRDefault="00F025E3" w:rsidP="008033A1">
      <w:pPr>
        <w:ind w:firstLine="720"/>
        <w:jc w:val="both"/>
        <w:rPr>
          <w:sz w:val="24"/>
          <w:szCs w:val="24"/>
          <w:lang w:val="bg-BG"/>
        </w:rPr>
      </w:pPr>
    </w:p>
    <w:p w:rsidR="00F025E3" w:rsidRPr="00EE7241" w:rsidRDefault="00F025E3" w:rsidP="00A97EF3">
      <w:pPr>
        <w:ind w:firstLine="720"/>
        <w:jc w:val="both"/>
        <w:rPr>
          <w:color w:val="000000"/>
          <w:sz w:val="24"/>
          <w:szCs w:val="24"/>
          <w:lang w:val="bg-BG"/>
        </w:rPr>
      </w:pPr>
    </w:p>
    <w:p w:rsidR="00F025E3" w:rsidRPr="00EE7241" w:rsidRDefault="00F025E3" w:rsidP="00A97EF3">
      <w:pPr>
        <w:ind w:firstLine="720"/>
        <w:jc w:val="both"/>
        <w:rPr>
          <w:b/>
          <w:bCs/>
          <w:color w:val="000000"/>
          <w:sz w:val="24"/>
          <w:szCs w:val="24"/>
          <w:u w:val="single"/>
          <w:lang w:val="bg-BG"/>
        </w:rPr>
      </w:pPr>
      <w:r w:rsidRPr="00EE7241">
        <w:rPr>
          <w:b/>
          <w:bCs/>
          <w:color w:val="000000"/>
          <w:sz w:val="24"/>
          <w:szCs w:val="24"/>
          <w:u w:val="single"/>
          <w:lang w:val="bg-BG"/>
        </w:rPr>
        <w:t>3. Други събития във връзка с финансовата дейност на дружеството</w:t>
      </w:r>
    </w:p>
    <w:p w:rsidR="00F025E3" w:rsidRPr="00EE7241" w:rsidRDefault="00F025E3" w:rsidP="00A97EF3">
      <w:pPr>
        <w:ind w:firstLine="720"/>
        <w:jc w:val="both"/>
        <w:rPr>
          <w:color w:val="000000"/>
          <w:sz w:val="24"/>
          <w:szCs w:val="24"/>
          <w:lang w:val="bg-BG"/>
        </w:rPr>
      </w:pPr>
    </w:p>
    <w:p w:rsidR="00F025E3" w:rsidRPr="00EE7241" w:rsidRDefault="00F025E3" w:rsidP="00A97EF3">
      <w:pPr>
        <w:ind w:firstLine="720"/>
        <w:jc w:val="both"/>
        <w:rPr>
          <w:color w:val="000000"/>
          <w:sz w:val="24"/>
          <w:szCs w:val="24"/>
          <w:lang w:val="bg-BG"/>
        </w:rPr>
      </w:pPr>
    </w:p>
    <w:p w:rsidR="00F025E3" w:rsidRPr="00EE7241" w:rsidRDefault="00F025E3" w:rsidP="00C912C6">
      <w:pPr>
        <w:ind w:firstLine="720"/>
        <w:jc w:val="both"/>
        <w:rPr>
          <w:b/>
          <w:bCs/>
          <w:sz w:val="24"/>
          <w:szCs w:val="24"/>
          <w:u w:val="single"/>
          <w:lang w:val="ru-RU"/>
        </w:rPr>
      </w:pPr>
      <w:r w:rsidRPr="00EE7241">
        <w:rPr>
          <w:b/>
          <w:bCs/>
          <w:sz w:val="24"/>
          <w:szCs w:val="24"/>
          <w:u w:val="single"/>
          <w:lang w:val="ru-RU"/>
        </w:rPr>
        <w:t>В резултат на гореописан</w:t>
      </w:r>
      <w:r w:rsidRPr="00EE7241">
        <w:rPr>
          <w:b/>
          <w:bCs/>
          <w:sz w:val="24"/>
          <w:szCs w:val="24"/>
          <w:u w:val="single"/>
          <w:lang w:val="bg-BG"/>
        </w:rPr>
        <w:t xml:space="preserve">ите негативни процеси </w:t>
      </w:r>
      <w:r w:rsidRPr="00EE7241">
        <w:rPr>
          <w:b/>
          <w:bCs/>
          <w:sz w:val="24"/>
          <w:szCs w:val="24"/>
          <w:u w:val="single"/>
          <w:lang w:val="ru-RU"/>
        </w:rPr>
        <w:t xml:space="preserve"> през 2015 г. и първото полугодие на 2016 г. „ТЕЦ Марица изток 2“ ЕАД натрупа значителни задължения към доставчика на основно гориво – „Мини Марица - изток“ ЕАД, като е налице  просрочие във връзка с обслужването на същите. </w:t>
      </w:r>
    </w:p>
    <w:p w:rsidR="00F025E3" w:rsidRDefault="00F025E3" w:rsidP="00C912C6">
      <w:pPr>
        <w:ind w:firstLine="720"/>
        <w:jc w:val="both"/>
        <w:rPr>
          <w:sz w:val="24"/>
          <w:szCs w:val="24"/>
          <w:lang w:val="ru-RU"/>
        </w:rPr>
      </w:pPr>
    </w:p>
    <w:p w:rsidR="00F025E3" w:rsidRPr="00EE7241" w:rsidRDefault="00F025E3" w:rsidP="00C912C6">
      <w:pPr>
        <w:ind w:firstLine="720"/>
        <w:jc w:val="both"/>
        <w:rPr>
          <w:sz w:val="24"/>
          <w:szCs w:val="24"/>
          <w:lang w:val="ru-RU"/>
        </w:rPr>
      </w:pPr>
      <w:r w:rsidRPr="00EE7241">
        <w:rPr>
          <w:sz w:val="24"/>
          <w:szCs w:val="24"/>
          <w:lang w:val="ru-RU"/>
        </w:rPr>
        <w:t xml:space="preserve">За да си осигури необходимите парични потоци „Мини Марица - изток“ ЕАД разчита основно на „ТЕЦ Марица изток 2“ ЕАД и краткосрочно кредитиране (овърдрафти и цесии), като получаването на заеми е все по-трудно за минното дружество. </w:t>
      </w:r>
    </w:p>
    <w:p w:rsidR="00F025E3" w:rsidRPr="00EE7241" w:rsidRDefault="00F025E3" w:rsidP="00C912C6">
      <w:pPr>
        <w:ind w:firstLine="709"/>
        <w:jc w:val="both"/>
        <w:rPr>
          <w:sz w:val="24"/>
          <w:szCs w:val="24"/>
          <w:lang w:val="ru-RU"/>
        </w:rPr>
      </w:pPr>
      <w:r w:rsidRPr="00EE7241">
        <w:rPr>
          <w:sz w:val="24"/>
          <w:szCs w:val="24"/>
          <w:lang w:val="ru-RU"/>
        </w:rPr>
        <w:t>В същото време в резултат на гореописаните причини е все по-трудно „ТЕЦ Марица изток 2“ ЕАД да погасява навременно задълженията си към „Мини Марица - изток“ ЕАД без да изпада в просрочие към други свои контрагенти.</w:t>
      </w:r>
    </w:p>
    <w:p w:rsidR="00F025E3" w:rsidRPr="00EE7241" w:rsidRDefault="00F025E3" w:rsidP="00C912C6">
      <w:pPr>
        <w:ind w:firstLine="709"/>
        <w:jc w:val="both"/>
        <w:rPr>
          <w:sz w:val="24"/>
          <w:szCs w:val="24"/>
          <w:lang w:val="ru-RU"/>
        </w:rPr>
      </w:pPr>
      <w:r w:rsidRPr="00EE7241">
        <w:rPr>
          <w:sz w:val="24"/>
          <w:szCs w:val="24"/>
          <w:lang w:val="ru-RU"/>
        </w:rPr>
        <w:t xml:space="preserve">Един от вариантите за намаляване на задлъжнялостта на „ТЕЦ Марица изток 2“ ЕАД към „Мини Марица - изток“ ЕАД и осигуряването на свеж финансов ресурс за минното предприятие  </w:t>
      </w:r>
      <w:r w:rsidRPr="00EE7241">
        <w:rPr>
          <w:sz w:val="24"/>
          <w:szCs w:val="24"/>
          <w:lang w:val="bg-BG"/>
        </w:rPr>
        <w:t>беш</w:t>
      </w:r>
      <w:r w:rsidRPr="00EE7241">
        <w:rPr>
          <w:sz w:val="24"/>
          <w:szCs w:val="24"/>
          <w:lang w:val="ru-RU"/>
        </w:rPr>
        <w:t>е задълженията на „ТЕЦ Марица изток 2“ ЕАД към „БЕХ“ ЕАД в размер на  155</w:t>
      </w:r>
      <w:r w:rsidRPr="00EE7241">
        <w:rPr>
          <w:sz w:val="24"/>
          <w:szCs w:val="24"/>
        </w:rPr>
        <w:t> </w:t>
      </w:r>
      <w:r w:rsidRPr="00EE7241">
        <w:rPr>
          <w:sz w:val="24"/>
          <w:szCs w:val="24"/>
          <w:lang w:val="ru-RU"/>
        </w:rPr>
        <w:t>194</w:t>
      </w:r>
      <w:r w:rsidRPr="00EE7241">
        <w:rPr>
          <w:sz w:val="24"/>
          <w:szCs w:val="24"/>
        </w:rPr>
        <w:t> </w:t>
      </w:r>
      <w:r w:rsidRPr="00EE7241">
        <w:rPr>
          <w:sz w:val="24"/>
          <w:szCs w:val="24"/>
          <w:lang w:val="ru-RU"/>
        </w:rPr>
        <w:t>360 лева  да бъдат трансформирани в основен капитал.</w:t>
      </w:r>
    </w:p>
    <w:p w:rsidR="00F025E3" w:rsidRPr="00EE7241" w:rsidRDefault="00F025E3" w:rsidP="00C912C6">
      <w:pPr>
        <w:ind w:firstLine="709"/>
        <w:jc w:val="both"/>
        <w:rPr>
          <w:sz w:val="24"/>
          <w:szCs w:val="24"/>
          <w:lang w:val="ru-RU"/>
        </w:rPr>
      </w:pPr>
    </w:p>
    <w:p w:rsidR="00F025E3" w:rsidRPr="00EE7241" w:rsidRDefault="00F025E3" w:rsidP="00A02318">
      <w:pPr>
        <w:ind w:firstLine="720"/>
        <w:jc w:val="both"/>
        <w:rPr>
          <w:color w:val="000000"/>
          <w:sz w:val="24"/>
          <w:szCs w:val="24"/>
          <w:lang w:val="bg-BG"/>
        </w:rPr>
      </w:pPr>
      <w:r w:rsidRPr="00EE7241">
        <w:rPr>
          <w:color w:val="000000"/>
          <w:sz w:val="24"/>
          <w:szCs w:val="24"/>
          <w:lang w:val="bg-BG"/>
        </w:rPr>
        <w:t>С решение по т. I.2 от Протокол № 45-2015/25.09.2015 г. СД на „БЕХ“ ЕАД взема решение за увеличение на капитала на „ТЕЦ Марица изток 2” ЕАД със сумата от 55 333 664,86 лв. (Договор за заем № 41-2013/12339 от 25.07.2013 г.). С решение по т.1 от Протокол № Е-РД-21-64/30.12.2015г. на Министъра на енергетиката е издадено разрешение на „БЕХ”ЕАД да увеличи капитала на дъщерното дружество „ТЕЦ Марица изток 2”ЕАД по реда на чл.193 от ТЗ чрез издаване на нова емисия акции. което</w:t>
      </w:r>
      <w:r>
        <w:rPr>
          <w:color w:val="000000"/>
          <w:sz w:val="24"/>
          <w:szCs w:val="24"/>
          <w:lang w:val="en-US"/>
        </w:rPr>
        <w:t xml:space="preserve"> </w:t>
      </w:r>
      <w:r w:rsidRPr="00EE7241">
        <w:rPr>
          <w:color w:val="000000"/>
          <w:sz w:val="24"/>
          <w:szCs w:val="24"/>
          <w:lang w:val="bg-BG"/>
        </w:rPr>
        <w:t>беше вписано в Търговския регистър на 09.05.2016 г.  в размер на 49 550 780 лв.,</w:t>
      </w:r>
      <w:r>
        <w:rPr>
          <w:color w:val="000000"/>
          <w:sz w:val="24"/>
          <w:szCs w:val="24"/>
          <w:lang w:val="en-US"/>
        </w:rPr>
        <w:t xml:space="preserve"> </w:t>
      </w:r>
      <w:r w:rsidRPr="00EE7241">
        <w:rPr>
          <w:color w:val="000000"/>
          <w:sz w:val="24"/>
          <w:szCs w:val="24"/>
          <w:lang w:val="bg-BG"/>
        </w:rPr>
        <w:t>представляващо главницата по Договор за заем № 41-2013/12339 от 25.07.2013 г., чрез издаване на 4 955 078 нови обикновени поименни акции с право на глас с номинал 10 лева всяка По този нач</w:t>
      </w:r>
      <w:r>
        <w:rPr>
          <w:color w:val="000000"/>
          <w:sz w:val="24"/>
          <w:szCs w:val="24"/>
          <w:lang w:val="bg-BG"/>
        </w:rPr>
        <w:t>ин размерът на основния капитал</w:t>
      </w:r>
      <w:r>
        <w:rPr>
          <w:color w:val="000000"/>
          <w:sz w:val="24"/>
          <w:szCs w:val="24"/>
          <w:lang w:val="en-US"/>
        </w:rPr>
        <w:t xml:space="preserve"> </w:t>
      </w:r>
      <w:r w:rsidRPr="00EE7241">
        <w:rPr>
          <w:color w:val="000000"/>
          <w:sz w:val="24"/>
          <w:szCs w:val="24"/>
          <w:lang w:val="bg-BG"/>
        </w:rPr>
        <w:t>достигна 89 676 350,00 лева, разпределен на 8 967 535 обикновени поименни акции с право на глас с номинал 10 лева всяка.</w:t>
      </w:r>
    </w:p>
    <w:p w:rsidR="00F025E3" w:rsidRPr="00EE7241" w:rsidRDefault="00F025E3" w:rsidP="00EB417F">
      <w:pPr>
        <w:ind w:firstLine="720"/>
        <w:jc w:val="both"/>
        <w:rPr>
          <w:sz w:val="24"/>
          <w:szCs w:val="24"/>
          <w:lang w:val="bg-BG"/>
        </w:rPr>
      </w:pPr>
      <w:r w:rsidRPr="00EE7241">
        <w:rPr>
          <w:color w:val="000000"/>
          <w:sz w:val="24"/>
          <w:szCs w:val="24"/>
          <w:lang w:val="bg-BG"/>
        </w:rPr>
        <w:t xml:space="preserve">В края на месец май 2015 г. беше подписан договор за заем №13790/25.05.2015г.  от „БЕХ”ЕАД </w:t>
      </w:r>
      <w:r w:rsidRPr="00EE7241">
        <w:rPr>
          <w:color w:val="000000"/>
          <w:sz w:val="24"/>
          <w:szCs w:val="24"/>
          <w:lang w:val="ru-RU"/>
        </w:rPr>
        <w:t xml:space="preserve">на основание </w:t>
      </w:r>
      <w:r w:rsidRPr="00EE7241">
        <w:rPr>
          <w:color w:val="000000"/>
          <w:sz w:val="24"/>
          <w:szCs w:val="24"/>
          <w:lang w:val="bg-BG"/>
        </w:rPr>
        <w:t>Р</w:t>
      </w:r>
      <w:r w:rsidRPr="00EE7241">
        <w:rPr>
          <w:color w:val="000000"/>
          <w:sz w:val="24"/>
          <w:szCs w:val="24"/>
          <w:lang w:val="ru-RU"/>
        </w:rPr>
        <w:t>ешени</w:t>
      </w:r>
      <w:r w:rsidRPr="00EE7241">
        <w:rPr>
          <w:color w:val="000000"/>
          <w:sz w:val="24"/>
          <w:szCs w:val="24"/>
          <w:lang w:val="bg-BG"/>
        </w:rPr>
        <w:t>е</w:t>
      </w:r>
      <w:r w:rsidRPr="00EE7241">
        <w:rPr>
          <w:color w:val="000000"/>
          <w:sz w:val="24"/>
          <w:szCs w:val="24"/>
          <w:lang w:val="ru-RU"/>
        </w:rPr>
        <w:t xml:space="preserve"> по </w:t>
      </w:r>
      <w:r w:rsidRPr="00EE7241">
        <w:rPr>
          <w:color w:val="000000"/>
          <w:sz w:val="24"/>
          <w:szCs w:val="24"/>
          <w:lang w:val="bg-BG"/>
        </w:rPr>
        <w:t xml:space="preserve">т.ІІ.6 от </w:t>
      </w:r>
      <w:r w:rsidRPr="00EE7241">
        <w:rPr>
          <w:color w:val="000000"/>
          <w:sz w:val="24"/>
          <w:szCs w:val="24"/>
          <w:lang w:val="ru-RU"/>
        </w:rPr>
        <w:t>протокол №</w:t>
      </w:r>
      <w:r w:rsidRPr="00EE7241">
        <w:rPr>
          <w:color w:val="000000"/>
          <w:sz w:val="24"/>
          <w:szCs w:val="24"/>
          <w:lang w:val="bg-BG"/>
        </w:rPr>
        <w:t>24</w:t>
      </w:r>
      <w:r w:rsidRPr="00EE7241">
        <w:rPr>
          <w:color w:val="000000"/>
          <w:sz w:val="24"/>
          <w:szCs w:val="24"/>
          <w:lang w:val="ru-RU"/>
        </w:rPr>
        <w:t>-201</w:t>
      </w:r>
      <w:r w:rsidRPr="00EE7241">
        <w:rPr>
          <w:color w:val="000000"/>
          <w:sz w:val="24"/>
          <w:szCs w:val="24"/>
          <w:lang w:val="bg-BG"/>
        </w:rPr>
        <w:t>5</w:t>
      </w:r>
      <w:r w:rsidRPr="00EE7241">
        <w:rPr>
          <w:color w:val="000000"/>
          <w:sz w:val="24"/>
          <w:szCs w:val="24"/>
          <w:lang w:val="ru-RU"/>
        </w:rPr>
        <w:t xml:space="preserve"> от 2</w:t>
      </w:r>
      <w:r w:rsidRPr="00EE7241">
        <w:rPr>
          <w:color w:val="000000"/>
          <w:sz w:val="24"/>
          <w:szCs w:val="24"/>
          <w:lang w:val="bg-BG"/>
        </w:rPr>
        <w:t>1</w:t>
      </w:r>
      <w:r w:rsidRPr="00EE7241">
        <w:rPr>
          <w:color w:val="000000"/>
          <w:sz w:val="24"/>
          <w:szCs w:val="24"/>
          <w:lang w:val="ru-RU"/>
        </w:rPr>
        <w:t>.</w:t>
      </w:r>
      <w:r w:rsidRPr="00EE7241">
        <w:rPr>
          <w:color w:val="000000"/>
          <w:sz w:val="24"/>
          <w:szCs w:val="24"/>
          <w:lang w:val="bg-BG"/>
        </w:rPr>
        <w:t>05</w:t>
      </w:r>
      <w:r w:rsidRPr="00EE7241">
        <w:rPr>
          <w:color w:val="000000"/>
          <w:sz w:val="24"/>
          <w:szCs w:val="24"/>
          <w:lang w:val="ru-RU"/>
        </w:rPr>
        <w:t>.201</w:t>
      </w:r>
      <w:r w:rsidRPr="00EE7241">
        <w:rPr>
          <w:color w:val="000000"/>
          <w:sz w:val="24"/>
          <w:szCs w:val="24"/>
          <w:lang w:val="bg-BG"/>
        </w:rPr>
        <w:t>5</w:t>
      </w:r>
      <w:r w:rsidRPr="00EE7241">
        <w:rPr>
          <w:color w:val="000000"/>
          <w:sz w:val="24"/>
          <w:szCs w:val="24"/>
          <w:lang w:val="ru-RU"/>
        </w:rPr>
        <w:t>г. на Съвета на Директорите на „БЕХ“ ЕАД</w:t>
      </w:r>
      <w:r w:rsidRPr="00EE7241">
        <w:rPr>
          <w:color w:val="000000"/>
          <w:sz w:val="24"/>
          <w:szCs w:val="24"/>
          <w:lang w:val="bg-BG"/>
        </w:rPr>
        <w:t xml:space="preserve"> и</w:t>
      </w:r>
      <w:r w:rsidRPr="00EE7241">
        <w:rPr>
          <w:color w:val="000000"/>
          <w:sz w:val="24"/>
          <w:szCs w:val="24"/>
          <w:lang w:val="ru-RU"/>
        </w:rPr>
        <w:t xml:space="preserve"> Протокол №</w:t>
      </w:r>
      <w:r w:rsidRPr="00EE7241">
        <w:rPr>
          <w:color w:val="000000"/>
          <w:sz w:val="24"/>
          <w:szCs w:val="24"/>
          <w:lang w:val="bg-BG"/>
        </w:rPr>
        <w:t>Е-РД-21-26</w:t>
      </w:r>
      <w:r w:rsidRPr="00EE7241">
        <w:rPr>
          <w:color w:val="000000"/>
          <w:sz w:val="24"/>
          <w:szCs w:val="24"/>
          <w:lang w:val="ru-RU"/>
        </w:rPr>
        <w:t xml:space="preserve"> от 2</w:t>
      </w:r>
      <w:r w:rsidRPr="00EE7241">
        <w:rPr>
          <w:color w:val="000000"/>
          <w:sz w:val="24"/>
          <w:szCs w:val="24"/>
          <w:lang w:val="bg-BG"/>
        </w:rPr>
        <w:t>2</w:t>
      </w:r>
      <w:r w:rsidRPr="00EE7241">
        <w:rPr>
          <w:color w:val="000000"/>
          <w:sz w:val="24"/>
          <w:szCs w:val="24"/>
          <w:lang w:val="ru-RU"/>
        </w:rPr>
        <w:t>.</w:t>
      </w:r>
      <w:r w:rsidRPr="00EE7241">
        <w:rPr>
          <w:color w:val="000000"/>
          <w:sz w:val="24"/>
          <w:szCs w:val="24"/>
          <w:lang w:val="bg-BG"/>
        </w:rPr>
        <w:t>05</w:t>
      </w:r>
      <w:r w:rsidRPr="00EE7241">
        <w:rPr>
          <w:color w:val="000000"/>
          <w:sz w:val="24"/>
          <w:szCs w:val="24"/>
          <w:lang w:val="ru-RU"/>
        </w:rPr>
        <w:t>.201</w:t>
      </w:r>
      <w:r w:rsidRPr="00EE7241">
        <w:rPr>
          <w:color w:val="000000"/>
          <w:sz w:val="24"/>
          <w:szCs w:val="24"/>
          <w:lang w:val="bg-BG"/>
        </w:rPr>
        <w:t>5</w:t>
      </w:r>
      <w:r w:rsidRPr="00EE7241">
        <w:rPr>
          <w:color w:val="000000"/>
          <w:sz w:val="24"/>
          <w:szCs w:val="24"/>
          <w:lang w:val="ru-RU"/>
        </w:rPr>
        <w:t xml:space="preserve">г. на </w:t>
      </w:r>
      <w:r w:rsidRPr="00EE7241">
        <w:rPr>
          <w:color w:val="000000"/>
          <w:sz w:val="24"/>
          <w:szCs w:val="24"/>
          <w:lang w:val="bg-BG"/>
        </w:rPr>
        <w:t>М</w:t>
      </w:r>
      <w:r w:rsidRPr="00EE7241">
        <w:rPr>
          <w:color w:val="000000"/>
          <w:sz w:val="24"/>
          <w:szCs w:val="24"/>
          <w:lang w:val="ru-RU"/>
        </w:rPr>
        <w:t>инистъра на енергетиката</w:t>
      </w:r>
      <w:r w:rsidRPr="00EE7241">
        <w:rPr>
          <w:color w:val="000000"/>
          <w:sz w:val="24"/>
          <w:szCs w:val="24"/>
          <w:lang w:val="bg-BG"/>
        </w:rPr>
        <w:t xml:space="preserve"> за даване на разрешение на </w:t>
      </w:r>
      <w:r w:rsidRPr="00EE7241">
        <w:rPr>
          <w:color w:val="000000"/>
          <w:sz w:val="24"/>
          <w:szCs w:val="24"/>
          <w:lang w:val="ru-RU"/>
        </w:rPr>
        <w:t xml:space="preserve">„БЕХ“ ЕАД </w:t>
      </w:r>
      <w:r w:rsidRPr="00EE7241">
        <w:rPr>
          <w:color w:val="000000"/>
          <w:sz w:val="24"/>
          <w:szCs w:val="24"/>
          <w:lang w:val="bg-BG"/>
        </w:rPr>
        <w:t>да отпусне заем на</w:t>
      </w:r>
      <w:r w:rsidRPr="00EE7241">
        <w:rPr>
          <w:color w:val="000000"/>
          <w:sz w:val="24"/>
          <w:szCs w:val="24"/>
          <w:lang w:val="ru-RU"/>
        </w:rPr>
        <w:t>„ТЕЦ Марица изток 2” ЕАД</w:t>
      </w:r>
      <w:r w:rsidRPr="00EE7241">
        <w:rPr>
          <w:color w:val="000000"/>
          <w:sz w:val="24"/>
          <w:szCs w:val="24"/>
          <w:lang w:val="bg-BG"/>
        </w:rPr>
        <w:t xml:space="preserve"> в </w:t>
      </w:r>
      <w:r w:rsidRPr="00EE7241">
        <w:rPr>
          <w:color w:val="000000"/>
          <w:sz w:val="24"/>
          <w:szCs w:val="24"/>
          <w:lang w:val="ru-RU"/>
        </w:rPr>
        <w:t>размер на 2</w:t>
      </w:r>
      <w:r w:rsidRPr="00EE7241">
        <w:rPr>
          <w:color w:val="000000"/>
          <w:sz w:val="24"/>
          <w:szCs w:val="24"/>
          <w:lang w:val="bg-BG"/>
        </w:rPr>
        <w:t>0</w:t>
      </w:r>
      <w:r w:rsidRPr="00EE7241">
        <w:rPr>
          <w:color w:val="000000"/>
          <w:sz w:val="24"/>
          <w:szCs w:val="24"/>
        </w:rPr>
        <w:t> </w:t>
      </w:r>
      <w:r w:rsidRPr="00EE7241">
        <w:rPr>
          <w:color w:val="000000"/>
          <w:sz w:val="24"/>
          <w:szCs w:val="24"/>
          <w:lang w:val="ru-RU"/>
        </w:rPr>
        <w:t>0</w:t>
      </w:r>
      <w:r w:rsidRPr="00EE7241">
        <w:rPr>
          <w:color w:val="000000"/>
          <w:sz w:val="24"/>
          <w:szCs w:val="24"/>
          <w:lang w:val="bg-BG"/>
        </w:rPr>
        <w:t>00 хил.</w:t>
      </w:r>
      <w:r w:rsidRPr="00EE7241">
        <w:rPr>
          <w:color w:val="000000"/>
          <w:sz w:val="24"/>
          <w:szCs w:val="24"/>
          <w:lang w:val="ru-RU"/>
        </w:rPr>
        <w:t>л</w:t>
      </w:r>
      <w:r w:rsidRPr="00EE7241">
        <w:rPr>
          <w:color w:val="000000"/>
          <w:sz w:val="24"/>
          <w:szCs w:val="24"/>
          <w:lang w:val="bg-BG"/>
        </w:rPr>
        <w:t>в., който беше усвоен изцяло и се извърши плащане към „Мини Марица изток” ЕАД за доставени въглища</w:t>
      </w:r>
      <w:r w:rsidRPr="00EE7241">
        <w:rPr>
          <w:color w:val="000000"/>
          <w:sz w:val="24"/>
          <w:szCs w:val="24"/>
          <w:lang w:val="ru-RU"/>
        </w:rPr>
        <w:t xml:space="preserve">. </w:t>
      </w:r>
    </w:p>
    <w:p w:rsidR="00F025E3" w:rsidRPr="00EE7241" w:rsidRDefault="00F025E3" w:rsidP="00BB2158">
      <w:pPr>
        <w:ind w:firstLine="720"/>
        <w:jc w:val="both"/>
        <w:rPr>
          <w:sz w:val="24"/>
          <w:szCs w:val="24"/>
          <w:lang w:val="bg-BG"/>
        </w:rPr>
      </w:pPr>
      <w:r w:rsidRPr="00EE7241">
        <w:rPr>
          <w:sz w:val="24"/>
          <w:szCs w:val="24"/>
          <w:lang w:val="bg-BG"/>
        </w:rPr>
        <w:t>По заема се отчита просрочие от 20 000 хил.лв. към края на първото полугодие на 2016г., като не е извършено плащане на главница, като по този заем са платени единствено лихви през 2015</w:t>
      </w:r>
      <w:r>
        <w:rPr>
          <w:sz w:val="24"/>
          <w:szCs w:val="24"/>
          <w:lang w:val="en-US"/>
        </w:rPr>
        <w:t xml:space="preserve"> </w:t>
      </w:r>
      <w:r w:rsidRPr="00EE7241">
        <w:rPr>
          <w:sz w:val="24"/>
          <w:szCs w:val="24"/>
          <w:lang w:val="bg-BG"/>
        </w:rPr>
        <w:t xml:space="preserve">г. в размер на 51 хил.лв. </w:t>
      </w:r>
    </w:p>
    <w:p w:rsidR="00F025E3" w:rsidRPr="00B21FAB" w:rsidRDefault="00F025E3" w:rsidP="00B21FAB">
      <w:pPr>
        <w:pStyle w:val="BodyTextIndent"/>
        <w:ind w:left="0" w:right="-114" w:firstLine="720"/>
        <w:jc w:val="both"/>
        <w:rPr>
          <w:color w:val="000000"/>
          <w:sz w:val="24"/>
          <w:szCs w:val="24"/>
          <w:lang w:val="bg-BG"/>
        </w:rPr>
      </w:pPr>
      <w:r w:rsidRPr="00B21FAB">
        <w:rPr>
          <w:color w:val="000000"/>
          <w:sz w:val="24"/>
          <w:szCs w:val="24"/>
          <w:lang w:val="bg-BG"/>
        </w:rPr>
        <w:t>Въз основа на решение за предоставяне на заем по т.13 от Протокол №18/12.05.2016 г. на Съвета на Директорите на „ТЕЦ Марица изток 2“ ЕАД, на основание Решение по т.I.2. от Протокол № 31-2016/19.05.2016 г. от заседание на Съвета на Директорите на „БЕХ“ЕАД и Протокол № Е-РД-21-23 от 27.05.2016 г. на Министъра на енергетиката е дадено разрешение на „БЕХ“ЕАД за отпускане на заем на „ТЕЦ Марица изток 2“ ЕАД в размер на 60 000 хил.лв. със срок на действие 48 месеца и гратисен период 12 месеца при лихвен процент 4,49%. Съгласно Решение № Р-240/10.06.2016 г. на КЕВР беше дадено разрешение от регулатора за сключване на Договора за заем възлизащ на 60 000 хил.лв. Заемът беше усвоен в пълния размер от 60 000 хил.лв. и беше използван приоритетно за погасяване на задължения към „Мини Марица изток“ ЕАД.</w:t>
      </w:r>
    </w:p>
    <w:p w:rsidR="00F025E3" w:rsidRPr="00B21FAB" w:rsidRDefault="00F025E3" w:rsidP="00B21FAB">
      <w:pPr>
        <w:pStyle w:val="BodyTextIndent"/>
        <w:ind w:left="0" w:right="-114" w:firstLine="720"/>
        <w:jc w:val="both"/>
        <w:rPr>
          <w:color w:val="000000"/>
          <w:sz w:val="24"/>
          <w:szCs w:val="24"/>
          <w:lang w:val="bg-BG"/>
        </w:rPr>
      </w:pPr>
    </w:p>
    <w:p w:rsidR="00F025E3" w:rsidRPr="00EE7241" w:rsidRDefault="00F025E3" w:rsidP="009833A5">
      <w:pPr>
        <w:pStyle w:val="BodyTextIndent"/>
        <w:ind w:left="0" w:right="-114" w:firstLine="720"/>
        <w:jc w:val="both"/>
        <w:rPr>
          <w:color w:val="000000"/>
          <w:sz w:val="24"/>
          <w:szCs w:val="24"/>
          <w:lang w:val="bg-BG"/>
        </w:rPr>
      </w:pPr>
      <w:r w:rsidRPr="00EE7241">
        <w:rPr>
          <w:color w:val="000000"/>
          <w:sz w:val="24"/>
          <w:szCs w:val="24"/>
          <w:lang w:val="bg-BG"/>
        </w:rPr>
        <w:t>Във връзка с натрупано значително просрочие към „Мини Марица изток” ЕАД мината пристъпи към цедиране на част от вземанията си от „ТЕЦ Марица изток 2“ ЕАД. На „Търговска банка Д“ АД бяха цедирани 10 000 хил.лв. с падеж до 07.04.2016 г., като на 09.06.2016г. бе подписано споразумение между „Търговска банка Д“ АД и „ТЕЦ Марица изток 2“ ЕАД с което се договори нов погасителен план за дължимия остатък от задължения по цесията  в размер на 7 500 хил.лв. на 12/дванадесет/ равни месечни вноски по 625 хил.лв. считано от 25.06.2016г. до 25.05.2017г.</w:t>
      </w:r>
    </w:p>
    <w:p w:rsidR="00F025E3" w:rsidRPr="00EE7241" w:rsidRDefault="00F025E3" w:rsidP="009833A5">
      <w:pPr>
        <w:pStyle w:val="BodyTextIndent"/>
        <w:ind w:left="0" w:right="-114" w:firstLine="720"/>
        <w:jc w:val="both"/>
        <w:rPr>
          <w:sz w:val="24"/>
          <w:szCs w:val="24"/>
          <w:lang w:val="bg-BG"/>
        </w:rPr>
      </w:pPr>
      <w:r w:rsidRPr="00EE7241">
        <w:rPr>
          <w:color w:val="000000"/>
          <w:sz w:val="24"/>
          <w:szCs w:val="24"/>
          <w:lang w:val="bg-BG"/>
        </w:rPr>
        <w:t>На „Българска Банка за Развитие“ АД бяха цедирани задължения в размер на 50 000 хил.лв. със срок на погасяване 50 месеца в периода от 30.10.2015г. до 29.11.2019г.(1 000 хил.лв. на месец) като към края на първото полугодие на 2016г. задълженията се погасяват в срок.</w:t>
      </w:r>
    </w:p>
    <w:p w:rsidR="00F025E3" w:rsidRDefault="00F025E3" w:rsidP="00BB2158">
      <w:pPr>
        <w:ind w:firstLine="720"/>
        <w:jc w:val="both"/>
        <w:rPr>
          <w:sz w:val="24"/>
          <w:szCs w:val="24"/>
          <w:lang w:val="bg-BG"/>
        </w:rPr>
      </w:pPr>
      <w:r w:rsidRPr="00EE7241">
        <w:rPr>
          <w:sz w:val="24"/>
          <w:szCs w:val="24"/>
          <w:lang w:val="bg-BG"/>
        </w:rPr>
        <w:t>В края</w:t>
      </w:r>
      <w:r>
        <w:rPr>
          <w:sz w:val="24"/>
          <w:szCs w:val="24"/>
          <w:lang w:val="bg-BG"/>
        </w:rPr>
        <w:t xml:space="preserve"> на м. Февруари/началото на м</w:t>
      </w:r>
      <w:r w:rsidRPr="00EE7241">
        <w:rPr>
          <w:sz w:val="24"/>
          <w:szCs w:val="24"/>
          <w:lang w:val="bg-BG"/>
        </w:rPr>
        <w:t>. Март  2016 г. беше извършено плащането на поредната (15-та) вноска по обслужването на дългосрочния инвестиционен заем, отпуснат от ЯБМС за финансиране на проекта за рехабилитация на старата част на централата. Заемът се обслужва редовно като не е допускано никакво просрочие.</w:t>
      </w:r>
    </w:p>
    <w:p w:rsidR="00F025E3" w:rsidRDefault="00F025E3" w:rsidP="00BB2158">
      <w:pPr>
        <w:ind w:firstLine="720"/>
        <w:jc w:val="both"/>
        <w:rPr>
          <w:sz w:val="24"/>
          <w:szCs w:val="24"/>
          <w:lang w:val="bg-BG"/>
        </w:rPr>
      </w:pPr>
    </w:p>
    <w:p w:rsidR="00F025E3" w:rsidRPr="00ED7EF4" w:rsidRDefault="00F025E3" w:rsidP="00123771">
      <w:pPr>
        <w:ind w:firstLine="720"/>
        <w:jc w:val="both"/>
        <w:rPr>
          <w:b/>
          <w:bCs/>
          <w:sz w:val="24"/>
          <w:szCs w:val="24"/>
          <w:lang w:val="bg-BG"/>
        </w:rPr>
      </w:pPr>
      <w:r w:rsidRPr="00ED7EF4">
        <w:rPr>
          <w:b/>
          <w:bCs/>
          <w:sz w:val="24"/>
          <w:szCs w:val="24"/>
          <w:lang w:val="ru-RU"/>
        </w:rPr>
        <w:t>Р</w:t>
      </w:r>
      <w:r w:rsidRPr="00ED7EF4">
        <w:rPr>
          <w:b/>
          <w:bCs/>
          <w:sz w:val="24"/>
          <w:szCs w:val="24"/>
          <w:lang w:val="bg-BG"/>
        </w:rPr>
        <w:t>егулаторните рамки спуснати над дружеството от националното ни и международно законодателство водят до значително увеличение на разходите, намаление на приходите и генериране на отрицателни финансови резултати.</w:t>
      </w:r>
    </w:p>
    <w:p w:rsidR="00F025E3" w:rsidRPr="00ED7EF4" w:rsidRDefault="00F025E3" w:rsidP="00123771">
      <w:pPr>
        <w:ind w:firstLine="709"/>
        <w:jc w:val="both"/>
        <w:rPr>
          <w:sz w:val="24"/>
          <w:szCs w:val="24"/>
          <w:lang w:val="bg-BG"/>
        </w:rPr>
      </w:pPr>
      <w:r w:rsidRPr="00ED7EF4">
        <w:rPr>
          <w:sz w:val="24"/>
          <w:szCs w:val="24"/>
          <w:lang w:val="bg-BG"/>
        </w:rPr>
        <w:t>При условие, че „ТЕЦ Марица изток 2” ЕАД не може да реализира необходимите количества разполагаема мощност, дружеството е принудено да произвежда и да реализира максимално възможни количества ел.енергия. Във връзка с действието на редица европейски директиви в областта на екологията, себестойността на произвежданата ел.енергия за периода 2013 – 2015 г. се увеличи значително, което в съчетание с ниските цени на електроенергията на свободния пазар и наличието на такси, които се налагат върху търгуваните количества води до невъзможност дружеството да получи приходи, които да покрият разходите за производство.</w:t>
      </w:r>
    </w:p>
    <w:p w:rsidR="00F025E3" w:rsidRPr="00ED7EF4" w:rsidRDefault="00F025E3" w:rsidP="00123771">
      <w:pPr>
        <w:ind w:firstLine="720"/>
        <w:jc w:val="both"/>
        <w:rPr>
          <w:sz w:val="24"/>
          <w:szCs w:val="24"/>
          <w:lang w:val="bg-BG"/>
        </w:rPr>
      </w:pPr>
      <w:r w:rsidRPr="00ED7EF4">
        <w:rPr>
          <w:sz w:val="24"/>
          <w:szCs w:val="24"/>
          <w:lang w:val="bg-BG"/>
        </w:rPr>
        <w:t>Допълнителен негативен ефект се очаква и от прогнозата на „Мини Марица - изток“ ЕАД за количествата въглища, които могат да доставят на „ТЕЦ Марица изток 2“ ЕАД през следващите няколко години. „Мини Марица - изток“ ЕАД предвижда ограничение на количеството въглища, които могат да бъдат доставени на „ТЕЦ Марица изток 2“ ЕАД, което ще доведе до мощности в принудителен престой, за които няма да се плаща разполагаема мощност</w:t>
      </w:r>
      <w:r w:rsidRPr="00C0332F">
        <w:rPr>
          <w:sz w:val="24"/>
          <w:szCs w:val="24"/>
          <w:lang w:val="ru-RU"/>
        </w:rPr>
        <w:t xml:space="preserve">, </w:t>
      </w:r>
      <w:r w:rsidRPr="00ED7EF4">
        <w:rPr>
          <w:sz w:val="24"/>
          <w:szCs w:val="24"/>
          <w:lang w:val="bg-BG"/>
        </w:rPr>
        <w:t xml:space="preserve">но ще се търпят разходи.  </w:t>
      </w:r>
    </w:p>
    <w:p w:rsidR="00F025E3" w:rsidRPr="00ED7EF4" w:rsidRDefault="00F025E3" w:rsidP="00123771">
      <w:pPr>
        <w:ind w:right="28" w:firstLine="709"/>
        <w:jc w:val="both"/>
        <w:rPr>
          <w:sz w:val="24"/>
          <w:szCs w:val="24"/>
          <w:lang w:val="bg-BG"/>
        </w:rPr>
      </w:pPr>
      <w:r w:rsidRPr="00ED7EF4">
        <w:rPr>
          <w:sz w:val="24"/>
          <w:szCs w:val="24"/>
          <w:lang w:val="bg-BG"/>
        </w:rPr>
        <w:t xml:space="preserve">Допълнително неблагоприятно отражение върху финансовото състояние на дружеството оказва и изпълнение на поети „Ангажименти, представени от „Български Енергиен Холдинг“ ЕАД, „Национална електрическа компания, „ТЕЦ Марица изток 2” ЕАД, „АЕЦ Козлодуй” ЕАД по дело АТ. 39767 – БЕХ електричество като се отчита и нарастващия риск от увеличаване на предлаганите на борсовата платформа количества електрическа енергия за всяка следваща година. </w:t>
      </w:r>
    </w:p>
    <w:p w:rsidR="00F025E3" w:rsidRPr="00123771" w:rsidRDefault="00F025E3" w:rsidP="00123771">
      <w:pPr>
        <w:pStyle w:val="Normal12pt"/>
        <w:ind w:firstLine="709"/>
        <w:jc w:val="both"/>
      </w:pPr>
      <w:r>
        <w:t>О</w:t>
      </w:r>
      <w:r w:rsidRPr="00ED7EF4">
        <w:t>т месец Февруари 2016г. се наблюдава значителен спад на цените на електрическата енергия в страната и региона. Цените по борсите, на които се търгува електрическа енергия се сринаха до нива от 22.00 €/MWh до 29.00 €</w:t>
      </w:r>
      <w:r w:rsidRPr="00C0332F">
        <w:rPr>
          <w:lang w:val="ru-RU"/>
        </w:rPr>
        <w:t>/</w:t>
      </w:r>
      <w:r w:rsidRPr="00ED7EF4">
        <w:rPr>
          <w:lang w:val="en-US"/>
        </w:rPr>
        <w:t>MWh</w:t>
      </w:r>
      <w:r w:rsidRPr="00ED7EF4">
        <w:t xml:space="preserve">.Отчита се и тенденция за загуба на интерес от реализиране на количества електрическа енергия по съществуващи дългосрочни договори </w:t>
      </w:r>
      <w:r w:rsidRPr="00123771">
        <w:t>по причина на действащия пазарен модел с продажба на количества електрическа енергия на нереално ниски цени от пазарни участници.</w:t>
      </w:r>
    </w:p>
    <w:p w:rsidR="00F025E3" w:rsidRPr="004D2F56" w:rsidRDefault="00F025E3" w:rsidP="00123771">
      <w:pPr>
        <w:ind w:firstLine="720"/>
        <w:jc w:val="both"/>
        <w:rPr>
          <w:sz w:val="24"/>
          <w:szCs w:val="24"/>
          <w:lang w:val="bg-BG"/>
        </w:rPr>
      </w:pPr>
      <w:r w:rsidRPr="004D2F56">
        <w:rPr>
          <w:b/>
          <w:bCs/>
          <w:sz w:val="24"/>
          <w:szCs w:val="24"/>
          <w:lang w:val="bg-BG"/>
        </w:rPr>
        <w:t>След приспадане на таксите за пренос и достъп, за да постигне конкурентни цени на предлаганата ел.енергия „ТЕЦ Марица изток 2” ЕАД следва да продава дори под цената определена от КЕВР за новия ценови период (69,11 лв/MWh).</w:t>
      </w:r>
    </w:p>
    <w:p w:rsidR="00F025E3" w:rsidRPr="00ED7EF4" w:rsidRDefault="00F025E3" w:rsidP="00123771">
      <w:pPr>
        <w:pStyle w:val="Normal12pt"/>
        <w:ind w:firstLine="709"/>
        <w:jc w:val="both"/>
      </w:pPr>
      <w:r w:rsidRPr="00ED7EF4">
        <w:t>Допълнителен негативен ефект се очаква и от фактът, че според Решение № 19/30.06.2016г., за новия регулаторен период се предвижда „НЕК” ЕАД да продава на свободния пазар голяма част от количествата, които общественият доставчик има задължение да изкупи,</w:t>
      </w:r>
      <w:r w:rsidRPr="00C0332F">
        <w:rPr>
          <w:lang w:val="ru-RU"/>
        </w:rPr>
        <w:t xml:space="preserve"> като разликата между по-високите от пазарните цени (по които НЕК ЕАД изкупува електрическата енергия по чл. 93а и чл. 94 от ЗЕ) и пазарната цена се компенсира чрез част от приходите на обществения доставчик от цената за задължения към обществото.</w:t>
      </w:r>
      <w:r w:rsidRPr="00ED7EF4">
        <w:t xml:space="preserve"> Това ще окаже изключително негативно влияние върху предлаган</w:t>
      </w:r>
      <w:r>
        <w:t>е</w:t>
      </w:r>
      <w:r w:rsidRPr="00ED7EF4">
        <w:t>то на електроенергия от страна на „ТЕЦ Марица изток 2” ЕАД на свободен пазар. Предвидените количества на свободен пазар за НЕК” ЕАД - Обществен доставчик, които са в размер на 6 356 521 MWh (736 MW средно на час), представляват 36,25% от задължителната квота за изкупуване и над 19% от очакваната обща консумация на ел.енергия в страната и буквално заличава участието и възможността за такова на „ТЕЦ Марица изток 2” ЕАД на свободен пазар.</w:t>
      </w:r>
    </w:p>
    <w:p w:rsidR="00F025E3" w:rsidRPr="00ED7EF4" w:rsidRDefault="00F025E3" w:rsidP="00123771">
      <w:pPr>
        <w:ind w:firstLine="720"/>
        <w:jc w:val="both"/>
        <w:rPr>
          <w:sz w:val="24"/>
          <w:szCs w:val="24"/>
          <w:lang w:val="bg-BG"/>
        </w:rPr>
      </w:pPr>
    </w:p>
    <w:p w:rsidR="00F025E3" w:rsidRPr="00ED7EF4" w:rsidRDefault="00F025E3" w:rsidP="00123771">
      <w:pPr>
        <w:ind w:firstLine="720"/>
        <w:jc w:val="both"/>
        <w:rPr>
          <w:b/>
          <w:bCs/>
          <w:sz w:val="24"/>
          <w:szCs w:val="24"/>
          <w:lang w:val="bg-BG" w:eastAsia="bg-BG"/>
        </w:rPr>
      </w:pPr>
      <w:r w:rsidRPr="00ED7EF4">
        <w:rPr>
          <w:b/>
          <w:bCs/>
          <w:sz w:val="24"/>
          <w:szCs w:val="24"/>
          <w:lang w:val="ru-RU"/>
        </w:rPr>
        <w:t xml:space="preserve">В резултат на гореописаните причини, освен отрицателнте финансови резултати </w:t>
      </w:r>
      <w:r w:rsidRPr="00ED7EF4">
        <w:rPr>
          <w:b/>
          <w:bCs/>
          <w:sz w:val="24"/>
          <w:szCs w:val="24"/>
          <w:lang w:val="bg-BG"/>
        </w:rPr>
        <w:t xml:space="preserve">„ТЕЦ Марица изток 2“ ЕАД отчита и значително просрочие при обслужване на задълженията си. Към 30.06.2016 г. общият размер на просрочените задължения на дружеството е 204 640 хил.лв., от които 153 260 хил.лв. към дружества от групата на „БЕХ“ ЕАД, 27 436 хил.лв. към </w:t>
      </w:r>
      <w:r w:rsidRPr="00ED7EF4">
        <w:rPr>
          <w:b/>
          <w:bCs/>
          <w:sz w:val="24"/>
          <w:szCs w:val="24"/>
          <w:lang w:val="bg-BG" w:eastAsia="bg-BG"/>
        </w:rPr>
        <w:t>Фонд "Сигурност на електроенергийната система" и 26 944 хил.лв. към други контрагенти.</w:t>
      </w:r>
    </w:p>
    <w:p w:rsidR="00F025E3" w:rsidRDefault="00F025E3" w:rsidP="00123771">
      <w:pPr>
        <w:ind w:firstLine="720"/>
        <w:jc w:val="both"/>
        <w:rPr>
          <w:sz w:val="24"/>
          <w:szCs w:val="24"/>
          <w:lang w:val="bg-BG" w:eastAsia="bg-BG"/>
        </w:rPr>
      </w:pPr>
    </w:p>
    <w:p w:rsidR="00F025E3" w:rsidRPr="00ED7EF4" w:rsidRDefault="00F025E3" w:rsidP="00123771">
      <w:pPr>
        <w:ind w:firstLine="720"/>
        <w:jc w:val="both"/>
        <w:rPr>
          <w:sz w:val="24"/>
          <w:szCs w:val="24"/>
          <w:lang w:val="bg-BG"/>
        </w:rPr>
      </w:pPr>
      <w:bookmarkStart w:id="0" w:name="_GoBack"/>
      <w:bookmarkEnd w:id="0"/>
      <w:r w:rsidRPr="00ED7EF4">
        <w:rPr>
          <w:sz w:val="24"/>
          <w:szCs w:val="24"/>
          <w:lang w:val="bg-BG" w:eastAsia="bg-BG"/>
        </w:rPr>
        <w:t>Налице е риск от невъзможност да бъдат реализирани проектите, включени в Националния план за инвестиции, срещу които дружеството има право да получи безплатни квоти за парникови газове, както и риск от неизпълнение в пълен обем на предвидените дейности по ремонтната и инвестиционната програма, което ще доведе по повишаване на аварийността на съоръженията.</w:t>
      </w:r>
    </w:p>
    <w:p w:rsidR="00F025E3" w:rsidRPr="00ED7EF4" w:rsidRDefault="00F025E3" w:rsidP="00123771">
      <w:pPr>
        <w:ind w:firstLine="720"/>
        <w:jc w:val="both"/>
        <w:rPr>
          <w:b/>
          <w:bCs/>
          <w:sz w:val="24"/>
          <w:szCs w:val="24"/>
          <w:lang w:val="bg-BG"/>
        </w:rPr>
      </w:pPr>
    </w:p>
    <w:p w:rsidR="00F025E3" w:rsidRPr="00ED7EF4" w:rsidRDefault="00F025E3" w:rsidP="00123771">
      <w:pPr>
        <w:ind w:firstLine="720"/>
        <w:jc w:val="both"/>
        <w:rPr>
          <w:sz w:val="24"/>
          <w:szCs w:val="24"/>
          <w:lang w:val="bg-BG"/>
        </w:rPr>
      </w:pPr>
      <w:r w:rsidRPr="00ED7EF4">
        <w:rPr>
          <w:sz w:val="24"/>
          <w:szCs w:val="24"/>
          <w:lang w:val="bg-BG"/>
        </w:rPr>
        <w:t>„</w:t>
      </w:r>
      <w:r w:rsidRPr="00ED7EF4">
        <w:rPr>
          <w:b/>
          <w:bCs/>
          <w:sz w:val="24"/>
          <w:szCs w:val="24"/>
          <w:lang w:val="bg-BG"/>
        </w:rPr>
        <w:t>ТЕЦ Марица изток 2“ ЕАД е кредитополучател по дългосрочен инвестиционен заем от ЯБМС</w:t>
      </w:r>
      <w:r w:rsidRPr="00ED7EF4">
        <w:rPr>
          <w:sz w:val="24"/>
          <w:szCs w:val="24"/>
          <w:lang w:val="bg-BG"/>
        </w:rPr>
        <w:t xml:space="preserve"> (Японска Банка за Международно Сътрудничество), като договорът за кредит е сключен на 09.Юли.2004 г. Кредитът има за цел да финансира на т.нар. „Японски проект” в ТЕЦ Марица Изток 2 ЕАД. Общата стойност на главницата по заемното споразумение е 25 106 616 600 японски йени (85% от общата стойност на проекта). </w:t>
      </w:r>
      <w:r w:rsidRPr="00ED7EF4">
        <w:rPr>
          <w:b/>
          <w:bCs/>
          <w:sz w:val="24"/>
          <w:szCs w:val="24"/>
          <w:lang w:val="bg-BG"/>
        </w:rPr>
        <w:t xml:space="preserve">Заемът е държавно гарантиран. </w:t>
      </w:r>
      <w:r w:rsidRPr="00ED7EF4">
        <w:rPr>
          <w:sz w:val="24"/>
          <w:szCs w:val="24"/>
          <w:lang w:val="bg-BG"/>
        </w:rPr>
        <w:t>Споразумението за гаранция  между правителството на Република България и ЯБМС е ратифицирано със закон от 29 юли 2004 г. и съгласно него правителството на Република България гарантира на ЯБМС надлежното и точно плащане на цялата сума на главницата в размер на 25 106 616 600 японски йени, лихви, такси и всякакви други разходи, дължими от заемополучателя на ЯБМС. До момента във връзка с обслужването на заема не са допускани никакви просрочия.</w:t>
      </w:r>
    </w:p>
    <w:p w:rsidR="00F025E3" w:rsidRPr="00BB2158" w:rsidRDefault="00F025E3" w:rsidP="00123771">
      <w:pPr>
        <w:ind w:firstLine="720"/>
        <w:jc w:val="both"/>
        <w:rPr>
          <w:sz w:val="24"/>
          <w:szCs w:val="24"/>
          <w:lang w:val="bg-BG"/>
        </w:rPr>
      </w:pPr>
      <w:r w:rsidRPr="00ED7EF4">
        <w:rPr>
          <w:b/>
          <w:bCs/>
          <w:sz w:val="24"/>
          <w:szCs w:val="24"/>
          <w:lang w:val="bg-BG"/>
        </w:rPr>
        <w:t xml:space="preserve">С падеж 08.09.2016 г. е поредната вноска по обслужване на заема, в размер на 1 255 331 000,00 яп.йени главница и 76 888 122,00 яп.йени лихва. Левовата равностойност на плащането, което „ТЕЦ Марица изток 2“ ЕАД следва да извърши към ЯБМС е около 22,86 млн.лева, които дружеството едва ли ще може да осигури, при което </w:t>
      </w:r>
      <w:r w:rsidRPr="00ED7EF4">
        <w:rPr>
          <w:b/>
          <w:bCs/>
          <w:sz w:val="24"/>
          <w:szCs w:val="24"/>
          <w:u w:val="single"/>
          <w:lang w:val="bg-BG"/>
        </w:rPr>
        <w:t>възниква и риск от активиране на държавната гаранция и обременяване на държавния бюджет</w:t>
      </w:r>
      <w:r>
        <w:rPr>
          <w:b/>
          <w:bCs/>
          <w:sz w:val="24"/>
          <w:szCs w:val="24"/>
          <w:u w:val="single"/>
          <w:lang w:val="bg-BG"/>
        </w:rPr>
        <w:t>.</w:t>
      </w:r>
    </w:p>
    <w:p w:rsidR="00F025E3" w:rsidRDefault="00F025E3" w:rsidP="0036534C">
      <w:pPr>
        <w:pStyle w:val="BodyTextIndent"/>
        <w:ind w:left="0" w:right="-114"/>
        <w:jc w:val="both"/>
        <w:rPr>
          <w:b/>
          <w:bCs/>
          <w:sz w:val="24"/>
          <w:szCs w:val="24"/>
          <w:lang w:val="ru-RU"/>
        </w:rPr>
      </w:pPr>
    </w:p>
    <w:p w:rsidR="00F025E3" w:rsidRDefault="00F025E3" w:rsidP="0036534C">
      <w:pPr>
        <w:pStyle w:val="BodyTextIndent"/>
        <w:ind w:left="0" w:right="-114"/>
        <w:jc w:val="both"/>
        <w:rPr>
          <w:b/>
          <w:bCs/>
          <w:sz w:val="24"/>
          <w:szCs w:val="24"/>
          <w:lang w:val="ru-RU"/>
        </w:rPr>
      </w:pPr>
    </w:p>
    <w:p w:rsidR="00F025E3" w:rsidRPr="00C6341B" w:rsidRDefault="00F025E3" w:rsidP="0036534C">
      <w:pPr>
        <w:pStyle w:val="BodyTextIndent"/>
        <w:ind w:left="0" w:right="-114"/>
        <w:jc w:val="both"/>
        <w:rPr>
          <w:b/>
          <w:bCs/>
          <w:sz w:val="24"/>
          <w:szCs w:val="24"/>
          <w:lang w:val="ru-RU"/>
        </w:rPr>
      </w:pPr>
    </w:p>
    <w:p w:rsidR="00F025E3" w:rsidRDefault="00F025E3" w:rsidP="0036534C">
      <w:pPr>
        <w:pStyle w:val="BodyTextIndent"/>
        <w:ind w:left="0" w:right="-114"/>
        <w:jc w:val="both"/>
        <w:rPr>
          <w:b/>
          <w:bCs/>
          <w:sz w:val="24"/>
          <w:szCs w:val="24"/>
          <w:lang w:val="ru-RU"/>
        </w:rPr>
      </w:pPr>
      <w:r w:rsidRPr="00A64C8D">
        <w:rPr>
          <w:b/>
          <w:bCs/>
          <w:sz w:val="24"/>
          <w:szCs w:val="24"/>
          <w:lang w:val="bg-BG"/>
        </w:rPr>
        <w:t>Изготвил</w:t>
      </w:r>
      <w:r w:rsidRPr="00A64C8D">
        <w:rPr>
          <w:b/>
          <w:bCs/>
          <w:sz w:val="24"/>
          <w:szCs w:val="24"/>
          <w:lang w:val="ru-RU"/>
        </w:rPr>
        <w:t>,</w:t>
      </w:r>
    </w:p>
    <w:p w:rsidR="00F025E3" w:rsidRDefault="00F025E3" w:rsidP="0036534C">
      <w:pPr>
        <w:pStyle w:val="BodyTextIndent"/>
        <w:ind w:left="0" w:right="-114"/>
        <w:jc w:val="both"/>
        <w:rPr>
          <w:b/>
          <w:bCs/>
          <w:sz w:val="24"/>
          <w:szCs w:val="24"/>
          <w:lang w:val="ru-RU"/>
        </w:rPr>
      </w:pPr>
    </w:p>
    <w:p w:rsidR="00F025E3" w:rsidRDefault="00F025E3" w:rsidP="0036534C">
      <w:pPr>
        <w:pStyle w:val="BodyTextIndent"/>
        <w:ind w:left="0" w:right="-114"/>
        <w:jc w:val="both"/>
        <w:rPr>
          <w:b/>
          <w:bCs/>
          <w:sz w:val="24"/>
          <w:szCs w:val="24"/>
          <w:lang w:val="ru-RU"/>
        </w:rPr>
      </w:pPr>
      <w:r>
        <w:rPr>
          <w:b/>
          <w:bCs/>
          <w:sz w:val="24"/>
          <w:szCs w:val="24"/>
          <w:lang w:val="ru-RU"/>
        </w:rPr>
        <w:t>Станимир Генов</w:t>
      </w:r>
    </w:p>
    <w:p w:rsidR="00F025E3" w:rsidRDefault="00F025E3" w:rsidP="0036534C">
      <w:pPr>
        <w:pStyle w:val="BodyTextIndent"/>
        <w:ind w:left="0" w:right="-114"/>
        <w:jc w:val="both"/>
        <w:rPr>
          <w:b/>
          <w:bCs/>
          <w:sz w:val="24"/>
          <w:szCs w:val="24"/>
          <w:lang w:val="ru-RU"/>
        </w:rPr>
      </w:pPr>
      <w:r>
        <w:rPr>
          <w:b/>
          <w:bCs/>
          <w:sz w:val="24"/>
          <w:szCs w:val="24"/>
          <w:lang w:val="ru-RU"/>
        </w:rPr>
        <w:t>Икономист - плановик</w:t>
      </w:r>
    </w:p>
    <w:p w:rsidR="00F025E3" w:rsidRDefault="00F025E3" w:rsidP="0036534C">
      <w:pPr>
        <w:pStyle w:val="BodyTextIndent"/>
        <w:ind w:left="0" w:right="-114"/>
        <w:jc w:val="both"/>
        <w:rPr>
          <w:b/>
          <w:bCs/>
          <w:sz w:val="24"/>
          <w:szCs w:val="24"/>
          <w:lang w:val="ru-RU"/>
        </w:rPr>
      </w:pPr>
    </w:p>
    <w:p w:rsidR="00F025E3" w:rsidRDefault="00F025E3" w:rsidP="0036534C">
      <w:pPr>
        <w:pStyle w:val="BodyTextIndent"/>
        <w:ind w:left="0" w:right="-114"/>
        <w:jc w:val="both"/>
        <w:rPr>
          <w:b/>
          <w:bCs/>
          <w:sz w:val="24"/>
          <w:szCs w:val="24"/>
          <w:lang w:val="ru-RU"/>
        </w:rPr>
      </w:pPr>
    </w:p>
    <w:p w:rsidR="00F025E3" w:rsidRPr="00A64C8D" w:rsidRDefault="00F025E3" w:rsidP="0036534C">
      <w:pPr>
        <w:pStyle w:val="BodyTextIndent"/>
        <w:ind w:left="0" w:right="-114"/>
        <w:jc w:val="both"/>
        <w:rPr>
          <w:b/>
          <w:bCs/>
          <w:sz w:val="24"/>
          <w:szCs w:val="24"/>
          <w:lang w:val="ru-RU"/>
        </w:rPr>
      </w:pPr>
      <w:r>
        <w:rPr>
          <w:b/>
          <w:bCs/>
          <w:sz w:val="24"/>
          <w:szCs w:val="24"/>
          <w:lang w:val="ru-RU"/>
        </w:rPr>
        <w:t>Съгласувал</w:t>
      </w:r>
    </w:p>
    <w:p w:rsidR="00F025E3" w:rsidRDefault="00F025E3" w:rsidP="0036534C">
      <w:pPr>
        <w:pStyle w:val="BodyTextIndent"/>
        <w:ind w:left="0" w:right="-114"/>
        <w:jc w:val="both"/>
        <w:rPr>
          <w:b/>
          <w:bCs/>
          <w:sz w:val="24"/>
          <w:szCs w:val="24"/>
          <w:lang w:val="bg-BG"/>
        </w:rPr>
      </w:pPr>
      <w:r>
        <w:rPr>
          <w:b/>
          <w:bCs/>
          <w:sz w:val="24"/>
          <w:szCs w:val="24"/>
          <w:lang w:val="bg-BG"/>
        </w:rPr>
        <w:t>Сотир Сотиров</w:t>
      </w:r>
    </w:p>
    <w:p w:rsidR="00F025E3" w:rsidRPr="00A64C8D" w:rsidRDefault="00F025E3" w:rsidP="0036534C">
      <w:pPr>
        <w:pStyle w:val="BodyTextIndent"/>
        <w:ind w:left="0" w:right="-114"/>
        <w:jc w:val="both"/>
        <w:rPr>
          <w:sz w:val="24"/>
          <w:szCs w:val="24"/>
          <w:lang w:val="bg-BG"/>
        </w:rPr>
      </w:pPr>
      <w:r w:rsidRPr="00A64C8D">
        <w:rPr>
          <w:b/>
          <w:bCs/>
          <w:sz w:val="24"/>
          <w:szCs w:val="24"/>
          <w:lang w:val="bg-BG"/>
        </w:rPr>
        <w:t>Главен счетоводител</w:t>
      </w:r>
    </w:p>
    <w:p w:rsidR="00F025E3" w:rsidRPr="00A64C8D" w:rsidRDefault="00F025E3" w:rsidP="00E8149C">
      <w:pPr>
        <w:pStyle w:val="BodyTextIndent"/>
        <w:ind w:left="0" w:right="-114"/>
        <w:jc w:val="both"/>
        <w:rPr>
          <w:sz w:val="24"/>
          <w:szCs w:val="24"/>
          <w:lang w:val="ru-RU"/>
        </w:rPr>
      </w:pPr>
      <w:r>
        <w:rPr>
          <w:b/>
          <w:bCs/>
          <w:sz w:val="24"/>
          <w:szCs w:val="24"/>
          <w:lang w:val="bg-BG"/>
        </w:rPr>
        <w:t>„</w:t>
      </w:r>
      <w:r w:rsidRPr="00A64C8D">
        <w:rPr>
          <w:b/>
          <w:bCs/>
          <w:sz w:val="24"/>
          <w:szCs w:val="24"/>
          <w:lang w:val="bg-BG"/>
        </w:rPr>
        <w:t>ТЕЦ Марица изток 2</w:t>
      </w:r>
      <w:r>
        <w:rPr>
          <w:b/>
          <w:bCs/>
          <w:sz w:val="24"/>
          <w:szCs w:val="24"/>
          <w:lang w:val="bg-BG"/>
        </w:rPr>
        <w:t>“</w:t>
      </w:r>
      <w:r w:rsidRPr="00A64C8D">
        <w:rPr>
          <w:b/>
          <w:bCs/>
          <w:sz w:val="24"/>
          <w:szCs w:val="24"/>
          <w:lang w:val="bg-BG"/>
        </w:rPr>
        <w:t xml:space="preserve"> ЕАД </w:t>
      </w:r>
    </w:p>
    <w:sectPr w:rsidR="00F025E3" w:rsidRPr="00A64C8D" w:rsidSect="00F42EB5">
      <w:footerReference w:type="default" r:id="rId9"/>
      <w:pgSz w:w="11906" w:h="16838"/>
      <w:pgMar w:top="719" w:right="1019" w:bottom="1079" w:left="1254"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25E3" w:rsidRDefault="00F025E3">
      <w:r>
        <w:separator/>
      </w:r>
    </w:p>
  </w:endnote>
  <w:endnote w:type="continuationSeparator" w:id="1">
    <w:p w:rsidR="00F025E3" w:rsidRDefault="00F025E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HebarU">
    <w:panose1 w:val="00000000000000000000"/>
    <w:charset w:val="00"/>
    <w:family w:val="auto"/>
    <w:notTrueType/>
    <w:pitch w:val="variable"/>
    <w:sig w:usb0="00000003" w:usb1="00000000" w:usb2="00000000" w:usb3="00000000" w:csb0="00000001" w:csb1="00000000"/>
  </w:font>
  <w:font w:name="Hebar">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25E3" w:rsidRDefault="00F025E3" w:rsidP="00940379">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rsidR="00F025E3" w:rsidRDefault="00F025E3" w:rsidP="00763399">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25E3" w:rsidRDefault="00F025E3">
      <w:r>
        <w:separator/>
      </w:r>
    </w:p>
  </w:footnote>
  <w:footnote w:type="continuationSeparator" w:id="1">
    <w:p w:rsidR="00F025E3" w:rsidRDefault="00F025E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14574D4"/>
    <w:multiLevelType w:val="hybridMultilevel"/>
    <w:tmpl w:val="6B5C02E6"/>
    <w:lvl w:ilvl="0" w:tplc="04020001">
      <w:start w:val="1"/>
      <w:numFmt w:val="bullet"/>
      <w:lvlText w:val=""/>
      <w:lvlJc w:val="left"/>
      <w:pPr>
        <w:tabs>
          <w:tab w:val="num" w:pos="720"/>
        </w:tabs>
        <w:ind w:left="720" w:hanging="360"/>
      </w:pPr>
      <w:rPr>
        <w:rFonts w:ascii="Symbol" w:hAnsi="Symbol" w:cs="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2">
    <w:nsid w:val="0D5953AF"/>
    <w:multiLevelType w:val="hybridMultilevel"/>
    <w:tmpl w:val="91A8838E"/>
    <w:lvl w:ilvl="0" w:tplc="04020001">
      <w:start w:val="1"/>
      <w:numFmt w:val="bullet"/>
      <w:lvlText w:val=""/>
      <w:lvlJc w:val="left"/>
      <w:pPr>
        <w:tabs>
          <w:tab w:val="num" w:pos="720"/>
        </w:tabs>
        <w:ind w:left="720" w:hanging="360"/>
      </w:pPr>
      <w:rPr>
        <w:rFonts w:ascii="Symbol" w:hAnsi="Symbol" w:cs="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3">
    <w:nsid w:val="1BC625D7"/>
    <w:multiLevelType w:val="singleLevel"/>
    <w:tmpl w:val="D556D77C"/>
    <w:lvl w:ilvl="0">
      <w:start w:val="1"/>
      <w:numFmt w:val="upperRoman"/>
      <w:lvlText w:val="%1."/>
      <w:lvlJc w:val="left"/>
      <w:pPr>
        <w:tabs>
          <w:tab w:val="num" w:pos="1233"/>
        </w:tabs>
        <w:ind w:left="1233" w:hanging="720"/>
      </w:pPr>
      <w:rPr>
        <w:rFonts w:hint="default"/>
      </w:rPr>
    </w:lvl>
  </w:abstractNum>
  <w:abstractNum w:abstractNumId="4">
    <w:nsid w:val="1E2D69BD"/>
    <w:multiLevelType w:val="hybridMultilevel"/>
    <w:tmpl w:val="9C9A5F08"/>
    <w:lvl w:ilvl="0" w:tplc="04020001">
      <w:start w:val="1"/>
      <w:numFmt w:val="bullet"/>
      <w:lvlText w:val=""/>
      <w:lvlJc w:val="left"/>
      <w:pPr>
        <w:tabs>
          <w:tab w:val="num" w:pos="720"/>
        </w:tabs>
        <w:ind w:left="720" w:hanging="360"/>
      </w:pPr>
      <w:rPr>
        <w:rFonts w:ascii="Symbol" w:hAnsi="Symbol" w:cs="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5">
    <w:nsid w:val="1EF01C40"/>
    <w:multiLevelType w:val="hybridMultilevel"/>
    <w:tmpl w:val="BD1A2494"/>
    <w:lvl w:ilvl="0" w:tplc="04020001">
      <w:start w:val="1"/>
      <w:numFmt w:val="bullet"/>
      <w:lvlText w:val=""/>
      <w:lvlJc w:val="left"/>
      <w:pPr>
        <w:tabs>
          <w:tab w:val="num" w:pos="1404"/>
        </w:tabs>
        <w:ind w:left="1404" w:hanging="360"/>
      </w:pPr>
      <w:rPr>
        <w:rFonts w:ascii="Symbol" w:hAnsi="Symbol" w:cs="Symbol" w:hint="default"/>
      </w:rPr>
    </w:lvl>
    <w:lvl w:ilvl="1" w:tplc="04020003">
      <w:start w:val="1"/>
      <w:numFmt w:val="bullet"/>
      <w:lvlText w:val="o"/>
      <w:lvlJc w:val="left"/>
      <w:pPr>
        <w:tabs>
          <w:tab w:val="num" w:pos="2124"/>
        </w:tabs>
        <w:ind w:left="2124" w:hanging="360"/>
      </w:pPr>
      <w:rPr>
        <w:rFonts w:ascii="Courier New" w:hAnsi="Courier New" w:cs="Courier New" w:hint="default"/>
      </w:rPr>
    </w:lvl>
    <w:lvl w:ilvl="2" w:tplc="04020005">
      <w:start w:val="1"/>
      <w:numFmt w:val="bullet"/>
      <w:lvlText w:val=""/>
      <w:lvlJc w:val="left"/>
      <w:pPr>
        <w:tabs>
          <w:tab w:val="num" w:pos="2844"/>
        </w:tabs>
        <w:ind w:left="2844" w:hanging="360"/>
      </w:pPr>
      <w:rPr>
        <w:rFonts w:ascii="Wingdings" w:hAnsi="Wingdings" w:cs="Wingdings" w:hint="default"/>
      </w:rPr>
    </w:lvl>
    <w:lvl w:ilvl="3" w:tplc="04020001">
      <w:start w:val="1"/>
      <w:numFmt w:val="bullet"/>
      <w:lvlText w:val=""/>
      <w:lvlJc w:val="left"/>
      <w:pPr>
        <w:tabs>
          <w:tab w:val="num" w:pos="3564"/>
        </w:tabs>
        <w:ind w:left="3564" w:hanging="360"/>
      </w:pPr>
      <w:rPr>
        <w:rFonts w:ascii="Symbol" w:hAnsi="Symbol" w:cs="Symbol" w:hint="default"/>
      </w:rPr>
    </w:lvl>
    <w:lvl w:ilvl="4" w:tplc="04020003">
      <w:start w:val="1"/>
      <w:numFmt w:val="bullet"/>
      <w:lvlText w:val="o"/>
      <w:lvlJc w:val="left"/>
      <w:pPr>
        <w:tabs>
          <w:tab w:val="num" w:pos="4284"/>
        </w:tabs>
        <w:ind w:left="4284" w:hanging="360"/>
      </w:pPr>
      <w:rPr>
        <w:rFonts w:ascii="Courier New" w:hAnsi="Courier New" w:cs="Courier New" w:hint="default"/>
      </w:rPr>
    </w:lvl>
    <w:lvl w:ilvl="5" w:tplc="04020005">
      <w:start w:val="1"/>
      <w:numFmt w:val="bullet"/>
      <w:lvlText w:val=""/>
      <w:lvlJc w:val="left"/>
      <w:pPr>
        <w:tabs>
          <w:tab w:val="num" w:pos="5004"/>
        </w:tabs>
        <w:ind w:left="5004" w:hanging="360"/>
      </w:pPr>
      <w:rPr>
        <w:rFonts w:ascii="Wingdings" w:hAnsi="Wingdings" w:cs="Wingdings" w:hint="default"/>
      </w:rPr>
    </w:lvl>
    <w:lvl w:ilvl="6" w:tplc="04020001">
      <w:start w:val="1"/>
      <w:numFmt w:val="bullet"/>
      <w:lvlText w:val=""/>
      <w:lvlJc w:val="left"/>
      <w:pPr>
        <w:tabs>
          <w:tab w:val="num" w:pos="5724"/>
        </w:tabs>
        <w:ind w:left="5724" w:hanging="360"/>
      </w:pPr>
      <w:rPr>
        <w:rFonts w:ascii="Symbol" w:hAnsi="Symbol" w:cs="Symbol" w:hint="default"/>
      </w:rPr>
    </w:lvl>
    <w:lvl w:ilvl="7" w:tplc="04020003">
      <w:start w:val="1"/>
      <w:numFmt w:val="bullet"/>
      <w:lvlText w:val="o"/>
      <w:lvlJc w:val="left"/>
      <w:pPr>
        <w:tabs>
          <w:tab w:val="num" w:pos="6444"/>
        </w:tabs>
        <w:ind w:left="6444" w:hanging="360"/>
      </w:pPr>
      <w:rPr>
        <w:rFonts w:ascii="Courier New" w:hAnsi="Courier New" w:cs="Courier New" w:hint="default"/>
      </w:rPr>
    </w:lvl>
    <w:lvl w:ilvl="8" w:tplc="04020005">
      <w:start w:val="1"/>
      <w:numFmt w:val="bullet"/>
      <w:lvlText w:val=""/>
      <w:lvlJc w:val="left"/>
      <w:pPr>
        <w:tabs>
          <w:tab w:val="num" w:pos="7164"/>
        </w:tabs>
        <w:ind w:left="7164" w:hanging="360"/>
      </w:pPr>
      <w:rPr>
        <w:rFonts w:ascii="Wingdings" w:hAnsi="Wingdings" w:cs="Wingdings" w:hint="default"/>
      </w:rPr>
    </w:lvl>
  </w:abstractNum>
  <w:abstractNum w:abstractNumId="6">
    <w:nsid w:val="26B5167F"/>
    <w:multiLevelType w:val="hybridMultilevel"/>
    <w:tmpl w:val="58A67186"/>
    <w:lvl w:ilvl="0" w:tplc="04020001">
      <w:start w:val="1"/>
      <w:numFmt w:val="bullet"/>
      <w:lvlText w:val=""/>
      <w:lvlJc w:val="left"/>
      <w:pPr>
        <w:tabs>
          <w:tab w:val="num" w:pos="720"/>
        </w:tabs>
        <w:ind w:left="720" w:hanging="360"/>
      </w:pPr>
      <w:rPr>
        <w:rFonts w:ascii="Symbol" w:hAnsi="Symbol" w:cs="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7">
    <w:nsid w:val="290904EF"/>
    <w:multiLevelType w:val="singleLevel"/>
    <w:tmpl w:val="89540676"/>
    <w:lvl w:ilvl="0">
      <w:start w:val="1"/>
      <w:numFmt w:val="decimal"/>
      <w:lvlText w:val="%1."/>
      <w:lvlJc w:val="left"/>
      <w:pPr>
        <w:tabs>
          <w:tab w:val="num" w:pos="1080"/>
        </w:tabs>
        <w:ind w:left="1080" w:hanging="360"/>
      </w:pPr>
      <w:rPr>
        <w:rFonts w:hint="default"/>
      </w:rPr>
    </w:lvl>
  </w:abstractNum>
  <w:abstractNum w:abstractNumId="8">
    <w:nsid w:val="333A76ED"/>
    <w:multiLevelType w:val="hybridMultilevel"/>
    <w:tmpl w:val="4C7A7D76"/>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9">
    <w:nsid w:val="40AF2D84"/>
    <w:multiLevelType w:val="hybridMultilevel"/>
    <w:tmpl w:val="9C1EA4C4"/>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0">
    <w:nsid w:val="483A15D0"/>
    <w:multiLevelType w:val="hybridMultilevel"/>
    <w:tmpl w:val="122EE00A"/>
    <w:lvl w:ilvl="0" w:tplc="04020001">
      <w:start w:val="1"/>
      <w:numFmt w:val="bullet"/>
      <w:lvlText w:val=""/>
      <w:lvlJc w:val="left"/>
      <w:pPr>
        <w:tabs>
          <w:tab w:val="num" w:pos="1428"/>
        </w:tabs>
        <w:ind w:left="1428" w:hanging="360"/>
      </w:pPr>
      <w:rPr>
        <w:rFonts w:ascii="Symbol" w:hAnsi="Symbol" w:cs="Symbol" w:hint="default"/>
      </w:rPr>
    </w:lvl>
    <w:lvl w:ilvl="1" w:tplc="04020003">
      <w:start w:val="1"/>
      <w:numFmt w:val="bullet"/>
      <w:lvlText w:val="o"/>
      <w:lvlJc w:val="left"/>
      <w:pPr>
        <w:tabs>
          <w:tab w:val="num" w:pos="2148"/>
        </w:tabs>
        <w:ind w:left="2148" w:hanging="360"/>
      </w:pPr>
      <w:rPr>
        <w:rFonts w:ascii="Courier New" w:hAnsi="Courier New" w:cs="Courier New" w:hint="default"/>
      </w:rPr>
    </w:lvl>
    <w:lvl w:ilvl="2" w:tplc="04020005">
      <w:start w:val="1"/>
      <w:numFmt w:val="bullet"/>
      <w:lvlText w:val=""/>
      <w:lvlJc w:val="left"/>
      <w:pPr>
        <w:tabs>
          <w:tab w:val="num" w:pos="2868"/>
        </w:tabs>
        <w:ind w:left="2868" w:hanging="360"/>
      </w:pPr>
      <w:rPr>
        <w:rFonts w:ascii="Wingdings" w:hAnsi="Wingdings" w:cs="Wingdings" w:hint="default"/>
      </w:rPr>
    </w:lvl>
    <w:lvl w:ilvl="3" w:tplc="04020001">
      <w:start w:val="1"/>
      <w:numFmt w:val="bullet"/>
      <w:lvlText w:val=""/>
      <w:lvlJc w:val="left"/>
      <w:pPr>
        <w:tabs>
          <w:tab w:val="num" w:pos="3588"/>
        </w:tabs>
        <w:ind w:left="3588" w:hanging="360"/>
      </w:pPr>
      <w:rPr>
        <w:rFonts w:ascii="Symbol" w:hAnsi="Symbol" w:cs="Symbol" w:hint="default"/>
      </w:rPr>
    </w:lvl>
    <w:lvl w:ilvl="4" w:tplc="04020003">
      <w:start w:val="1"/>
      <w:numFmt w:val="bullet"/>
      <w:lvlText w:val="o"/>
      <w:lvlJc w:val="left"/>
      <w:pPr>
        <w:tabs>
          <w:tab w:val="num" w:pos="4308"/>
        </w:tabs>
        <w:ind w:left="4308" w:hanging="360"/>
      </w:pPr>
      <w:rPr>
        <w:rFonts w:ascii="Courier New" w:hAnsi="Courier New" w:cs="Courier New" w:hint="default"/>
      </w:rPr>
    </w:lvl>
    <w:lvl w:ilvl="5" w:tplc="04020005">
      <w:start w:val="1"/>
      <w:numFmt w:val="bullet"/>
      <w:lvlText w:val=""/>
      <w:lvlJc w:val="left"/>
      <w:pPr>
        <w:tabs>
          <w:tab w:val="num" w:pos="5028"/>
        </w:tabs>
        <w:ind w:left="5028" w:hanging="360"/>
      </w:pPr>
      <w:rPr>
        <w:rFonts w:ascii="Wingdings" w:hAnsi="Wingdings" w:cs="Wingdings" w:hint="default"/>
      </w:rPr>
    </w:lvl>
    <w:lvl w:ilvl="6" w:tplc="04020001">
      <w:start w:val="1"/>
      <w:numFmt w:val="bullet"/>
      <w:lvlText w:val=""/>
      <w:lvlJc w:val="left"/>
      <w:pPr>
        <w:tabs>
          <w:tab w:val="num" w:pos="5748"/>
        </w:tabs>
        <w:ind w:left="5748" w:hanging="360"/>
      </w:pPr>
      <w:rPr>
        <w:rFonts w:ascii="Symbol" w:hAnsi="Symbol" w:cs="Symbol" w:hint="default"/>
      </w:rPr>
    </w:lvl>
    <w:lvl w:ilvl="7" w:tplc="04020003">
      <w:start w:val="1"/>
      <w:numFmt w:val="bullet"/>
      <w:lvlText w:val="o"/>
      <w:lvlJc w:val="left"/>
      <w:pPr>
        <w:tabs>
          <w:tab w:val="num" w:pos="6468"/>
        </w:tabs>
        <w:ind w:left="6468" w:hanging="360"/>
      </w:pPr>
      <w:rPr>
        <w:rFonts w:ascii="Courier New" w:hAnsi="Courier New" w:cs="Courier New" w:hint="default"/>
      </w:rPr>
    </w:lvl>
    <w:lvl w:ilvl="8" w:tplc="04020005">
      <w:start w:val="1"/>
      <w:numFmt w:val="bullet"/>
      <w:lvlText w:val=""/>
      <w:lvlJc w:val="left"/>
      <w:pPr>
        <w:tabs>
          <w:tab w:val="num" w:pos="7188"/>
        </w:tabs>
        <w:ind w:left="7188" w:hanging="360"/>
      </w:pPr>
      <w:rPr>
        <w:rFonts w:ascii="Wingdings" w:hAnsi="Wingdings" w:cs="Wingdings" w:hint="default"/>
      </w:rPr>
    </w:lvl>
  </w:abstractNum>
  <w:abstractNum w:abstractNumId="11">
    <w:nsid w:val="4D04450E"/>
    <w:multiLevelType w:val="hybridMultilevel"/>
    <w:tmpl w:val="F91074D6"/>
    <w:lvl w:ilvl="0" w:tplc="4F0E5E66">
      <w:start w:val="1"/>
      <w:numFmt w:val="decimal"/>
      <w:lvlText w:val="%1."/>
      <w:lvlJc w:val="left"/>
      <w:pPr>
        <w:tabs>
          <w:tab w:val="num" w:pos="1080"/>
        </w:tabs>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521A7DA8"/>
    <w:multiLevelType w:val="hybridMultilevel"/>
    <w:tmpl w:val="ECD2F140"/>
    <w:lvl w:ilvl="0" w:tplc="C3F88FF2">
      <w:start w:val="1"/>
      <w:numFmt w:val="bullet"/>
      <w:lvlText w:val=""/>
      <w:lvlJc w:val="left"/>
      <w:pPr>
        <w:tabs>
          <w:tab w:val="num" w:pos="720"/>
        </w:tabs>
        <w:ind w:left="720" w:hanging="360"/>
      </w:pPr>
      <w:rPr>
        <w:rFonts w:ascii="Wingdings" w:hAnsi="Wingdings" w:cs="Wingdings"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13">
    <w:nsid w:val="5713408B"/>
    <w:multiLevelType w:val="hybridMultilevel"/>
    <w:tmpl w:val="6812EBB0"/>
    <w:lvl w:ilvl="0" w:tplc="04020001">
      <w:start w:val="1"/>
      <w:numFmt w:val="bullet"/>
      <w:lvlText w:val=""/>
      <w:lvlJc w:val="left"/>
      <w:pPr>
        <w:tabs>
          <w:tab w:val="num" w:pos="720"/>
        </w:tabs>
        <w:ind w:left="720" w:hanging="360"/>
      </w:pPr>
      <w:rPr>
        <w:rFonts w:ascii="Symbol" w:hAnsi="Symbol" w:cs="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14">
    <w:nsid w:val="57885074"/>
    <w:multiLevelType w:val="hybridMultilevel"/>
    <w:tmpl w:val="8DBCFCD6"/>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5">
    <w:nsid w:val="5CDE063D"/>
    <w:multiLevelType w:val="hybridMultilevel"/>
    <w:tmpl w:val="9976F174"/>
    <w:lvl w:ilvl="0" w:tplc="DE8AEC8E">
      <w:start w:val="3"/>
      <w:numFmt w:val="upperRoman"/>
      <w:lvlText w:val="%1."/>
      <w:lvlJc w:val="left"/>
      <w:pPr>
        <w:tabs>
          <w:tab w:val="num" w:pos="1440"/>
        </w:tabs>
        <w:ind w:left="1440" w:hanging="720"/>
      </w:pPr>
    </w:lvl>
    <w:lvl w:ilvl="1" w:tplc="04020019">
      <w:start w:val="1"/>
      <w:numFmt w:val="decimal"/>
      <w:lvlText w:val="%2."/>
      <w:lvlJc w:val="left"/>
      <w:pPr>
        <w:tabs>
          <w:tab w:val="num" w:pos="1440"/>
        </w:tabs>
        <w:ind w:left="1440" w:hanging="360"/>
      </w:pPr>
    </w:lvl>
    <w:lvl w:ilvl="2" w:tplc="0402001B">
      <w:start w:val="1"/>
      <w:numFmt w:val="decimal"/>
      <w:lvlText w:val="%3."/>
      <w:lvlJc w:val="left"/>
      <w:pPr>
        <w:tabs>
          <w:tab w:val="num" w:pos="2160"/>
        </w:tabs>
        <w:ind w:left="216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abstractNum w:abstractNumId="16">
    <w:nsid w:val="60DE7E65"/>
    <w:multiLevelType w:val="hybridMultilevel"/>
    <w:tmpl w:val="14B0E52C"/>
    <w:lvl w:ilvl="0" w:tplc="04020013">
      <w:start w:val="1"/>
      <w:numFmt w:val="upperRoman"/>
      <w:lvlText w:val="%1."/>
      <w:lvlJc w:val="righ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7">
    <w:nsid w:val="7D851BF7"/>
    <w:multiLevelType w:val="hybridMultilevel"/>
    <w:tmpl w:val="2304A81C"/>
    <w:lvl w:ilvl="0" w:tplc="C304106A">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17"/>
  </w:num>
  <w:num w:numId="2">
    <w:abstractNumId w:val="12"/>
  </w:num>
  <w:num w:numId="3">
    <w:abstractNumId w:val="9"/>
  </w:num>
  <w:num w:numId="4">
    <w:abstractNumId w:val="8"/>
  </w:num>
  <w:num w:numId="5">
    <w:abstractNumId w:val="14"/>
  </w:num>
  <w:num w:numId="6">
    <w:abstractNumId w:val="0"/>
    <w:lvlOverride w:ilvl="0">
      <w:lvl w:ilvl="0">
        <w:start w:val="1"/>
        <w:numFmt w:val="bullet"/>
        <w:lvlText w:val=""/>
        <w:legacy w:legacy="1" w:legacySpace="0" w:legacyIndent="360"/>
        <w:lvlJc w:val="left"/>
        <w:pPr>
          <w:ind w:left="360" w:hanging="360"/>
        </w:pPr>
        <w:rPr>
          <w:rFonts w:ascii="Symbol" w:hAnsi="Symbol" w:cs="Symbol" w:hint="default"/>
        </w:rPr>
      </w:lvl>
    </w:lvlOverride>
  </w:num>
  <w:num w:numId="7">
    <w:abstractNumId w:val="3"/>
  </w:num>
  <w:num w:numId="8">
    <w:abstractNumId w:val="7"/>
  </w:num>
  <w:num w:numId="9">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5"/>
  </w:num>
  <w:num w:numId="13">
    <w:abstractNumId w:val="2"/>
  </w:num>
  <w:num w:numId="14">
    <w:abstractNumId w:val="6"/>
  </w:num>
  <w:num w:numId="15">
    <w:abstractNumId w:val="1"/>
  </w:num>
  <w:num w:numId="16">
    <w:abstractNumId w:val="13"/>
  </w:num>
  <w:num w:numId="17">
    <w:abstractNumId w:val="4"/>
  </w:num>
  <w:num w:numId="18">
    <w:abstractNumId w:val="10"/>
  </w:num>
  <w:num w:numId="19">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hyphenationZone w:val="425"/>
  <w:doNotHyphenateCaps/>
  <w:drawingGridHorizontalSpacing w:val="57"/>
  <w:displayVerticalDrawingGridEvery w:val="2"/>
  <w:noPunctuationKerning/>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B38EB"/>
    <w:rsid w:val="000002BA"/>
    <w:rsid w:val="00000A99"/>
    <w:rsid w:val="00001CB0"/>
    <w:rsid w:val="00001D27"/>
    <w:rsid w:val="0000282B"/>
    <w:rsid w:val="00002A42"/>
    <w:rsid w:val="00005F30"/>
    <w:rsid w:val="0000642D"/>
    <w:rsid w:val="00010F71"/>
    <w:rsid w:val="000121CA"/>
    <w:rsid w:val="000121DE"/>
    <w:rsid w:val="0001249D"/>
    <w:rsid w:val="00013F64"/>
    <w:rsid w:val="00014496"/>
    <w:rsid w:val="00015422"/>
    <w:rsid w:val="00016437"/>
    <w:rsid w:val="00016A92"/>
    <w:rsid w:val="00016E84"/>
    <w:rsid w:val="00017F2C"/>
    <w:rsid w:val="00021E50"/>
    <w:rsid w:val="00022494"/>
    <w:rsid w:val="0002326E"/>
    <w:rsid w:val="000235C4"/>
    <w:rsid w:val="00023BFE"/>
    <w:rsid w:val="00023D3D"/>
    <w:rsid w:val="00023EBE"/>
    <w:rsid w:val="000246FE"/>
    <w:rsid w:val="00024A72"/>
    <w:rsid w:val="00024BE8"/>
    <w:rsid w:val="00024D11"/>
    <w:rsid w:val="0002548B"/>
    <w:rsid w:val="00025AA9"/>
    <w:rsid w:val="000264C9"/>
    <w:rsid w:val="0002733D"/>
    <w:rsid w:val="000273C4"/>
    <w:rsid w:val="00030F7C"/>
    <w:rsid w:val="00032D6F"/>
    <w:rsid w:val="0003318A"/>
    <w:rsid w:val="0003325C"/>
    <w:rsid w:val="000336B2"/>
    <w:rsid w:val="00033D9C"/>
    <w:rsid w:val="00034866"/>
    <w:rsid w:val="00034AE6"/>
    <w:rsid w:val="00036CA1"/>
    <w:rsid w:val="00037D59"/>
    <w:rsid w:val="000402E2"/>
    <w:rsid w:val="000408E7"/>
    <w:rsid w:val="00040BCD"/>
    <w:rsid w:val="000411C6"/>
    <w:rsid w:val="00042A0A"/>
    <w:rsid w:val="00043EDA"/>
    <w:rsid w:val="00045031"/>
    <w:rsid w:val="000451C7"/>
    <w:rsid w:val="00045E65"/>
    <w:rsid w:val="000473C3"/>
    <w:rsid w:val="00047470"/>
    <w:rsid w:val="00050D29"/>
    <w:rsid w:val="00051C76"/>
    <w:rsid w:val="000533F1"/>
    <w:rsid w:val="00053F39"/>
    <w:rsid w:val="000550BF"/>
    <w:rsid w:val="00056104"/>
    <w:rsid w:val="00056A20"/>
    <w:rsid w:val="00056FCB"/>
    <w:rsid w:val="0005716D"/>
    <w:rsid w:val="00057519"/>
    <w:rsid w:val="00061553"/>
    <w:rsid w:val="00064419"/>
    <w:rsid w:val="00064946"/>
    <w:rsid w:val="000654AB"/>
    <w:rsid w:val="00066402"/>
    <w:rsid w:val="00066E05"/>
    <w:rsid w:val="00070E93"/>
    <w:rsid w:val="00071F48"/>
    <w:rsid w:val="00072B69"/>
    <w:rsid w:val="00073A7E"/>
    <w:rsid w:val="00074EA4"/>
    <w:rsid w:val="00074FCC"/>
    <w:rsid w:val="00075D0E"/>
    <w:rsid w:val="00075DD0"/>
    <w:rsid w:val="00076451"/>
    <w:rsid w:val="0007657A"/>
    <w:rsid w:val="000765FA"/>
    <w:rsid w:val="0007663B"/>
    <w:rsid w:val="000815B9"/>
    <w:rsid w:val="00081982"/>
    <w:rsid w:val="000850D3"/>
    <w:rsid w:val="00086653"/>
    <w:rsid w:val="000905CE"/>
    <w:rsid w:val="00091070"/>
    <w:rsid w:val="000930A5"/>
    <w:rsid w:val="00094835"/>
    <w:rsid w:val="00094EE3"/>
    <w:rsid w:val="000953F8"/>
    <w:rsid w:val="00095ABF"/>
    <w:rsid w:val="00095DCC"/>
    <w:rsid w:val="00095F1D"/>
    <w:rsid w:val="00096874"/>
    <w:rsid w:val="00097DA4"/>
    <w:rsid w:val="000A120E"/>
    <w:rsid w:val="000A226D"/>
    <w:rsid w:val="000A27F6"/>
    <w:rsid w:val="000A33A4"/>
    <w:rsid w:val="000A3466"/>
    <w:rsid w:val="000A4AE2"/>
    <w:rsid w:val="000A52B7"/>
    <w:rsid w:val="000A6404"/>
    <w:rsid w:val="000A640A"/>
    <w:rsid w:val="000A7A23"/>
    <w:rsid w:val="000B0129"/>
    <w:rsid w:val="000B2844"/>
    <w:rsid w:val="000B2F11"/>
    <w:rsid w:val="000B3C0C"/>
    <w:rsid w:val="000B48F4"/>
    <w:rsid w:val="000B4F20"/>
    <w:rsid w:val="000B5F21"/>
    <w:rsid w:val="000B70F1"/>
    <w:rsid w:val="000B7815"/>
    <w:rsid w:val="000B7E23"/>
    <w:rsid w:val="000C05B1"/>
    <w:rsid w:val="000C20FD"/>
    <w:rsid w:val="000C2B51"/>
    <w:rsid w:val="000C3026"/>
    <w:rsid w:val="000C3402"/>
    <w:rsid w:val="000C361B"/>
    <w:rsid w:val="000C5125"/>
    <w:rsid w:val="000C5310"/>
    <w:rsid w:val="000C5A66"/>
    <w:rsid w:val="000C6151"/>
    <w:rsid w:val="000C6CD2"/>
    <w:rsid w:val="000C6E40"/>
    <w:rsid w:val="000C6E9A"/>
    <w:rsid w:val="000D0255"/>
    <w:rsid w:val="000D1A60"/>
    <w:rsid w:val="000D1E40"/>
    <w:rsid w:val="000D2271"/>
    <w:rsid w:val="000D2B14"/>
    <w:rsid w:val="000D2D28"/>
    <w:rsid w:val="000D2D55"/>
    <w:rsid w:val="000D4779"/>
    <w:rsid w:val="000D517A"/>
    <w:rsid w:val="000D5281"/>
    <w:rsid w:val="000D5820"/>
    <w:rsid w:val="000D5AD1"/>
    <w:rsid w:val="000D614D"/>
    <w:rsid w:val="000E0131"/>
    <w:rsid w:val="000E1819"/>
    <w:rsid w:val="000E2020"/>
    <w:rsid w:val="000E22A6"/>
    <w:rsid w:val="000E30EF"/>
    <w:rsid w:val="000E4A11"/>
    <w:rsid w:val="000E4D33"/>
    <w:rsid w:val="000E552B"/>
    <w:rsid w:val="000F02F1"/>
    <w:rsid w:val="000F1154"/>
    <w:rsid w:val="000F380D"/>
    <w:rsid w:val="000F46BD"/>
    <w:rsid w:val="000F58DB"/>
    <w:rsid w:val="000F6E4F"/>
    <w:rsid w:val="00100CBC"/>
    <w:rsid w:val="001011FA"/>
    <w:rsid w:val="001030A8"/>
    <w:rsid w:val="00103CE8"/>
    <w:rsid w:val="00104F4D"/>
    <w:rsid w:val="00105CEB"/>
    <w:rsid w:val="00106BCE"/>
    <w:rsid w:val="00112B7D"/>
    <w:rsid w:val="00113980"/>
    <w:rsid w:val="001144B3"/>
    <w:rsid w:val="00114691"/>
    <w:rsid w:val="0011526B"/>
    <w:rsid w:val="00115CBD"/>
    <w:rsid w:val="001165BD"/>
    <w:rsid w:val="00117358"/>
    <w:rsid w:val="001206CC"/>
    <w:rsid w:val="0012183B"/>
    <w:rsid w:val="00121D1F"/>
    <w:rsid w:val="00123771"/>
    <w:rsid w:val="001244F9"/>
    <w:rsid w:val="00124799"/>
    <w:rsid w:val="00124BD4"/>
    <w:rsid w:val="00125133"/>
    <w:rsid w:val="001255CE"/>
    <w:rsid w:val="00125C6D"/>
    <w:rsid w:val="0012628D"/>
    <w:rsid w:val="00126C1D"/>
    <w:rsid w:val="001278B9"/>
    <w:rsid w:val="00130029"/>
    <w:rsid w:val="00130090"/>
    <w:rsid w:val="00130225"/>
    <w:rsid w:val="00130584"/>
    <w:rsid w:val="00130EE6"/>
    <w:rsid w:val="00131C4C"/>
    <w:rsid w:val="001331EB"/>
    <w:rsid w:val="00134121"/>
    <w:rsid w:val="0013430F"/>
    <w:rsid w:val="00134382"/>
    <w:rsid w:val="001349F1"/>
    <w:rsid w:val="00135444"/>
    <w:rsid w:val="00137356"/>
    <w:rsid w:val="0014315B"/>
    <w:rsid w:val="00143459"/>
    <w:rsid w:val="00144107"/>
    <w:rsid w:val="001441EF"/>
    <w:rsid w:val="001450A6"/>
    <w:rsid w:val="00145333"/>
    <w:rsid w:val="00150B3D"/>
    <w:rsid w:val="00150FD0"/>
    <w:rsid w:val="00151776"/>
    <w:rsid w:val="00152068"/>
    <w:rsid w:val="00152083"/>
    <w:rsid w:val="00152466"/>
    <w:rsid w:val="001529C9"/>
    <w:rsid w:val="001531E0"/>
    <w:rsid w:val="001539E4"/>
    <w:rsid w:val="00153F21"/>
    <w:rsid w:val="001546AE"/>
    <w:rsid w:val="00156070"/>
    <w:rsid w:val="001571A3"/>
    <w:rsid w:val="0016101D"/>
    <w:rsid w:val="00161396"/>
    <w:rsid w:val="0016179D"/>
    <w:rsid w:val="00162052"/>
    <w:rsid w:val="00163573"/>
    <w:rsid w:val="00163E03"/>
    <w:rsid w:val="00164463"/>
    <w:rsid w:val="00164640"/>
    <w:rsid w:val="00165174"/>
    <w:rsid w:val="00165E9E"/>
    <w:rsid w:val="0016622C"/>
    <w:rsid w:val="0016674B"/>
    <w:rsid w:val="00166953"/>
    <w:rsid w:val="00166EAF"/>
    <w:rsid w:val="00170334"/>
    <w:rsid w:val="00170582"/>
    <w:rsid w:val="0017129F"/>
    <w:rsid w:val="00171756"/>
    <w:rsid w:val="00173881"/>
    <w:rsid w:val="00173888"/>
    <w:rsid w:val="00173BE6"/>
    <w:rsid w:val="00174193"/>
    <w:rsid w:val="00174D45"/>
    <w:rsid w:val="00174DA6"/>
    <w:rsid w:val="00174F72"/>
    <w:rsid w:val="001750C5"/>
    <w:rsid w:val="00176EE9"/>
    <w:rsid w:val="001775CA"/>
    <w:rsid w:val="001802A1"/>
    <w:rsid w:val="00180E48"/>
    <w:rsid w:val="00180E80"/>
    <w:rsid w:val="001813B6"/>
    <w:rsid w:val="00182096"/>
    <w:rsid w:val="00182639"/>
    <w:rsid w:val="001827F1"/>
    <w:rsid w:val="001829AC"/>
    <w:rsid w:val="00184D22"/>
    <w:rsid w:val="00185702"/>
    <w:rsid w:val="00185CCA"/>
    <w:rsid w:val="00185FF5"/>
    <w:rsid w:val="00187BCB"/>
    <w:rsid w:val="00190719"/>
    <w:rsid w:val="00192639"/>
    <w:rsid w:val="0019314C"/>
    <w:rsid w:val="00193B44"/>
    <w:rsid w:val="00193D66"/>
    <w:rsid w:val="001941BB"/>
    <w:rsid w:val="00197C80"/>
    <w:rsid w:val="00197CE0"/>
    <w:rsid w:val="00197E98"/>
    <w:rsid w:val="001A0E88"/>
    <w:rsid w:val="001A2281"/>
    <w:rsid w:val="001A228B"/>
    <w:rsid w:val="001A2372"/>
    <w:rsid w:val="001A544C"/>
    <w:rsid w:val="001A5C8A"/>
    <w:rsid w:val="001A700C"/>
    <w:rsid w:val="001A7810"/>
    <w:rsid w:val="001B110F"/>
    <w:rsid w:val="001B1637"/>
    <w:rsid w:val="001B18F9"/>
    <w:rsid w:val="001B1C22"/>
    <w:rsid w:val="001B1EE3"/>
    <w:rsid w:val="001B427B"/>
    <w:rsid w:val="001B47BA"/>
    <w:rsid w:val="001B51FC"/>
    <w:rsid w:val="001B6253"/>
    <w:rsid w:val="001B6369"/>
    <w:rsid w:val="001B6DDB"/>
    <w:rsid w:val="001B7A02"/>
    <w:rsid w:val="001C04A2"/>
    <w:rsid w:val="001C0972"/>
    <w:rsid w:val="001C0B1F"/>
    <w:rsid w:val="001C1C29"/>
    <w:rsid w:val="001C2537"/>
    <w:rsid w:val="001C2B96"/>
    <w:rsid w:val="001C5CD8"/>
    <w:rsid w:val="001C781A"/>
    <w:rsid w:val="001D117A"/>
    <w:rsid w:val="001D13D5"/>
    <w:rsid w:val="001D26F9"/>
    <w:rsid w:val="001D323B"/>
    <w:rsid w:val="001D3241"/>
    <w:rsid w:val="001D3603"/>
    <w:rsid w:val="001D4A4E"/>
    <w:rsid w:val="001D67F0"/>
    <w:rsid w:val="001D6ACF"/>
    <w:rsid w:val="001D791B"/>
    <w:rsid w:val="001E0624"/>
    <w:rsid w:val="001E085C"/>
    <w:rsid w:val="001E139E"/>
    <w:rsid w:val="001E149E"/>
    <w:rsid w:val="001E36AC"/>
    <w:rsid w:val="001E4CEB"/>
    <w:rsid w:val="001E63D3"/>
    <w:rsid w:val="001F00F6"/>
    <w:rsid w:val="001F09AD"/>
    <w:rsid w:val="001F21D7"/>
    <w:rsid w:val="001F3E64"/>
    <w:rsid w:val="001F56F1"/>
    <w:rsid w:val="001F5838"/>
    <w:rsid w:val="001F5D0A"/>
    <w:rsid w:val="001F5DBB"/>
    <w:rsid w:val="001F5F92"/>
    <w:rsid w:val="0020008D"/>
    <w:rsid w:val="00200927"/>
    <w:rsid w:val="00201522"/>
    <w:rsid w:val="002024D6"/>
    <w:rsid w:val="00202F05"/>
    <w:rsid w:val="00203E86"/>
    <w:rsid w:val="0020413F"/>
    <w:rsid w:val="00204DB7"/>
    <w:rsid w:val="0020572C"/>
    <w:rsid w:val="00205811"/>
    <w:rsid w:val="00205ADE"/>
    <w:rsid w:val="00206ADC"/>
    <w:rsid w:val="00207F31"/>
    <w:rsid w:val="0021098B"/>
    <w:rsid w:val="00210994"/>
    <w:rsid w:val="002110DF"/>
    <w:rsid w:val="002121E7"/>
    <w:rsid w:val="002129F1"/>
    <w:rsid w:val="00212DEB"/>
    <w:rsid w:val="00213F4C"/>
    <w:rsid w:val="00215A4B"/>
    <w:rsid w:val="00215F78"/>
    <w:rsid w:val="0021651F"/>
    <w:rsid w:val="0021674D"/>
    <w:rsid w:val="00216C89"/>
    <w:rsid w:val="002173A5"/>
    <w:rsid w:val="00220C13"/>
    <w:rsid w:val="00221071"/>
    <w:rsid w:val="0022250F"/>
    <w:rsid w:val="00223AA2"/>
    <w:rsid w:val="00225732"/>
    <w:rsid w:val="002259F1"/>
    <w:rsid w:val="00226848"/>
    <w:rsid w:val="00226A00"/>
    <w:rsid w:val="00227226"/>
    <w:rsid w:val="002276F3"/>
    <w:rsid w:val="00227E42"/>
    <w:rsid w:val="00232714"/>
    <w:rsid w:val="00232DC0"/>
    <w:rsid w:val="00232F01"/>
    <w:rsid w:val="0023329B"/>
    <w:rsid w:val="00233308"/>
    <w:rsid w:val="00233EAE"/>
    <w:rsid w:val="002377DE"/>
    <w:rsid w:val="0023796A"/>
    <w:rsid w:val="0024034C"/>
    <w:rsid w:val="002411FA"/>
    <w:rsid w:val="00242ED4"/>
    <w:rsid w:val="0024342A"/>
    <w:rsid w:val="00243616"/>
    <w:rsid w:val="002457CD"/>
    <w:rsid w:val="0025061A"/>
    <w:rsid w:val="00251BB7"/>
    <w:rsid w:val="0025214A"/>
    <w:rsid w:val="002546D5"/>
    <w:rsid w:val="002546EA"/>
    <w:rsid w:val="002548B1"/>
    <w:rsid w:val="00254BC4"/>
    <w:rsid w:val="00255387"/>
    <w:rsid w:val="002554C8"/>
    <w:rsid w:val="00255751"/>
    <w:rsid w:val="00256751"/>
    <w:rsid w:val="002572B7"/>
    <w:rsid w:val="002573CD"/>
    <w:rsid w:val="00257DC0"/>
    <w:rsid w:val="002624C8"/>
    <w:rsid w:val="00263BBD"/>
    <w:rsid w:val="002640D0"/>
    <w:rsid w:val="00265629"/>
    <w:rsid w:val="00265844"/>
    <w:rsid w:val="002662ED"/>
    <w:rsid w:val="00266615"/>
    <w:rsid w:val="00266D1A"/>
    <w:rsid w:val="0026705F"/>
    <w:rsid w:val="00267833"/>
    <w:rsid w:val="00270661"/>
    <w:rsid w:val="00270A59"/>
    <w:rsid w:val="002725BE"/>
    <w:rsid w:val="00273D7C"/>
    <w:rsid w:val="00273EA6"/>
    <w:rsid w:val="002743C8"/>
    <w:rsid w:val="00274E5F"/>
    <w:rsid w:val="002753EA"/>
    <w:rsid w:val="00275781"/>
    <w:rsid w:val="00275EAC"/>
    <w:rsid w:val="0028000E"/>
    <w:rsid w:val="00280F23"/>
    <w:rsid w:val="00281208"/>
    <w:rsid w:val="002816A4"/>
    <w:rsid w:val="00282FAD"/>
    <w:rsid w:val="00283CCA"/>
    <w:rsid w:val="002844DE"/>
    <w:rsid w:val="00284647"/>
    <w:rsid w:val="00284AC6"/>
    <w:rsid w:val="002851DA"/>
    <w:rsid w:val="0028534B"/>
    <w:rsid w:val="00285686"/>
    <w:rsid w:val="00287C76"/>
    <w:rsid w:val="00287DF0"/>
    <w:rsid w:val="00287F14"/>
    <w:rsid w:val="002903FD"/>
    <w:rsid w:val="00291205"/>
    <w:rsid w:val="0029130C"/>
    <w:rsid w:val="0029145D"/>
    <w:rsid w:val="00292555"/>
    <w:rsid w:val="002926C6"/>
    <w:rsid w:val="00294437"/>
    <w:rsid w:val="00297A1E"/>
    <w:rsid w:val="002A04DD"/>
    <w:rsid w:val="002A3977"/>
    <w:rsid w:val="002A5D2F"/>
    <w:rsid w:val="002A5EFA"/>
    <w:rsid w:val="002A66EB"/>
    <w:rsid w:val="002B046A"/>
    <w:rsid w:val="002B08D4"/>
    <w:rsid w:val="002B1B99"/>
    <w:rsid w:val="002B24F4"/>
    <w:rsid w:val="002B2F0D"/>
    <w:rsid w:val="002B484A"/>
    <w:rsid w:val="002B538F"/>
    <w:rsid w:val="002B72AA"/>
    <w:rsid w:val="002B768F"/>
    <w:rsid w:val="002B7D43"/>
    <w:rsid w:val="002C1272"/>
    <w:rsid w:val="002C1A35"/>
    <w:rsid w:val="002C344B"/>
    <w:rsid w:val="002C3669"/>
    <w:rsid w:val="002C3C59"/>
    <w:rsid w:val="002C3DB3"/>
    <w:rsid w:val="002C4345"/>
    <w:rsid w:val="002C4595"/>
    <w:rsid w:val="002C588A"/>
    <w:rsid w:val="002C6105"/>
    <w:rsid w:val="002C6A56"/>
    <w:rsid w:val="002C7C5F"/>
    <w:rsid w:val="002D08F5"/>
    <w:rsid w:val="002D0B52"/>
    <w:rsid w:val="002D1142"/>
    <w:rsid w:val="002D1A51"/>
    <w:rsid w:val="002D297E"/>
    <w:rsid w:val="002D3E35"/>
    <w:rsid w:val="002D3EB4"/>
    <w:rsid w:val="002D4AEA"/>
    <w:rsid w:val="002D5950"/>
    <w:rsid w:val="002D7093"/>
    <w:rsid w:val="002D75F0"/>
    <w:rsid w:val="002D77FE"/>
    <w:rsid w:val="002D7EA4"/>
    <w:rsid w:val="002E06C7"/>
    <w:rsid w:val="002E0E8B"/>
    <w:rsid w:val="002E226B"/>
    <w:rsid w:val="002E2BD6"/>
    <w:rsid w:val="002E2BE0"/>
    <w:rsid w:val="002E3FB5"/>
    <w:rsid w:val="002E549F"/>
    <w:rsid w:val="002E57B5"/>
    <w:rsid w:val="002E75DA"/>
    <w:rsid w:val="002E7BCB"/>
    <w:rsid w:val="002F062F"/>
    <w:rsid w:val="002F0C75"/>
    <w:rsid w:val="002F0D13"/>
    <w:rsid w:val="002F14BD"/>
    <w:rsid w:val="002F2020"/>
    <w:rsid w:val="002F3B1E"/>
    <w:rsid w:val="002F4A39"/>
    <w:rsid w:val="002F606C"/>
    <w:rsid w:val="002F7D27"/>
    <w:rsid w:val="00301A7F"/>
    <w:rsid w:val="0030349B"/>
    <w:rsid w:val="003035AA"/>
    <w:rsid w:val="00304749"/>
    <w:rsid w:val="00304833"/>
    <w:rsid w:val="003055FC"/>
    <w:rsid w:val="0030598E"/>
    <w:rsid w:val="00305B60"/>
    <w:rsid w:val="00306B26"/>
    <w:rsid w:val="003079BB"/>
    <w:rsid w:val="0031036F"/>
    <w:rsid w:val="00311473"/>
    <w:rsid w:val="0031295A"/>
    <w:rsid w:val="00312DA6"/>
    <w:rsid w:val="00312E47"/>
    <w:rsid w:val="003135BE"/>
    <w:rsid w:val="00313ED0"/>
    <w:rsid w:val="003148F9"/>
    <w:rsid w:val="00314AAA"/>
    <w:rsid w:val="0031550D"/>
    <w:rsid w:val="0031615A"/>
    <w:rsid w:val="00317307"/>
    <w:rsid w:val="00325373"/>
    <w:rsid w:val="0032567E"/>
    <w:rsid w:val="00325FFF"/>
    <w:rsid w:val="003266FE"/>
    <w:rsid w:val="0032727D"/>
    <w:rsid w:val="00330920"/>
    <w:rsid w:val="00330A84"/>
    <w:rsid w:val="00330C81"/>
    <w:rsid w:val="00331764"/>
    <w:rsid w:val="00331806"/>
    <w:rsid w:val="00331D6C"/>
    <w:rsid w:val="003321D9"/>
    <w:rsid w:val="003329FA"/>
    <w:rsid w:val="00333244"/>
    <w:rsid w:val="0033383F"/>
    <w:rsid w:val="00333B90"/>
    <w:rsid w:val="00335A97"/>
    <w:rsid w:val="00336A4A"/>
    <w:rsid w:val="00336A9C"/>
    <w:rsid w:val="00337327"/>
    <w:rsid w:val="00337E42"/>
    <w:rsid w:val="00340095"/>
    <w:rsid w:val="0034056B"/>
    <w:rsid w:val="00340AE2"/>
    <w:rsid w:val="003412B0"/>
    <w:rsid w:val="00341489"/>
    <w:rsid w:val="00341B4B"/>
    <w:rsid w:val="00341BF3"/>
    <w:rsid w:val="003431F9"/>
    <w:rsid w:val="003435B9"/>
    <w:rsid w:val="00343B98"/>
    <w:rsid w:val="00343DED"/>
    <w:rsid w:val="003444E9"/>
    <w:rsid w:val="0034516C"/>
    <w:rsid w:val="00345685"/>
    <w:rsid w:val="003468C2"/>
    <w:rsid w:val="00346B71"/>
    <w:rsid w:val="00347C04"/>
    <w:rsid w:val="0035085E"/>
    <w:rsid w:val="00351325"/>
    <w:rsid w:val="0035200D"/>
    <w:rsid w:val="00352901"/>
    <w:rsid w:val="00353769"/>
    <w:rsid w:val="00354AB7"/>
    <w:rsid w:val="00356277"/>
    <w:rsid w:val="003564C6"/>
    <w:rsid w:val="00356620"/>
    <w:rsid w:val="00357D93"/>
    <w:rsid w:val="00357F9C"/>
    <w:rsid w:val="00360AC2"/>
    <w:rsid w:val="00360E59"/>
    <w:rsid w:val="00361164"/>
    <w:rsid w:val="00363E7B"/>
    <w:rsid w:val="00363ECE"/>
    <w:rsid w:val="00364B0C"/>
    <w:rsid w:val="0036534C"/>
    <w:rsid w:val="00365645"/>
    <w:rsid w:val="00366DDF"/>
    <w:rsid w:val="00366E14"/>
    <w:rsid w:val="003674DA"/>
    <w:rsid w:val="00370013"/>
    <w:rsid w:val="00370878"/>
    <w:rsid w:val="003709B5"/>
    <w:rsid w:val="003741B8"/>
    <w:rsid w:val="00375232"/>
    <w:rsid w:val="003769C3"/>
    <w:rsid w:val="00376AD0"/>
    <w:rsid w:val="00380969"/>
    <w:rsid w:val="0038102B"/>
    <w:rsid w:val="00381325"/>
    <w:rsid w:val="0038155A"/>
    <w:rsid w:val="00381AF8"/>
    <w:rsid w:val="003833A8"/>
    <w:rsid w:val="00384627"/>
    <w:rsid w:val="0038462F"/>
    <w:rsid w:val="003849B7"/>
    <w:rsid w:val="003854B0"/>
    <w:rsid w:val="00385AFD"/>
    <w:rsid w:val="0038622F"/>
    <w:rsid w:val="003863BC"/>
    <w:rsid w:val="00386B7A"/>
    <w:rsid w:val="00386D84"/>
    <w:rsid w:val="00386DE1"/>
    <w:rsid w:val="00387074"/>
    <w:rsid w:val="00387381"/>
    <w:rsid w:val="00391030"/>
    <w:rsid w:val="003918F1"/>
    <w:rsid w:val="003926F8"/>
    <w:rsid w:val="003929AC"/>
    <w:rsid w:val="00395F6C"/>
    <w:rsid w:val="0039655E"/>
    <w:rsid w:val="003A2214"/>
    <w:rsid w:val="003A2C16"/>
    <w:rsid w:val="003A35D9"/>
    <w:rsid w:val="003A4D52"/>
    <w:rsid w:val="003A4D73"/>
    <w:rsid w:val="003A57B8"/>
    <w:rsid w:val="003A5F86"/>
    <w:rsid w:val="003A67D5"/>
    <w:rsid w:val="003A74EA"/>
    <w:rsid w:val="003A77D3"/>
    <w:rsid w:val="003B38EB"/>
    <w:rsid w:val="003B5523"/>
    <w:rsid w:val="003B572F"/>
    <w:rsid w:val="003B5EC3"/>
    <w:rsid w:val="003B6708"/>
    <w:rsid w:val="003B7CF2"/>
    <w:rsid w:val="003B7DA0"/>
    <w:rsid w:val="003C0011"/>
    <w:rsid w:val="003C004E"/>
    <w:rsid w:val="003C1477"/>
    <w:rsid w:val="003C3343"/>
    <w:rsid w:val="003C3C46"/>
    <w:rsid w:val="003C4209"/>
    <w:rsid w:val="003C5225"/>
    <w:rsid w:val="003C5294"/>
    <w:rsid w:val="003C52E0"/>
    <w:rsid w:val="003C5447"/>
    <w:rsid w:val="003C5971"/>
    <w:rsid w:val="003C60FB"/>
    <w:rsid w:val="003C7071"/>
    <w:rsid w:val="003D028E"/>
    <w:rsid w:val="003D03A5"/>
    <w:rsid w:val="003D08FE"/>
    <w:rsid w:val="003D0A91"/>
    <w:rsid w:val="003D140B"/>
    <w:rsid w:val="003D21F8"/>
    <w:rsid w:val="003D34AC"/>
    <w:rsid w:val="003D49B6"/>
    <w:rsid w:val="003D5068"/>
    <w:rsid w:val="003D5CA3"/>
    <w:rsid w:val="003D79E0"/>
    <w:rsid w:val="003D7ACB"/>
    <w:rsid w:val="003E1318"/>
    <w:rsid w:val="003E1A08"/>
    <w:rsid w:val="003E1B54"/>
    <w:rsid w:val="003E41EC"/>
    <w:rsid w:val="003E44A0"/>
    <w:rsid w:val="003E502A"/>
    <w:rsid w:val="003E6214"/>
    <w:rsid w:val="003E6E8E"/>
    <w:rsid w:val="003E6EF7"/>
    <w:rsid w:val="003F0E3D"/>
    <w:rsid w:val="003F0F05"/>
    <w:rsid w:val="003F151F"/>
    <w:rsid w:val="003F286C"/>
    <w:rsid w:val="003F42F2"/>
    <w:rsid w:val="003F59EB"/>
    <w:rsid w:val="003F7797"/>
    <w:rsid w:val="003F7AC4"/>
    <w:rsid w:val="00400D32"/>
    <w:rsid w:val="00401375"/>
    <w:rsid w:val="00401CBF"/>
    <w:rsid w:val="00401EB9"/>
    <w:rsid w:val="0040327F"/>
    <w:rsid w:val="00403521"/>
    <w:rsid w:val="0040381F"/>
    <w:rsid w:val="00403E2D"/>
    <w:rsid w:val="00406848"/>
    <w:rsid w:val="00411844"/>
    <w:rsid w:val="00412DD9"/>
    <w:rsid w:val="004133CF"/>
    <w:rsid w:val="0041388C"/>
    <w:rsid w:val="0041532A"/>
    <w:rsid w:val="004158E5"/>
    <w:rsid w:val="0041594F"/>
    <w:rsid w:val="004159EF"/>
    <w:rsid w:val="00416346"/>
    <w:rsid w:val="00416917"/>
    <w:rsid w:val="004179AE"/>
    <w:rsid w:val="004179CC"/>
    <w:rsid w:val="00421BEC"/>
    <w:rsid w:val="00423056"/>
    <w:rsid w:val="004235E4"/>
    <w:rsid w:val="0042498A"/>
    <w:rsid w:val="00425205"/>
    <w:rsid w:val="00425727"/>
    <w:rsid w:val="00426442"/>
    <w:rsid w:val="004276F9"/>
    <w:rsid w:val="00427963"/>
    <w:rsid w:val="00431075"/>
    <w:rsid w:val="00431190"/>
    <w:rsid w:val="00432378"/>
    <w:rsid w:val="00432923"/>
    <w:rsid w:val="00432D78"/>
    <w:rsid w:val="0043386C"/>
    <w:rsid w:val="00434FBE"/>
    <w:rsid w:val="004351C8"/>
    <w:rsid w:val="0043595F"/>
    <w:rsid w:val="00435DA8"/>
    <w:rsid w:val="00436EB3"/>
    <w:rsid w:val="004376B8"/>
    <w:rsid w:val="004379F3"/>
    <w:rsid w:val="00437D93"/>
    <w:rsid w:val="004401C7"/>
    <w:rsid w:val="00441EC3"/>
    <w:rsid w:val="00441EDB"/>
    <w:rsid w:val="00444CAC"/>
    <w:rsid w:val="00444E67"/>
    <w:rsid w:val="00445081"/>
    <w:rsid w:val="0044564F"/>
    <w:rsid w:val="00446119"/>
    <w:rsid w:val="004465D4"/>
    <w:rsid w:val="00446ADF"/>
    <w:rsid w:val="004501CA"/>
    <w:rsid w:val="00450896"/>
    <w:rsid w:val="00450ED7"/>
    <w:rsid w:val="00451618"/>
    <w:rsid w:val="0045204B"/>
    <w:rsid w:val="004523A4"/>
    <w:rsid w:val="004529A8"/>
    <w:rsid w:val="004542CE"/>
    <w:rsid w:val="00454797"/>
    <w:rsid w:val="00454B6D"/>
    <w:rsid w:val="00454CA3"/>
    <w:rsid w:val="00454D06"/>
    <w:rsid w:val="00454E93"/>
    <w:rsid w:val="004560E0"/>
    <w:rsid w:val="00456B93"/>
    <w:rsid w:val="0045703A"/>
    <w:rsid w:val="0046016A"/>
    <w:rsid w:val="00463BB0"/>
    <w:rsid w:val="00463C0C"/>
    <w:rsid w:val="00464101"/>
    <w:rsid w:val="00465037"/>
    <w:rsid w:val="00466F06"/>
    <w:rsid w:val="0047061A"/>
    <w:rsid w:val="004707E0"/>
    <w:rsid w:val="004710DF"/>
    <w:rsid w:val="00471191"/>
    <w:rsid w:val="00471B4C"/>
    <w:rsid w:val="00471FE0"/>
    <w:rsid w:val="0047276A"/>
    <w:rsid w:val="00472C84"/>
    <w:rsid w:val="004752E9"/>
    <w:rsid w:val="00475775"/>
    <w:rsid w:val="004757C1"/>
    <w:rsid w:val="00475A2B"/>
    <w:rsid w:val="00475FB4"/>
    <w:rsid w:val="00476EEA"/>
    <w:rsid w:val="0048010B"/>
    <w:rsid w:val="004802AE"/>
    <w:rsid w:val="0048125B"/>
    <w:rsid w:val="00481DD1"/>
    <w:rsid w:val="004820CB"/>
    <w:rsid w:val="004821C1"/>
    <w:rsid w:val="004824DD"/>
    <w:rsid w:val="004830CB"/>
    <w:rsid w:val="00483E39"/>
    <w:rsid w:val="00483EB3"/>
    <w:rsid w:val="00484255"/>
    <w:rsid w:val="0048524A"/>
    <w:rsid w:val="00485A9B"/>
    <w:rsid w:val="00486C90"/>
    <w:rsid w:val="00490337"/>
    <w:rsid w:val="004903A6"/>
    <w:rsid w:val="004909AB"/>
    <w:rsid w:val="00491A3C"/>
    <w:rsid w:val="00492680"/>
    <w:rsid w:val="00492E40"/>
    <w:rsid w:val="00493644"/>
    <w:rsid w:val="0049400E"/>
    <w:rsid w:val="0049671E"/>
    <w:rsid w:val="00496E6E"/>
    <w:rsid w:val="00497560"/>
    <w:rsid w:val="00497BE5"/>
    <w:rsid w:val="00497D22"/>
    <w:rsid w:val="004A016E"/>
    <w:rsid w:val="004A0EAC"/>
    <w:rsid w:val="004A3F39"/>
    <w:rsid w:val="004A48E1"/>
    <w:rsid w:val="004A72DF"/>
    <w:rsid w:val="004A7998"/>
    <w:rsid w:val="004A7BD1"/>
    <w:rsid w:val="004B067D"/>
    <w:rsid w:val="004B07A2"/>
    <w:rsid w:val="004B1011"/>
    <w:rsid w:val="004B10F9"/>
    <w:rsid w:val="004B12E5"/>
    <w:rsid w:val="004B1C88"/>
    <w:rsid w:val="004B1F22"/>
    <w:rsid w:val="004B2C44"/>
    <w:rsid w:val="004B2DBD"/>
    <w:rsid w:val="004B3281"/>
    <w:rsid w:val="004B54AF"/>
    <w:rsid w:val="004B66A6"/>
    <w:rsid w:val="004B69C0"/>
    <w:rsid w:val="004B6E62"/>
    <w:rsid w:val="004B7156"/>
    <w:rsid w:val="004B7FF7"/>
    <w:rsid w:val="004C1008"/>
    <w:rsid w:val="004C27B0"/>
    <w:rsid w:val="004C2886"/>
    <w:rsid w:val="004C298A"/>
    <w:rsid w:val="004C371E"/>
    <w:rsid w:val="004C50AC"/>
    <w:rsid w:val="004C547E"/>
    <w:rsid w:val="004C5564"/>
    <w:rsid w:val="004C5E0A"/>
    <w:rsid w:val="004C6016"/>
    <w:rsid w:val="004C618F"/>
    <w:rsid w:val="004C61AD"/>
    <w:rsid w:val="004C6E1E"/>
    <w:rsid w:val="004D06F6"/>
    <w:rsid w:val="004D0825"/>
    <w:rsid w:val="004D1B89"/>
    <w:rsid w:val="004D1E19"/>
    <w:rsid w:val="004D2349"/>
    <w:rsid w:val="004D2481"/>
    <w:rsid w:val="004D2ADA"/>
    <w:rsid w:val="004D2F56"/>
    <w:rsid w:val="004D2FDC"/>
    <w:rsid w:val="004D37A3"/>
    <w:rsid w:val="004D3975"/>
    <w:rsid w:val="004D5125"/>
    <w:rsid w:val="004D6257"/>
    <w:rsid w:val="004D6601"/>
    <w:rsid w:val="004D7301"/>
    <w:rsid w:val="004D74B1"/>
    <w:rsid w:val="004E000B"/>
    <w:rsid w:val="004E0236"/>
    <w:rsid w:val="004E0CE7"/>
    <w:rsid w:val="004E2DC1"/>
    <w:rsid w:val="004E2EA1"/>
    <w:rsid w:val="004E32D2"/>
    <w:rsid w:val="004E40E6"/>
    <w:rsid w:val="004E4881"/>
    <w:rsid w:val="004E504C"/>
    <w:rsid w:val="004E5A0A"/>
    <w:rsid w:val="004E6DFD"/>
    <w:rsid w:val="004E76D2"/>
    <w:rsid w:val="004F073F"/>
    <w:rsid w:val="004F0930"/>
    <w:rsid w:val="004F16AB"/>
    <w:rsid w:val="004F1FF5"/>
    <w:rsid w:val="004F2040"/>
    <w:rsid w:val="004F247F"/>
    <w:rsid w:val="004F525C"/>
    <w:rsid w:val="004F5391"/>
    <w:rsid w:val="004F5641"/>
    <w:rsid w:val="004F6E1B"/>
    <w:rsid w:val="004F7477"/>
    <w:rsid w:val="00500592"/>
    <w:rsid w:val="00503B52"/>
    <w:rsid w:val="00504BB0"/>
    <w:rsid w:val="00505BD6"/>
    <w:rsid w:val="00506B4B"/>
    <w:rsid w:val="0050752A"/>
    <w:rsid w:val="00507E0E"/>
    <w:rsid w:val="00507E7B"/>
    <w:rsid w:val="00507FF7"/>
    <w:rsid w:val="005104D4"/>
    <w:rsid w:val="00510759"/>
    <w:rsid w:val="00511B98"/>
    <w:rsid w:val="00514C2C"/>
    <w:rsid w:val="00515B80"/>
    <w:rsid w:val="00516765"/>
    <w:rsid w:val="00517C6C"/>
    <w:rsid w:val="00520E1A"/>
    <w:rsid w:val="00522469"/>
    <w:rsid w:val="00522C10"/>
    <w:rsid w:val="00523260"/>
    <w:rsid w:val="00523627"/>
    <w:rsid w:val="00523FD8"/>
    <w:rsid w:val="005245EF"/>
    <w:rsid w:val="00524A78"/>
    <w:rsid w:val="00524E69"/>
    <w:rsid w:val="00524EE3"/>
    <w:rsid w:val="00525F22"/>
    <w:rsid w:val="00525F8C"/>
    <w:rsid w:val="00526B95"/>
    <w:rsid w:val="00530493"/>
    <w:rsid w:val="00530FB5"/>
    <w:rsid w:val="005318F6"/>
    <w:rsid w:val="00532C85"/>
    <w:rsid w:val="00533133"/>
    <w:rsid w:val="00534342"/>
    <w:rsid w:val="00535F8D"/>
    <w:rsid w:val="0053625F"/>
    <w:rsid w:val="00536CB8"/>
    <w:rsid w:val="00536D61"/>
    <w:rsid w:val="0054092D"/>
    <w:rsid w:val="00540D1C"/>
    <w:rsid w:val="00540F56"/>
    <w:rsid w:val="00541174"/>
    <w:rsid w:val="00541E10"/>
    <w:rsid w:val="00542310"/>
    <w:rsid w:val="00542CAC"/>
    <w:rsid w:val="00543372"/>
    <w:rsid w:val="00544165"/>
    <w:rsid w:val="005453DF"/>
    <w:rsid w:val="005463AF"/>
    <w:rsid w:val="00546505"/>
    <w:rsid w:val="0054668E"/>
    <w:rsid w:val="00546BB0"/>
    <w:rsid w:val="00547A6B"/>
    <w:rsid w:val="00547EF0"/>
    <w:rsid w:val="00551FE8"/>
    <w:rsid w:val="005535A6"/>
    <w:rsid w:val="005552EE"/>
    <w:rsid w:val="00555C05"/>
    <w:rsid w:val="005562DC"/>
    <w:rsid w:val="00557214"/>
    <w:rsid w:val="005603BA"/>
    <w:rsid w:val="00561562"/>
    <w:rsid w:val="0056384D"/>
    <w:rsid w:val="00564E78"/>
    <w:rsid w:val="00566814"/>
    <w:rsid w:val="00567594"/>
    <w:rsid w:val="00567812"/>
    <w:rsid w:val="00571A6B"/>
    <w:rsid w:val="00572CBE"/>
    <w:rsid w:val="0057322D"/>
    <w:rsid w:val="005736D5"/>
    <w:rsid w:val="00573A0A"/>
    <w:rsid w:val="00573BE1"/>
    <w:rsid w:val="00574096"/>
    <w:rsid w:val="0057417D"/>
    <w:rsid w:val="00574C7C"/>
    <w:rsid w:val="00576440"/>
    <w:rsid w:val="00576A34"/>
    <w:rsid w:val="00577D9A"/>
    <w:rsid w:val="00577FC0"/>
    <w:rsid w:val="005800BC"/>
    <w:rsid w:val="0058073B"/>
    <w:rsid w:val="00580831"/>
    <w:rsid w:val="00580D8A"/>
    <w:rsid w:val="00581586"/>
    <w:rsid w:val="005826DB"/>
    <w:rsid w:val="0058290A"/>
    <w:rsid w:val="00583182"/>
    <w:rsid w:val="00584B8D"/>
    <w:rsid w:val="0058502C"/>
    <w:rsid w:val="0058527F"/>
    <w:rsid w:val="0058692F"/>
    <w:rsid w:val="00593B24"/>
    <w:rsid w:val="00593F3A"/>
    <w:rsid w:val="00594873"/>
    <w:rsid w:val="0059586B"/>
    <w:rsid w:val="00595A39"/>
    <w:rsid w:val="00597F26"/>
    <w:rsid w:val="005A00EF"/>
    <w:rsid w:val="005A1374"/>
    <w:rsid w:val="005A2AE4"/>
    <w:rsid w:val="005A3287"/>
    <w:rsid w:val="005A58C6"/>
    <w:rsid w:val="005A595E"/>
    <w:rsid w:val="005A7339"/>
    <w:rsid w:val="005A7469"/>
    <w:rsid w:val="005A79B2"/>
    <w:rsid w:val="005A7CB5"/>
    <w:rsid w:val="005B2798"/>
    <w:rsid w:val="005B3B9F"/>
    <w:rsid w:val="005B3CFF"/>
    <w:rsid w:val="005B40DD"/>
    <w:rsid w:val="005B5EA1"/>
    <w:rsid w:val="005B5F9B"/>
    <w:rsid w:val="005B6B0A"/>
    <w:rsid w:val="005B73FE"/>
    <w:rsid w:val="005C1C1C"/>
    <w:rsid w:val="005C2686"/>
    <w:rsid w:val="005C470F"/>
    <w:rsid w:val="005D0D4A"/>
    <w:rsid w:val="005D2C07"/>
    <w:rsid w:val="005D2D43"/>
    <w:rsid w:val="005D4798"/>
    <w:rsid w:val="005D4E88"/>
    <w:rsid w:val="005D5F0D"/>
    <w:rsid w:val="005E1311"/>
    <w:rsid w:val="005E1518"/>
    <w:rsid w:val="005E152A"/>
    <w:rsid w:val="005E2806"/>
    <w:rsid w:val="005E2FF9"/>
    <w:rsid w:val="005E3271"/>
    <w:rsid w:val="005E3B2D"/>
    <w:rsid w:val="005E3C21"/>
    <w:rsid w:val="005E623B"/>
    <w:rsid w:val="005E62E8"/>
    <w:rsid w:val="005E6CD8"/>
    <w:rsid w:val="005F0054"/>
    <w:rsid w:val="005F01B2"/>
    <w:rsid w:val="005F05AE"/>
    <w:rsid w:val="005F12F7"/>
    <w:rsid w:val="005F2A3C"/>
    <w:rsid w:val="005F3343"/>
    <w:rsid w:val="005F3D35"/>
    <w:rsid w:val="005F45CB"/>
    <w:rsid w:val="005F4A19"/>
    <w:rsid w:val="005F5A31"/>
    <w:rsid w:val="005F5B8F"/>
    <w:rsid w:val="005F5C04"/>
    <w:rsid w:val="005F6D8E"/>
    <w:rsid w:val="005F7B34"/>
    <w:rsid w:val="006011F2"/>
    <w:rsid w:val="00601536"/>
    <w:rsid w:val="00601DEC"/>
    <w:rsid w:val="00601EF0"/>
    <w:rsid w:val="00603E5B"/>
    <w:rsid w:val="0060539B"/>
    <w:rsid w:val="00605F6C"/>
    <w:rsid w:val="006073C3"/>
    <w:rsid w:val="00611C8D"/>
    <w:rsid w:val="00612197"/>
    <w:rsid w:val="0061287B"/>
    <w:rsid w:val="0061296B"/>
    <w:rsid w:val="00614205"/>
    <w:rsid w:val="00614831"/>
    <w:rsid w:val="00614DC3"/>
    <w:rsid w:val="00615063"/>
    <w:rsid w:val="00615CB3"/>
    <w:rsid w:val="00617D14"/>
    <w:rsid w:val="006216D6"/>
    <w:rsid w:val="00621B97"/>
    <w:rsid w:val="00624826"/>
    <w:rsid w:val="00626E4B"/>
    <w:rsid w:val="00630295"/>
    <w:rsid w:val="00630B76"/>
    <w:rsid w:val="0063153F"/>
    <w:rsid w:val="0063171C"/>
    <w:rsid w:val="006329F6"/>
    <w:rsid w:val="00632EC3"/>
    <w:rsid w:val="006331F7"/>
    <w:rsid w:val="0063359A"/>
    <w:rsid w:val="00633BD6"/>
    <w:rsid w:val="0063443C"/>
    <w:rsid w:val="006348DB"/>
    <w:rsid w:val="00635688"/>
    <w:rsid w:val="00635900"/>
    <w:rsid w:val="00635E67"/>
    <w:rsid w:val="00636F17"/>
    <w:rsid w:val="00637618"/>
    <w:rsid w:val="00641FF2"/>
    <w:rsid w:val="006429AB"/>
    <w:rsid w:val="00642C0F"/>
    <w:rsid w:val="00642E13"/>
    <w:rsid w:val="00643013"/>
    <w:rsid w:val="006438FA"/>
    <w:rsid w:val="00643C99"/>
    <w:rsid w:val="00645DFA"/>
    <w:rsid w:val="00645E3B"/>
    <w:rsid w:val="00646DA0"/>
    <w:rsid w:val="00647D19"/>
    <w:rsid w:val="00647FA0"/>
    <w:rsid w:val="00650756"/>
    <w:rsid w:val="00650F15"/>
    <w:rsid w:val="00651393"/>
    <w:rsid w:val="0065155B"/>
    <w:rsid w:val="00651BF5"/>
    <w:rsid w:val="00652AB9"/>
    <w:rsid w:val="0065392F"/>
    <w:rsid w:val="006568B2"/>
    <w:rsid w:val="00657322"/>
    <w:rsid w:val="00657CD9"/>
    <w:rsid w:val="00657FC8"/>
    <w:rsid w:val="006610BB"/>
    <w:rsid w:val="00661F16"/>
    <w:rsid w:val="006635DF"/>
    <w:rsid w:val="006640D3"/>
    <w:rsid w:val="00664A27"/>
    <w:rsid w:val="00665A44"/>
    <w:rsid w:val="0067029C"/>
    <w:rsid w:val="00670419"/>
    <w:rsid w:val="00670639"/>
    <w:rsid w:val="0067088B"/>
    <w:rsid w:val="0067196A"/>
    <w:rsid w:val="006722CF"/>
    <w:rsid w:val="0067265D"/>
    <w:rsid w:val="00672C52"/>
    <w:rsid w:val="00673207"/>
    <w:rsid w:val="006740CB"/>
    <w:rsid w:val="00674C35"/>
    <w:rsid w:val="00674D7A"/>
    <w:rsid w:val="006804B8"/>
    <w:rsid w:val="00680C32"/>
    <w:rsid w:val="0068257B"/>
    <w:rsid w:val="00683719"/>
    <w:rsid w:val="00685AEA"/>
    <w:rsid w:val="0068648F"/>
    <w:rsid w:val="00686CDA"/>
    <w:rsid w:val="00687979"/>
    <w:rsid w:val="006879BE"/>
    <w:rsid w:val="00690B50"/>
    <w:rsid w:val="0069348E"/>
    <w:rsid w:val="0069360A"/>
    <w:rsid w:val="00693A28"/>
    <w:rsid w:val="00693E4A"/>
    <w:rsid w:val="00693F10"/>
    <w:rsid w:val="0069416B"/>
    <w:rsid w:val="006941D8"/>
    <w:rsid w:val="0069550E"/>
    <w:rsid w:val="00695C74"/>
    <w:rsid w:val="0069617B"/>
    <w:rsid w:val="00697CD3"/>
    <w:rsid w:val="006A0204"/>
    <w:rsid w:val="006A074D"/>
    <w:rsid w:val="006A0B19"/>
    <w:rsid w:val="006A199E"/>
    <w:rsid w:val="006A2E6A"/>
    <w:rsid w:val="006A3379"/>
    <w:rsid w:val="006A434D"/>
    <w:rsid w:val="006A4491"/>
    <w:rsid w:val="006A4A79"/>
    <w:rsid w:val="006A5C67"/>
    <w:rsid w:val="006A5F99"/>
    <w:rsid w:val="006A756D"/>
    <w:rsid w:val="006A7F19"/>
    <w:rsid w:val="006B029E"/>
    <w:rsid w:val="006B03D1"/>
    <w:rsid w:val="006B0946"/>
    <w:rsid w:val="006B1616"/>
    <w:rsid w:val="006B1E07"/>
    <w:rsid w:val="006B2E45"/>
    <w:rsid w:val="006B2F94"/>
    <w:rsid w:val="006B3281"/>
    <w:rsid w:val="006B3F5E"/>
    <w:rsid w:val="006B598B"/>
    <w:rsid w:val="006B6103"/>
    <w:rsid w:val="006B6729"/>
    <w:rsid w:val="006B6786"/>
    <w:rsid w:val="006C0CC9"/>
    <w:rsid w:val="006C1331"/>
    <w:rsid w:val="006C2512"/>
    <w:rsid w:val="006C2D32"/>
    <w:rsid w:val="006C2E12"/>
    <w:rsid w:val="006C3619"/>
    <w:rsid w:val="006C3797"/>
    <w:rsid w:val="006C3B20"/>
    <w:rsid w:val="006C4464"/>
    <w:rsid w:val="006C54B3"/>
    <w:rsid w:val="006C5617"/>
    <w:rsid w:val="006C7DBD"/>
    <w:rsid w:val="006D1C84"/>
    <w:rsid w:val="006D3380"/>
    <w:rsid w:val="006D3514"/>
    <w:rsid w:val="006D3FF9"/>
    <w:rsid w:val="006D4042"/>
    <w:rsid w:val="006D405C"/>
    <w:rsid w:val="006D45FF"/>
    <w:rsid w:val="006D6024"/>
    <w:rsid w:val="006D60EA"/>
    <w:rsid w:val="006D790F"/>
    <w:rsid w:val="006E02C9"/>
    <w:rsid w:val="006E0671"/>
    <w:rsid w:val="006E072D"/>
    <w:rsid w:val="006E194E"/>
    <w:rsid w:val="006E23A3"/>
    <w:rsid w:val="006E3F94"/>
    <w:rsid w:val="006E58F9"/>
    <w:rsid w:val="006E6AE1"/>
    <w:rsid w:val="006E764F"/>
    <w:rsid w:val="006F0B4F"/>
    <w:rsid w:val="006F0DF7"/>
    <w:rsid w:val="006F1000"/>
    <w:rsid w:val="006F14F8"/>
    <w:rsid w:val="006F2132"/>
    <w:rsid w:val="006F2B37"/>
    <w:rsid w:val="006F3535"/>
    <w:rsid w:val="006F3F82"/>
    <w:rsid w:val="006F4506"/>
    <w:rsid w:val="006F4DC5"/>
    <w:rsid w:val="006F561D"/>
    <w:rsid w:val="006F6504"/>
    <w:rsid w:val="006F791C"/>
    <w:rsid w:val="006F7BB4"/>
    <w:rsid w:val="006F7C92"/>
    <w:rsid w:val="00702D87"/>
    <w:rsid w:val="00702EE7"/>
    <w:rsid w:val="00703C9B"/>
    <w:rsid w:val="007047D8"/>
    <w:rsid w:val="007049AA"/>
    <w:rsid w:val="00705B50"/>
    <w:rsid w:val="00705BCA"/>
    <w:rsid w:val="007061A1"/>
    <w:rsid w:val="0070651F"/>
    <w:rsid w:val="007073CB"/>
    <w:rsid w:val="007077ED"/>
    <w:rsid w:val="0071044F"/>
    <w:rsid w:val="00710E25"/>
    <w:rsid w:val="00711260"/>
    <w:rsid w:val="00711B4E"/>
    <w:rsid w:val="0071289D"/>
    <w:rsid w:val="00712CA1"/>
    <w:rsid w:val="00713066"/>
    <w:rsid w:val="00715A2D"/>
    <w:rsid w:val="00716830"/>
    <w:rsid w:val="00716D6F"/>
    <w:rsid w:val="00717301"/>
    <w:rsid w:val="00717524"/>
    <w:rsid w:val="00717588"/>
    <w:rsid w:val="007178AC"/>
    <w:rsid w:val="00717DEA"/>
    <w:rsid w:val="00720012"/>
    <w:rsid w:val="00720FC1"/>
    <w:rsid w:val="007217BD"/>
    <w:rsid w:val="00721A85"/>
    <w:rsid w:val="007232A2"/>
    <w:rsid w:val="0072454F"/>
    <w:rsid w:val="00724FCE"/>
    <w:rsid w:val="00726DDC"/>
    <w:rsid w:val="00726E39"/>
    <w:rsid w:val="0072768E"/>
    <w:rsid w:val="00730151"/>
    <w:rsid w:val="00730218"/>
    <w:rsid w:val="00730269"/>
    <w:rsid w:val="00730B5A"/>
    <w:rsid w:val="00730CE9"/>
    <w:rsid w:val="00730F9B"/>
    <w:rsid w:val="00731687"/>
    <w:rsid w:val="00731B1F"/>
    <w:rsid w:val="00732C50"/>
    <w:rsid w:val="00732ED9"/>
    <w:rsid w:val="00733801"/>
    <w:rsid w:val="0073382B"/>
    <w:rsid w:val="00733C10"/>
    <w:rsid w:val="007347A5"/>
    <w:rsid w:val="0073496A"/>
    <w:rsid w:val="007350D4"/>
    <w:rsid w:val="00735F01"/>
    <w:rsid w:val="0073711E"/>
    <w:rsid w:val="00740293"/>
    <w:rsid w:val="007405FF"/>
    <w:rsid w:val="0074111B"/>
    <w:rsid w:val="00742B46"/>
    <w:rsid w:val="00742FF0"/>
    <w:rsid w:val="00743C16"/>
    <w:rsid w:val="00744813"/>
    <w:rsid w:val="007449EF"/>
    <w:rsid w:val="007462D4"/>
    <w:rsid w:val="007463E0"/>
    <w:rsid w:val="007467AA"/>
    <w:rsid w:val="007469AA"/>
    <w:rsid w:val="00746C4F"/>
    <w:rsid w:val="00747C89"/>
    <w:rsid w:val="00751459"/>
    <w:rsid w:val="007515A8"/>
    <w:rsid w:val="00751B4C"/>
    <w:rsid w:val="00751CA8"/>
    <w:rsid w:val="00752992"/>
    <w:rsid w:val="0075345A"/>
    <w:rsid w:val="007535B3"/>
    <w:rsid w:val="0075410F"/>
    <w:rsid w:val="0075415D"/>
    <w:rsid w:val="00754CCC"/>
    <w:rsid w:val="00755659"/>
    <w:rsid w:val="00755663"/>
    <w:rsid w:val="0075597D"/>
    <w:rsid w:val="00755F0A"/>
    <w:rsid w:val="00756716"/>
    <w:rsid w:val="00756EF6"/>
    <w:rsid w:val="00757268"/>
    <w:rsid w:val="00757548"/>
    <w:rsid w:val="007575FB"/>
    <w:rsid w:val="007602A0"/>
    <w:rsid w:val="00760412"/>
    <w:rsid w:val="00760BB5"/>
    <w:rsid w:val="00761244"/>
    <w:rsid w:val="00761505"/>
    <w:rsid w:val="007627C0"/>
    <w:rsid w:val="007629AA"/>
    <w:rsid w:val="00762A85"/>
    <w:rsid w:val="00763399"/>
    <w:rsid w:val="00765741"/>
    <w:rsid w:val="00765807"/>
    <w:rsid w:val="00765BA9"/>
    <w:rsid w:val="00767A94"/>
    <w:rsid w:val="007716D7"/>
    <w:rsid w:val="00772436"/>
    <w:rsid w:val="007724AA"/>
    <w:rsid w:val="00772865"/>
    <w:rsid w:val="00773746"/>
    <w:rsid w:val="00774B0F"/>
    <w:rsid w:val="0077663A"/>
    <w:rsid w:val="00776A6F"/>
    <w:rsid w:val="0077702E"/>
    <w:rsid w:val="00780BA7"/>
    <w:rsid w:val="00780D85"/>
    <w:rsid w:val="00780DB5"/>
    <w:rsid w:val="00781288"/>
    <w:rsid w:val="007817F1"/>
    <w:rsid w:val="00783387"/>
    <w:rsid w:val="0078338B"/>
    <w:rsid w:val="00783C58"/>
    <w:rsid w:val="007844D0"/>
    <w:rsid w:val="007869F4"/>
    <w:rsid w:val="007874D5"/>
    <w:rsid w:val="00787A2A"/>
    <w:rsid w:val="00787C70"/>
    <w:rsid w:val="00790015"/>
    <w:rsid w:val="007903CC"/>
    <w:rsid w:val="0079162C"/>
    <w:rsid w:val="00792314"/>
    <w:rsid w:val="0079361B"/>
    <w:rsid w:val="00793E18"/>
    <w:rsid w:val="00793F7A"/>
    <w:rsid w:val="00794512"/>
    <w:rsid w:val="00795190"/>
    <w:rsid w:val="00795363"/>
    <w:rsid w:val="00796E46"/>
    <w:rsid w:val="00797BCA"/>
    <w:rsid w:val="007A2443"/>
    <w:rsid w:val="007A38A7"/>
    <w:rsid w:val="007A39E2"/>
    <w:rsid w:val="007A3DE9"/>
    <w:rsid w:val="007A3F84"/>
    <w:rsid w:val="007A464A"/>
    <w:rsid w:val="007A4791"/>
    <w:rsid w:val="007A614C"/>
    <w:rsid w:val="007A6F13"/>
    <w:rsid w:val="007A76DD"/>
    <w:rsid w:val="007A7807"/>
    <w:rsid w:val="007B01C0"/>
    <w:rsid w:val="007B04CC"/>
    <w:rsid w:val="007B226D"/>
    <w:rsid w:val="007B3D27"/>
    <w:rsid w:val="007B3EA5"/>
    <w:rsid w:val="007B3FAA"/>
    <w:rsid w:val="007B5CFD"/>
    <w:rsid w:val="007B605C"/>
    <w:rsid w:val="007B6354"/>
    <w:rsid w:val="007B7C28"/>
    <w:rsid w:val="007C0D8B"/>
    <w:rsid w:val="007C17FF"/>
    <w:rsid w:val="007C2584"/>
    <w:rsid w:val="007C2F9C"/>
    <w:rsid w:val="007C369B"/>
    <w:rsid w:val="007C3D5C"/>
    <w:rsid w:val="007C75C5"/>
    <w:rsid w:val="007D0C15"/>
    <w:rsid w:val="007D0E76"/>
    <w:rsid w:val="007D12FF"/>
    <w:rsid w:val="007D1D36"/>
    <w:rsid w:val="007D6CDE"/>
    <w:rsid w:val="007E06FF"/>
    <w:rsid w:val="007E0F7E"/>
    <w:rsid w:val="007E185C"/>
    <w:rsid w:val="007E1C0C"/>
    <w:rsid w:val="007E23E7"/>
    <w:rsid w:val="007E2C90"/>
    <w:rsid w:val="007E373B"/>
    <w:rsid w:val="007E4F90"/>
    <w:rsid w:val="007E657F"/>
    <w:rsid w:val="007E7709"/>
    <w:rsid w:val="007F2022"/>
    <w:rsid w:val="007F27C1"/>
    <w:rsid w:val="007F2A3C"/>
    <w:rsid w:val="007F4E65"/>
    <w:rsid w:val="007F5EE7"/>
    <w:rsid w:val="007F6401"/>
    <w:rsid w:val="007F66D3"/>
    <w:rsid w:val="008008ED"/>
    <w:rsid w:val="008017C7"/>
    <w:rsid w:val="0080299F"/>
    <w:rsid w:val="00802DE9"/>
    <w:rsid w:val="008033A1"/>
    <w:rsid w:val="00803663"/>
    <w:rsid w:val="008044E6"/>
    <w:rsid w:val="008045E3"/>
    <w:rsid w:val="00805053"/>
    <w:rsid w:val="008052A3"/>
    <w:rsid w:val="0080688E"/>
    <w:rsid w:val="0080781B"/>
    <w:rsid w:val="008105FE"/>
    <w:rsid w:val="00810682"/>
    <w:rsid w:val="00812230"/>
    <w:rsid w:val="0081285C"/>
    <w:rsid w:val="0081310B"/>
    <w:rsid w:val="00813C36"/>
    <w:rsid w:val="00814C4A"/>
    <w:rsid w:val="008164B9"/>
    <w:rsid w:val="008165A7"/>
    <w:rsid w:val="00817AEF"/>
    <w:rsid w:val="008206EE"/>
    <w:rsid w:val="008206F7"/>
    <w:rsid w:val="00820FBE"/>
    <w:rsid w:val="00821202"/>
    <w:rsid w:val="00822414"/>
    <w:rsid w:val="00822D91"/>
    <w:rsid w:val="00822FC3"/>
    <w:rsid w:val="0082419F"/>
    <w:rsid w:val="00825DC4"/>
    <w:rsid w:val="008262B7"/>
    <w:rsid w:val="008264C5"/>
    <w:rsid w:val="0082726D"/>
    <w:rsid w:val="00830ADF"/>
    <w:rsid w:val="00832EC6"/>
    <w:rsid w:val="0083306C"/>
    <w:rsid w:val="008336EE"/>
    <w:rsid w:val="0083388C"/>
    <w:rsid w:val="008338BD"/>
    <w:rsid w:val="00833A01"/>
    <w:rsid w:val="00834640"/>
    <w:rsid w:val="00834CC2"/>
    <w:rsid w:val="00835730"/>
    <w:rsid w:val="008364C0"/>
    <w:rsid w:val="00836814"/>
    <w:rsid w:val="00837998"/>
    <w:rsid w:val="00837F17"/>
    <w:rsid w:val="00840210"/>
    <w:rsid w:val="008414E0"/>
    <w:rsid w:val="0084249F"/>
    <w:rsid w:val="008424D6"/>
    <w:rsid w:val="00843C93"/>
    <w:rsid w:val="00845071"/>
    <w:rsid w:val="008459D6"/>
    <w:rsid w:val="00845F73"/>
    <w:rsid w:val="00846AB9"/>
    <w:rsid w:val="00847494"/>
    <w:rsid w:val="00847864"/>
    <w:rsid w:val="008502A3"/>
    <w:rsid w:val="00850BF6"/>
    <w:rsid w:val="00851940"/>
    <w:rsid w:val="008528AF"/>
    <w:rsid w:val="008537EB"/>
    <w:rsid w:val="008538DC"/>
    <w:rsid w:val="00857855"/>
    <w:rsid w:val="00862BC5"/>
    <w:rsid w:val="00862CF9"/>
    <w:rsid w:val="008639F6"/>
    <w:rsid w:val="00863BA4"/>
    <w:rsid w:val="00863BC4"/>
    <w:rsid w:val="0086562E"/>
    <w:rsid w:val="008673B5"/>
    <w:rsid w:val="00867E61"/>
    <w:rsid w:val="00871566"/>
    <w:rsid w:val="00871974"/>
    <w:rsid w:val="00872466"/>
    <w:rsid w:val="00872C5E"/>
    <w:rsid w:val="008739B9"/>
    <w:rsid w:val="00874B17"/>
    <w:rsid w:val="00875010"/>
    <w:rsid w:val="008758BC"/>
    <w:rsid w:val="00875BDA"/>
    <w:rsid w:val="00875C8C"/>
    <w:rsid w:val="0087626A"/>
    <w:rsid w:val="008762A2"/>
    <w:rsid w:val="00876ABF"/>
    <w:rsid w:val="00877290"/>
    <w:rsid w:val="0087744A"/>
    <w:rsid w:val="00880251"/>
    <w:rsid w:val="00881831"/>
    <w:rsid w:val="00881A24"/>
    <w:rsid w:val="00883497"/>
    <w:rsid w:val="008840CF"/>
    <w:rsid w:val="00884D2F"/>
    <w:rsid w:val="00884FFD"/>
    <w:rsid w:val="00886D6E"/>
    <w:rsid w:val="00891782"/>
    <w:rsid w:val="00892109"/>
    <w:rsid w:val="00895A33"/>
    <w:rsid w:val="00895AAD"/>
    <w:rsid w:val="00897419"/>
    <w:rsid w:val="008A26E9"/>
    <w:rsid w:val="008A360A"/>
    <w:rsid w:val="008A38BF"/>
    <w:rsid w:val="008A5516"/>
    <w:rsid w:val="008A60AF"/>
    <w:rsid w:val="008A78DB"/>
    <w:rsid w:val="008B0C3C"/>
    <w:rsid w:val="008B1888"/>
    <w:rsid w:val="008B2671"/>
    <w:rsid w:val="008B286F"/>
    <w:rsid w:val="008B34D5"/>
    <w:rsid w:val="008B5C0E"/>
    <w:rsid w:val="008B62A6"/>
    <w:rsid w:val="008B64E5"/>
    <w:rsid w:val="008B6EB0"/>
    <w:rsid w:val="008B70D3"/>
    <w:rsid w:val="008C0213"/>
    <w:rsid w:val="008C1520"/>
    <w:rsid w:val="008C19AE"/>
    <w:rsid w:val="008C2B5F"/>
    <w:rsid w:val="008C2D62"/>
    <w:rsid w:val="008C331E"/>
    <w:rsid w:val="008C4EBA"/>
    <w:rsid w:val="008C54EC"/>
    <w:rsid w:val="008C6C27"/>
    <w:rsid w:val="008C7BFB"/>
    <w:rsid w:val="008D0B7B"/>
    <w:rsid w:val="008D111B"/>
    <w:rsid w:val="008D2CF4"/>
    <w:rsid w:val="008D32D4"/>
    <w:rsid w:val="008D339B"/>
    <w:rsid w:val="008D3ED3"/>
    <w:rsid w:val="008D630C"/>
    <w:rsid w:val="008D7384"/>
    <w:rsid w:val="008E038F"/>
    <w:rsid w:val="008E0DD3"/>
    <w:rsid w:val="008E13B5"/>
    <w:rsid w:val="008E159D"/>
    <w:rsid w:val="008E26C3"/>
    <w:rsid w:val="008E2E2F"/>
    <w:rsid w:val="008E4F05"/>
    <w:rsid w:val="008E5098"/>
    <w:rsid w:val="008E6066"/>
    <w:rsid w:val="008E7373"/>
    <w:rsid w:val="008E7A13"/>
    <w:rsid w:val="008E7D3C"/>
    <w:rsid w:val="008F043B"/>
    <w:rsid w:val="008F1CB0"/>
    <w:rsid w:val="008F317C"/>
    <w:rsid w:val="008F37C0"/>
    <w:rsid w:val="008F4DA5"/>
    <w:rsid w:val="008F594D"/>
    <w:rsid w:val="00901D4B"/>
    <w:rsid w:val="00903459"/>
    <w:rsid w:val="0090486D"/>
    <w:rsid w:val="009055F9"/>
    <w:rsid w:val="0090596C"/>
    <w:rsid w:val="00905E50"/>
    <w:rsid w:val="0090700A"/>
    <w:rsid w:val="009073CD"/>
    <w:rsid w:val="00907432"/>
    <w:rsid w:val="0091182C"/>
    <w:rsid w:val="00911AE4"/>
    <w:rsid w:val="00912062"/>
    <w:rsid w:val="0091285C"/>
    <w:rsid w:val="00912C94"/>
    <w:rsid w:val="00913059"/>
    <w:rsid w:val="00913329"/>
    <w:rsid w:val="009137BB"/>
    <w:rsid w:val="00913DE8"/>
    <w:rsid w:val="009148AA"/>
    <w:rsid w:val="009149A5"/>
    <w:rsid w:val="00916762"/>
    <w:rsid w:val="00916C17"/>
    <w:rsid w:val="00917F6D"/>
    <w:rsid w:val="009211C6"/>
    <w:rsid w:val="00924CB5"/>
    <w:rsid w:val="0092529A"/>
    <w:rsid w:val="009273D9"/>
    <w:rsid w:val="00930C9A"/>
    <w:rsid w:val="00932C13"/>
    <w:rsid w:val="00933820"/>
    <w:rsid w:val="00934EBC"/>
    <w:rsid w:val="0093533F"/>
    <w:rsid w:val="009377D4"/>
    <w:rsid w:val="00937C7F"/>
    <w:rsid w:val="00940379"/>
    <w:rsid w:val="009405EC"/>
    <w:rsid w:val="00940C13"/>
    <w:rsid w:val="009413B2"/>
    <w:rsid w:val="0094195C"/>
    <w:rsid w:val="009419E7"/>
    <w:rsid w:val="00943548"/>
    <w:rsid w:val="00943DDA"/>
    <w:rsid w:val="0094472A"/>
    <w:rsid w:val="009448DF"/>
    <w:rsid w:val="00944C70"/>
    <w:rsid w:val="00945E83"/>
    <w:rsid w:val="00947135"/>
    <w:rsid w:val="00947515"/>
    <w:rsid w:val="00950024"/>
    <w:rsid w:val="00950354"/>
    <w:rsid w:val="00951D8E"/>
    <w:rsid w:val="00952130"/>
    <w:rsid w:val="00952308"/>
    <w:rsid w:val="00953328"/>
    <w:rsid w:val="00953A4E"/>
    <w:rsid w:val="00954818"/>
    <w:rsid w:val="0095525A"/>
    <w:rsid w:val="009558EA"/>
    <w:rsid w:val="00956766"/>
    <w:rsid w:val="0095752C"/>
    <w:rsid w:val="00960058"/>
    <w:rsid w:val="00960435"/>
    <w:rsid w:val="00961113"/>
    <w:rsid w:val="0096255E"/>
    <w:rsid w:val="00965800"/>
    <w:rsid w:val="0096588B"/>
    <w:rsid w:val="0096590C"/>
    <w:rsid w:val="00966D9A"/>
    <w:rsid w:val="00971BA3"/>
    <w:rsid w:val="0097232C"/>
    <w:rsid w:val="0097266E"/>
    <w:rsid w:val="00973264"/>
    <w:rsid w:val="00974B7B"/>
    <w:rsid w:val="00975878"/>
    <w:rsid w:val="00975BE9"/>
    <w:rsid w:val="00980551"/>
    <w:rsid w:val="0098079D"/>
    <w:rsid w:val="00980E90"/>
    <w:rsid w:val="00982C31"/>
    <w:rsid w:val="009833A5"/>
    <w:rsid w:val="0098348D"/>
    <w:rsid w:val="009835F1"/>
    <w:rsid w:val="00983657"/>
    <w:rsid w:val="00985C3C"/>
    <w:rsid w:val="009860EE"/>
    <w:rsid w:val="00986F09"/>
    <w:rsid w:val="009874B6"/>
    <w:rsid w:val="009901CB"/>
    <w:rsid w:val="0099180B"/>
    <w:rsid w:val="00992152"/>
    <w:rsid w:val="0099535F"/>
    <w:rsid w:val="00995B00"/>
    <w:rsid w:val="00995F2C"/>
    <w:rsid w:val="00996D5F"/>
    <w:rsid w:val="00997297"/>
    <w:rsid w:val="009973A5"/>
    <w:rsid w:val="009A0560"/>
    <w:rsid w:val="009A0EFB"/>
    <w:rsid w:val="009A146E"/>
    <w:rsid w:val="009A2087"/>
    <w:rsid w:val="009A21E6"/>
    <w:rsid w:val="009A419B"/>
    <w:rsid w:val="009A4C73"/>
    <w:rsid w:val="009B089A"/>
    <w:rsid w:val="009B0DE3"/>
    <w:rsid w:val="009B20B1"/>
    <w:rsid w:val="009B2A8B"/>
    <w:rsid w:val="009B3A9D"/>
    <w:rsid w:val="009B4FBD"/>
    <w:rsid w:val="009B5D4F"/>
    <w:rsid w:val="009B62F1"/>
    <w:rsid w:val="009B6661"/>
    <w:rsid w:val="009B749C"/>
    <w:rsid w:val="009B79EA"/>
    <w:rsid w:val="009C1720"/>
    <w:rsid w:val="009C1746"/>
    <w:rsid w:val="009C2D32"/>
    <w:rsid w:val="009C321B"/>
    <w:rsid w:val="009C4350"/>
    <w:rsid w:val="009C4A69"/>
    <w:rsid w:val="009C52BA"/>
    <w:rsid w:val="009C5EE8"/>
    <w:rsid w:val="009C6076"/>
    <w:rsid w:val="009C650D"/>
    <w:rsid w:val="009D0F6C"/>
    <w:rsid w:val="009D1138"/>
    <w:rsid w:val="009D1758"/>
    <w:rsid w:val="009D1B91"/>
    <w:rsid w:val="009D1F6F"/>
    <w:rsid w:val="009D38E9"/>
    <w:rsid w:val="009D3D0B"/>
    <w:rsid w:val="009D4BED"/>
    <w:rsid w:val="009D5120"/>
    <w:rsid w:val="009D5828"/>
    <w:rsid w:val="009D699A"/>
    <w:rsid w:val="009D70AC"/>
    <w:rsid w:val="009E1D92"/>
    <w:rsid w:val="009E29ED"/>
    <w:rsid w:val="009E2AE5"/>
    <w:rsid w:val="009E2C74"/>
    <w:rsid w:val="009E5705"/>
    <w:rsid w:val="009E5AF1"/>
    <w:rsid w:val="009E727B"/>
    <w:rsid w:val="009F0929"/>
    <w:rsid w:val="009F1FFA"/>
    <w:rsid w:val="009F37CB"/>
    <w:rsid w:val="009F57AF"/>
    <w:rsid w:val="009F5E8A"/>
    <w:rsid w:val="009F65E9"/>
    <w:rsid w:val="009F6D62"/>
    <w:rsid w:val="009F70FE"/>
    <w:rsid w:val="009F767C"/>
    <w:rsid w:val="00A00663"/>
    <w:rsid w:val="00A010E1"/>
    <w:rsid w:val="00A01218"/>
    <w:rsid w:val="00A01EF8"/>
    <w:rsid w:val="00A02318"/>
    <w:rsid w:val="00A0264E"/>
    <w:rsid w:val="00A02ECD"/>
    <w:rsid w:val="00A04AFB"/>
    <w:rsid w:val="00A0540B"/>
    <w:rsid w:val="00A05868"/>
    <w:rsid w:val="00A058A7"/>
    <w:rsid w:val="00A05CF9"/>
    <w:rsid w:val="00A069C7"/>
    <w:rsid w:val="00A10DF9"/>
    <w:rsid w:val="00A13237"/>
    <w:rsid w:val="00A142CD"/>
    <w:rsid w:val="00A1566E"/>
    <w:rsid w:val="00A15A7E"/>
    <w:rsid w:val="00A15D24"/>
    <w:rsid w:val="00A16143"/>
    <w:rsid w:val="00A16286"/>
    <w:rsid w:val="00A17585"/>
    <w:rsid w:val="00A2057F"/>
    <w:rsid w:val="00A208B8"/>
    <w:rsid w:val="00A2176E"/>
    <w:rsid w:val="00A22383"/>
    <w:rsid w:val="00A22D89"/>
    <w:rsid w:val="00A23029"/>
    <w:rsid w:val="00A25951"/>
    <w:rsid w:val="00A270D0"/>
    <w:rsid w:val="00A30A08"/>
    <w:rsid w:val="00A30FE9"/>
    <w:rsid w:val="00A31E6F"/>
    <w:rsid w:val="00A34928"/>
    <w:rsid w:val="00A3523B"/>
    <w:rsid w:val="00A353B4"/>
    <w:rsid w:val="00A36807"/>
    <w:rsid w:val="00A36F42"/>
    <w:rsid w:val="00A37A85"/>
    <w:rsid w:val="00A4184F"/>
    <w:rsid w:val="00A42541"/>
    <w:rsid w:val="00A42BFE"/>
    <w:rsid w:val="00A43A34"/>
    <w:rsid w:val="00A44105"/>
    <w:rsid w:val="00A45664"/>
    <w:rsid w:val="00A460BD"/>
    <w:rsid w:val="00A476E2"/>
    <w:rsid w:val="00A505A5"/>
    <w:rsid w:val="00A5299A"/>
    <w:rsid w:val="00A53AA6"/>
    <w:rsid w:val="00A53C08"/>
    <w:rsid w:val="00A53DA9"/>
    <w:rsid w:val="00A54028"/>
    <w:rsid w:val="00A54461"/>
    <w:rsid w:val="00A55087"/>
    <w:rsid w:val="00A553FB"/>
    <w:rsid w:val="00A55480"/>
    <w:rsid w:val="00A55701"/>
    <w:rsid w:val="00A610D7"/>
    <w:rsid w:val="00A61776"/>
    <w:rsid w:val="00A62ADE"/>
    <w:rsid w:val="00A64C8D"/>
    <w:rsid w:val="00A6600E"/>
    <w:rsid w:val="00A66AEC"/>
    <w:rsid w:val="00A66EEE"/>
    <w:rsid w:val="00A672F5"/>
    <w:rsid w:val="00A7211C"/>
    <w:rsid w:val="00A72442"/>
    <w:rsid w:val="00A7295E"/>
    <w:rsid w:val="00A7326E"/>
    <w:rsid w:val="00A73532"/>
    <w:rsid w:val="00A73CB7"/>
    <w:rsid w:val="00A73F9B"/>
    <w:rsid w:val="00A7744A"/>
    <w:rsid w:val="00A814E2"/>
    <w:rsid w:val="00A81E7D"/>
    <w:rsid w:val="00A82753"/>
    <w:rsid w:val="00A82D63"/>
    <w:rsid w:val="00A8402D"/>
    <w:rsid w:val="00A845D1"/>
    <w:rsid w:val="00A84726"/>
    <w:rsid w:val="00A84D8D"/>
    <w:rsid w:val="00A853A4"/>
    <w:rsid w:val="00A85504"/>
    <w:rsid w:val="00A86279"/>
    <w:rsid w:val="00A876E8"/>
    <w:rsid w:val="00A878EE"/>
    <w:rsid w:val="00A87969"/>
    <w:rsid w:val="00A9105F"/>
    <w:rsid w:val="00A910AF"/>
    <w:rsid w:val="00A91DAD"/>
    <w:rsid w:val="00A92848"/>
    <w:rsid w:val="00A929E9"/>
    <w:rsid w:val="00A93E0C"/>
    <w:rsid w:val="00A943EB"/>
    <w:rsid w:val="00A94927"/>
    <w:rsid w:val="00A95C51"/>
    <w:rsid w:val="00A95D66"/>
    <w:rsid w:val="00A9623E"/>
    <w:rsid w:val="00A9711E"/>
    <w:rsid w:val="00A9717F"/>
    <w:rsid w:val="00A97D03"/>
    <w:rsid w:val="00A97EF3"/>
    <w:rsid w:val="00AA0F0B"/>
    <w:rsid w:val="00AA12AD"/>
    <w:rsid w:val="00AA192F"/>
    <w:rsid w:val="00AA2A36"/>
    <w:rsid w:val="00AA2B7A"/>
    <w:rsid w:val="00AA49AD"/>
    <w:rsid w:val="00AA5CCE"/>
    <w:rsid w:val="00AA76C5"/>
    <w:rsid w:val="00AB2F42"/>
    <w:rsid w:val="00AB39E6"/>
    <w:rsid w:val="00AB419E"/>
    <w:rsid w:val="00AB4D8F"/>
    <w:rsid w:val="00AB52C9"/>
    <w:rsid w:val="00AB6A94"/>
    <w:rsid w:val="00AB718E"/>
    <w:rsid w:val="00AB72B2"/>
    <w:rsid w:val="00AC02FA"/>
    <w:rsid w:val="00AC0A7C"/>
    <w:rsid w:val="00AC2337"/>
    <w:rsid w:val="00AC2FA1"/>
    <w:rsid w:val="00AC2FC5"/>
    <w:rsid w:val="00AC4405"/>
    <w:rsid w:val="00AC6CB8"/>
    <w:rsid w:val="00AD0A2F"/>
    <w:rsid w:val="00AD1C17"/>
    <w:rsid w:val="00AD1C58"/>
    <w:rsid w:val="00AD234B"/>
    <w:rsid w:val="00AD3552"/>
    <w:rsid w:val="00AD39D0"/>
    <w:rsid w:val="00AD4120"/>
    <w:rsid w:val="00AD4571"/>
    <w:rsid w:val="00AD5C3C"/>
    <w:rsid w:val="00AD75DF"/>
    <w:rsid w:val="00AE0175"/>
    <w:rsid w:val="00AE1669"/>
    <w:rsid w:val="00AE2CBF"/>
    <w:rsid w:val="00AE5BB2"/>
    <w:rsid w:val="00AE6402"/>
    <w:rsid w:val="00AE6521"/>
    <w:rsid w:val="00AF0C72"/>
    <w:rsid w:val="00AF1661"/>
    <w:rsid w:val="00AF5B73"/>
    <w:rsid w:val="00AF64A7"/>
    <w:rsid w:val="00AF6D09"/>
    <w:rsid w:val="00AF7CB9"/>
    <w:rsid w:val="00B00241"/>
    <w:rsid w:val="00B006E5"/>
    <w:rsid w:val="00B00A47"/>
    <w:rsid w:val="00B02214"/>
    <w:rsid w:val="00B02D53"/>
    <w:rsid w:val="00B03308"/>
    <w:rsid w:val="00B03B03"/>
    <w:rsid w:val="00B0495E"/>
    <w:rsid w:val="00B07AC2"/>
    <w:rsid w:val="00B07D3A"/>
    <w:rsid w:val="00B110D3"/>
    <w:rsid w:val="00B1133D"/>
    <w:rsid w:val="00B11B16"/>
    <w:rsid w:val="00B12184"/>
    <w:rsid w:val="00B12623"/>
    <w:rsid w:val="00B126C2"/>
    <w:rsid w:val="00B12CC7"/>
    <w:rsid w:val="00B13A38"/>
    <w:rsid w:val="00B13AD8"/>
    <w:rsid w:val="00B1503A"/>
    <w:rsid w:val="00B15ED0"/>
    <w:rsid w:val="00B1679D"/>
    <w:rsid w:val="00B17358"/>
    <w:rsid w:val="00B176D1"/>
    <w:rsid w:val="00B21B83"/>
    <w:rsid w:val="00B21ECB"/>
    <w:rsid w:val="00B21FAB"/>
    <w:rsid w:val="00B2251A"/>
    <w:rsid w:val="00B22561"/>
    <w:rsid w:val="00B226DA"/>
    <w:rsid w:val="00B248D3"/>
    <w:rsid w:val="00B27749"/>
    <w:rsid w:val="00B27ACB"/>
    <w:rsid w:val="00B30BEB"/>
    <w:rsid w:val="00B3359A"/>
    <w:rsid w:val="00B33769"/>
    <w:rsid w:val="00B33901"/>
    <w:rsid w:val="00B3466C"/>
    <w:rsid w:val="00B348E7"/>
    <w:rsid w:val="00B34E2C"/>
    <w:rsid w:val="00B359B8"/>
    <w:rsid w:val="00B35A49"/>
    <w:rsid w:val="00B37182"/>
    <w:rsid w:val="00B40853"/>
    <w:rsid w:val="00B40A87"/>
    <w:rsid w:val="00B42624"/>
    <w:rsid w:val="00B42A5B"/>
    <w:rsid w:val="00B445E9"/>
    <w:rsid w:val="00B4690C"/>
    <w:rsid w:val="00B46ED4"/>
    <w:rsid w:val="00B4702F"/>
    <w:rsid w:val="00B472D0"/>
    <w:rsid w:val="00B47A14"/>
    <w:rsid w:val="00B50CBA"/>
    <w:rsid w:val="00B51296"/>
    <w:rsid w:val="00B52702"/>
    <w:rsid w:val="00B53BBD"/>
    <w:rsid w:val="00B5550F"/>
    <w:rsid w:val="00B55797"/>
    <w:rsid w:val="00B55ED6"/>
    <w:rsid w:val="00B56BCA"/>
    <w:rsid w:val="00B61D15"/>
    <w:rsid w:val="00B61F3A"/>
    <w:rsid w:val="00B620A3"/>
    <w:rsid w:val="00B6270C"/>
    <w:rsid w:val="00B62D43"/>
    <w:rsid w:val="00B633EA"/>
    <w:rsid w:val="00B63AE6"/>
    <w:rsid w:val="00B64E01"/>
    <w:rsid w:val="00B64EAB"/>
    <w:rsid w:val="00B653C0"/>
    <w:rsid w:val="00B6581E"/>
    <w:rsid w:val="00B662C9"/>
    <w:rsid w:val="00B668CF"/>
    <w:rsid w:val="00B66B44"/>
    <w:rsid w:val="00B6703E"/>
    <w:rsid w:val="00B67B4B"/>
    <w:rsid w:val="00B705F0"/>
    <w:rsid w:val="00B71407"/>
    <w:rsid w:val="00B71661"/>
    <w:rsid w:val="00B71BD7"/>
    <w:rsid w:val="00B71D18"/>
    <w:rsid w:val="00B72E62"/>
    <w:rsid w:val="00B74067"/>
    <w:rsid w:val="00B74E24"/>
    <w:rsid w:val="00B752C0"/>
    <w:rsid w:val="00B76012"/>
    <w:rsid w:val="00B76315"/>
    <w:rsid w:val="00B76BC8"/>
    <w:rsid w:val="00B77C66"/>
    <w:rsid w:val="00B77F77"/>
    <w:rsid w:val="00B814E2"/>
    <w:rsid w:val="00B8373B"/>
    <w:rsid w:val="00B87B78"/>
    <w:rsid w:val="00B91982"/>
    <w:rsid w:val="00B91B11"/>
    <w:rsid w:val="00B926E1"/>
    <w:rsid w:val="00B92838"/>
    <w:rsid w:val="00B94350"/>
    <w:rsid w:val="00B94CF2"/>
    <w:rsid w:val="00B95221"/>
    <w:rsid w:val="00B96A17"/>
    <w:rsid w:val="00B97A0E"/>
    <w:rsid w:val="00BA09EC"/>
    <w:rsid w:val="00BA1869"/>
    <w:rsid w:val="00BA1E2F"/>
    <w:rsid w:val="00BA211B"/>
    <w:rsid w:val="00BA24C8"/>
    <w:rsid w:val="00BA2B91"/>
    <w:rsid w:val="00BA3B55"/>
    <w:rsid w:val="00BA44B5"/>
    <w:rsid w:val="00BA5754"/>
    <w:rsid w:val="00BA61E8"/>
    <w:rsid w:val="00BB016A"/>
    <w:rsid w:val="00BB045A"/>
    <w:rsid w:val="00BB070C"/>
    <w:rsid w:val="00BB1854"/>
    <w:rsid w:val="00BB2158"/>
    <w:rsid w:val="00BB3268"/>
    <w:rsid w:val="00BB3AAC"/>
    <w:rsid w:val="00BB417A"/>
    <w:rsid w:val="00BB41EC"/>
    <w:rsid w:val="00BB5E82"/>
    <w:rsid w:val="00BB5FCB"/>
    <w:rsid w:val="00BB62A2"/>
    <w:rsid w:val="00BB650F"/>
    <w:rsid w:val="00BB690B"/>
    <w:rsid w:val="00BB6D99"/>
    <w:rsid w:val="00BB7C7A"/>
    <w:rsid w:val="00BC1CFD"/>
    <w:rsid w:val="00BC2568"/>
    <w:rsid w:val="00BC425B"/>
    <w:rsid w:val="00BC57C2"/>
    <w:rsid w:val="00BC778D"/>
    <w:rsid w:val="00BD1B82"/>
    <w:rsid w:val="00BD4909"/>
    <w:rsid w:val="00BD51A7"/>
    <w:rsid w:val="00BD5BB2"/>
    <w:rsid w:val="00BD691D"/>
    <w:rsid w:val="00BD6A00"/>
    <w:rsid w:val="00BD6D3B"/>
    <w:rsid w:val="00BD77AC"/>
    <w:rsid w:val="00BD783C"/>
    <w:rsid w:val="00BE0D5F"/>
    <w:rsid w:val="00BE128D"/>
    <w:rsid w:val="00BE1CC5"/>
    <w:rsid w:val="00BE26A2"/>
    <w:rsid w:val="00BE36C6"/>
    <w:rsid w:val="00BE45E7"/>
    <w:rsid w:val="00BE5570"/>
    <w:rsid w:val="00BE5BE8"/>
    <w:rsid w:val="00BE6123"/>
    <w:rsid w:val="00BE6985"/>
    <w:rsid w:val="00BE6AAF"/>
    <w:rsid w:val="00BE6AFF"/>
    <w:rsid w:val="00BF0988"/>
    <w:rsid w:val="00BF133D"/>
    <w:rsid w:val="00BF1597"/>
    <w:rsid w:val="00BF1692"/>
    <w:rsid w:val="00BF17F6"/>
    <w:rsid w:val="00BF3EC7"/>
    <w:rsid w:val="00BF48D8"/>
    <w:rsid w:val="00BF5A2B"/>
    <w:rsid w:val="00BF68C0"/>
    <w:rsid w:val="00BF7CE7"/>
    <w:rsid w:val="00BF7E3B"/>
    <w:rsid w:val="00BF7E79"/>
    <w:rsid w:val="00C00859"/>
    <w:rsid w:val="00C00A60"/>
    <w:rsid w:val="00C01591"/>
    <w:rsid w:val="00C0159F"/>
    <w:rsid w:val="00C01637"/>
    <w:rsid w:val="00C0224C"/>
    <w:rsid w:val="00C02C35"/>
    <w:rsid w:val="00C0332F"/>
    <w:rsid w:val="00C03AEE"/>
    <w:rsid w:val="00C03CAA"/>
    <w:rsid w:val="00C057C6"/>
    <w:rsid w:val="00C062FC"/>
    <w:rsid w:val="00C06B85"/>
    <w:rsid w:val="00C06E18"/>
    <w:rsid w:val="00C07B0C"/>
    <w:rsid w:val="00C10F55"/>
    <w:rsid w:val="00C10FC3"/>
    <w:rsid w:val="00C11339"/>
    <w:rsid w:val="00C11579"/>
    <w:rsid w:val="00C12099"/>
    <w:rsid w:val="00C124F7"/>
    <w:rsid w:val="00C138FA"/>
    <w:rsid w:val="00C13984"/>
    <w:rsid w:val="00C148AE"/>
    <w:rsid w:val="00C15B4B"/>
    <w:rsid w:val="00C15D47"/>
    <w:rsid w:val="00C16C0B"/>
    <w:rsid w:val="00C171BA"/>
    <w:rsid w:val="00C20BC8"/>
    <w:rsid w:val="00C20E7D"/>
    <w:rsid w:val="00C21DE2"/>
    <w:rsid w:val="00C2261D"/>
    <w:rsid w:val="00C22FC2"/>
    <w:rsid w:val="00C236FF"/>
    <w:rsid w:val="00C2380B"/>
    <w:rsid w:val="00C240B4"/>
    <w:rsid w:val="00C24DC7"/>
    <w:rsid w:val="00C251A1"/>
    <w:rsid w:val="00C25399"/>
    <w:rsid w:val="00C25AA0"/>
    <w:rsid w:val="00C31BDF"/>
    <w:rsid w:val="00C32882"/>
    <w:rsid w:val="00C32F52"/>
    <w:rsid w:val="00C358E7"/>
    <w:rsid w:val="00C372BB"/>
    <w:rsid w:val="00C3750B"/>
    <w:rsid w:val="00C37CBB"/>
    <w:rsid w:val="00C42581"/>
    <w:rsid w:val="00C43FFE"/>
    <w:rsid w:val="00C44BD1"/>
    <w:rsid w:val="00C451A8"/>
    <w:rsid w:val="00C45696"/>
    <w:rsid w:val="00C4667D"/>
    <w:rsid w:val="00C46773"/>
    <w:rsid w:val="00C46F79"/>
    <w:rsid w:val="00C471BE"/>
    <w:rsid w:val="00C47308"/>
    <w:rsid w:val="00C473A7"/>
    <w:rsid w:val="00C47760"/>
    <w:rsid w:val="00C4784B"/>
    <w:rsid w:val="00C47AC3"/>
    <w:rsid w:val="00C47E05"/>
    <w:rsid w:val="00C500A4"/>
    <w:rsid w:val="00C50139"/>
    <w:rsid w:val="00C50D2B"/>
    <w:rsid w:val="00C51130"/>
    <w:rsid w:val="00C51372"/>
    <w:rsid w:val="00C55C68"/>
    <w:rsid w:val="00C56127"/>
    <w:rsid w:val="00C56BEB"/>
    <w:rsid w:val="00C576A6"/>
    <w:rsid w:val="00C57EC3"/>
    <w:rsid w:val="00C608B4"/>
    <w:rsid w:val="00C60D59"/>
    <w:rsid w:val="00C6143C"/>
    <w:rsid w:val="00C61659"/>
    <w:rsid w:val="00C6212B"/>
    <w:rsid w:val="00C62551"/>
    <w:rsid w:val="00C62CBB"/>
    <w:rsid w:val="00C62E67"/>
    <w:rsid w:val="00C62ED0"/>
    <w:rsid w:val="00C62F20"/>
    <w:rsid w:val="00C6339C"/>
    <w:rsid w:val="00C6341B"/>
    <w:rsid w:val="00C63980"/>
    <w:rsid w:val="00C63E98"/>
    <w:rsid w:val="00C6435D"/>
    <w:rsid w:val="00C64916"/>
    <w:rsid w:val="00C64AF0"/>
    <w:rsid w:val="00C65177"/>
    <w:rsid w:val="00C6554F"/>
    <w:rsid w:val="00C658F0"/>
    <w:rsid w:val="00C66102"/>
    <w:rsid w:val="00C705EB"/>
    <w:rsid w:val="00C7062F"/>
    <w:rsid w:val="00C71C91"/>
    <w:rsid w:val="00C72121"/>
    <w:rsid w:val="00C72DB2"/>
    <w:rsid w:val="00C72F1C"/>
    <w:rsid w:val="00C7302E"/>
    <w:rsid w:val="00C73149"/>
    <w:rsid w:val="00C73864"/>
    <w:rsid w:val="00C75A87"/>
    <w:rsid w:val="00C75F53"/>
    <w:rsid w:val="00C7614E"/>
    <w:rsid w:val="00C7704F"/>
    <w:rsid w:val="00C77BF6"/>
    <w:rsid w:val="00C8073F"/>
    <w:rsid w:val="00C8121F"/>
    <w:rsid w:val="00C81727"/>
    <w:rsid w:val="00C822D6"/>
    <w:rsid w:val="00C83471"/>
    <w:rsid w:val="00C838A1"/>
    <w:rsid w:val="00C838CD"/>
    <w:rsid w:val="00C83EA2"/>
    <w:rsid w:val="00C84842"/>
    <w:rsid w:val="00C8487C"/>
    <w:rsid w:val="00C84B2D"/>
    <w:rsid w:val="00C866D2"/>
    <w:rsid w:val="00C86D6F"/>
    <w:rsid w:val="00C86DEA"/>
    <w:rsid w:val="00C874F4"/>
    <w:rsid w:val="00C87623"/>
    <w:rsid w:val="00C876E8"/>
    <w:rsid w:val="00C90E7B"/>
    <w:rsid w:val="00C9110E"/>
    <w:rsid w:val="00C91229"/>
    <w:rsid w:val="00C912C6"/>
    <w:rsid w:val="00C918DA"/>
    <w:rsid w:val="00C924A2"/>
    <w:rsid w:val="00C92AD7"/>
    <w:rsid w:val="00C93366"/>
    <w:rsid w:val="00C94778"/>
    <w:rsid w:val="00C95815"/>
    <w:rsid w:val="00C9714A"/>
    <w:rsid w:val="00C9722B"/>
    <w:rsid w:val="00CA0F63"/>
    <w:rsid w:val="00CA2390"/>
    <w:rsid w:val="00CA279C"/>
    <w:rsid w:val="00CA2820"/>
    <w:rsid w:val="00CA2972"/>
    <w:rsid w:val="00CA2DA4"/>
    <w:rsid w:val="00CA3047"/>
    <w:rsid w:val="00CA435A"/>
    <w:rsid w:val="00CA4C5E"/>
    <w:rsid w:val="00CA6430"/>
    <w:rsid w:val="00CA6AA3"/>
    <w:rsid w:val="00CA6B45"/>
    <w:rsid w:val="00CA7259"/>
    <w:rsid w:val="00CB1380"/>
    <w:rsid w:val="00CB2CCB"/>
    <w:rsid w:val="00CB45EE"/>
    <w:rsid w:val="00CB48B6"/>
    <w:rsid w:val="00CB4C88"/>
    <w:rsid w:val="00CB501B"/>
    <w:rsid w:val="00CB5529"/>
    <w:rsid w:val="00CB65E5"/>
    <w:rsid w:val="00CB6837"/>
    <w:rsid w:val="00CB7510"/>
    <w:rsid w:val="00CC08B8"/>
    <w:rsid w:val="00CC2BB3"/>
    <w:rsid w:val="00CC35E6"/>
    <w:rsid w:val="00CC3FF9"/>
    <w:rsid w:val="00CC4907"/>
    <w:rsid w:val="00CC51E0"/>
    <w:rsid w:val="00CC543B"/>
    <w:rsid w:val="00CC6A16"/>
    <w:rsid w:val="00CC6AFD"/>
    <w:rsid w:val="00CC6B76"/>
    <w:rsid w:val="00CC6D88"/>
    <w:rsid w:val="00CC78D8"/>
    <w:rsid w:val="00CC7EC5"/>
    <w:rsid w:val="00CD10E1"/>
    <w:rsid w:val="00CD30A8"/>
    <w:rsid w:val="00CD3828"/>
    <w:rsid w:val="00CD3FD5"/>
    <w:rsid w:val="00CD46E8"/>
    <w:rsid w:val="00CD4944"/>
    <w:rsid w:val="00CD4B61"/>
    <w:rsid w:val="00CD4D88"/>
    <w:rsid w:val="00CD722B"/>
    <w:rsid w:val="00CD7999"/>
    <w:rsid w:val="00CD7FAA"/>
    <w:rsid w:val="00CD7FFC"/>
    <w:rsid w:val="00CE058A"/>
    <w:rsid w:val="00CE0C6C"/>
    <w:rsid w:val="00CE18D8"/>
    <w:rsid w:val="00CE1F67"/>
    <w:rsid w:val="00CE5951"/>
    <w:rsid w:val="00CE5991"/>
    <w:rsid w:val="00CE6C5B"/>
    <w:rsid w:val="00CE783B"/>
    <w:rsid w:val="00CE79EC"/>
    <w:rsid w:val="00CE7D3B"/>
    <w:rsid w:val="00CF0917"/>
    <w:rsid w:val="00CF0EE2"/>
    <w:rsid w:val="00CF1261"/>
    <w:rsid w:val="00CF1894"/>
    <w:rsid w:val="00CF197C"/>
    <w:rsid w:val="00CF3FE0"/>
    <w:rsid w:val="00CF44B6"/>
    <w:rsid w:val="00CF5A01"/>
    <w:rsid w:val="00D0014F"/>
    <w:rsid w:val="00D0101A"/>
    <w:rsid w:val="00D02FCF"/>
    <w:rsid w:val="00D03DD7"/>
    <w:rsid w:val="00D03E7D"/>
    <w:rsid w:val="00D109C8"/>
    <w:rsid w:val="00D10C44"/>
    <w:rsid w:val="00D10F1B"/>
    <w:rsid w:val="00D12663"/>
    <w:rsid w:val="00D12916"/>
    <w:rsid w:val="00D13416"/>
    <w:rsid w:val="00D148C4"/>
    <w:rsid w:val="00D14D8B"/>
    <w:rsid w:val="00D150E8"/>
    <w:rsid w:val="00D15266"/>
    <w:rsid w:val="00D166BC"/>
    <w:rsid w:val="00D169B6"/>
    <w:rsid w:val="00D16ADB"/>
    <w:rsid w:val="00D16C45"/>
    <w:rsid w:val="00D21072"/>
    <w:rsid w:val="00D21A6D"/>
    <w:rsid w:val="00D23AEE"/>
    <w:rsid w:val="00D24B53"/>
    <w:rsid w:val="00D2642A"/>
    <w:rsid w:val="00D26636"/>
    <w:rsid w:val="00D3065A"/>
    <w:rsid w:val="00D33416"/>
    <w:rsid w:val="00D341E7"/>
    <w:rsid w:val="00D34302"/>
    <w:rsid w:val="00D34533"/>
    <w:rsid w:val="00D35CEF"/>
    <w:rsid w:val="00D36F78"/>
    <w:rsid w:val="00D36FBF"/>
    <w:rsid w:val="00D370BC"/>
    <w:rsid w:val="00D379AF"/>
    <w:rsid w:val="00D41A27"/>
    <w:rsid w:val="00D43161"/>
    <w:rsid w:val="00D44516"/>
    <w:rsid w:val="00D44E2E"/>
    <w:rsid w:val="00D45A29"/>
    <w:rsid w:val="00D475D5"/>
    <w:rsid w:val="00D52377"/>
    <w:rsid w:val="00D5245E"/>
    <w:rsid w:val="00D535F0"/>
    <w:rsid w:val="00D54759"/>
    <w:rsid w:val="00D5669B"/>
    <w:rsid w:val="00D5684F"/>
    <w:rsid w:val="00D57274"/>
    <w:rsid w:val="00D606EB"/>
    <w:rsid w:val="00D607A4"/>
    <w:rsid w:val="00D63E02"/>
    <w:rsid w:val="00D675E3"/>
    <w:rsid w:val="00D70637"/>
    <w:rsid w:val="00D706EE"/>
    <w:rsid w:val="00D709EB"/>
    <w:rsid w:val="00D71072"/>
    <w:rsid w:val="00D719E9"/>
    <w:rsid w:val="00D71C75"/>
    <w:rsid w:val="00D72444"/>
    <w:rsid w:val="00D72EF7"/>
    <w:rsid w:val="00D7461D"/>
    <w:rsid w:val="00D750D2"/>
    <w:rsid w:val="00D7516A"/>
    <w:rsid w:val="00D76761"/>
    <w:rsid w:val="00D76CCE"/>
    <w:rsid w:val="00D7727F"/>
    <w:rsid w:val="00D776CB"/>
    <w:rsid w:val="00D77CDA"/>
    <w:rsid w:val="00D8000A"/>
    <w:rsid w:val="00D8003E"/>
    <w:rsid w:val="00D80BEA"/>
    <w:rsid w:val="00D811C5"/>
    <w:rsid w:val="00D8161F"/>
    <w:rsid w:val="00D81CAA"/>
    <w:rsid w:val="00D82569"/>
    <w:rsid w:val="00D8542A"/>
    <w:rsid w:val="00D85CBA"/>
    <w:rsid w:val="00D85D26"/>
    <w:rsid w:val="00D85F47"/>
    <w:rsid w:val="00D86D10"/>
    <w:rsid w:val="00D878CD"/>
    <w:rsid w:val="00D87F7D"/>
    <w:rsid w:val="00D903B4"/>
    <w:rsid w:val="00D912BB"/>
    <w:rsid w:val="00D93080"/>
    <w:rsid w:val="00D93B16"/>
    <w:rsid w:val="00D93FEA"/>
    <w:rsid w:val="00D9418C"/>
    <w:rsid w:val="00D947FB"/>
    <w:rsid w:val="00D94866"/>
    <w:rsid w:val="00DA04DC"/>
    <w:rsid w:val="00DA1D0B"/>
    <w:rsid w:val="00DA30C1"/>
    <w:rsid w:val="00DA3474"/>
    <w:rsid w:val="00DA3A1A"/>
    <w:rsid w:val="00DA5C36"/>
    <w:rsid w:val="00DA6B5A"/>
    <w:rsid w:val="00DA6CEC"/>
    <w:rsid w:val="00DB0A1D"/>
    <w:rsid w:val="00DB0FB8"/>
    <w:rsid w:val="00DB1E2E"/>
    <w:rsid w:val="00DB282A"/>
    <w:rsid w:val="00DB3352"/>
    <w:rsid w:val="00DB3A40"/>
    <w:rsid w:val="00DB5CD2"/>
    <w:rsid w:val="00DB60CE"/>
    <w:rsid w:val="00DB69D6"/>
    <w:rsid w:val="00DC0AEA"/>
    <w:rsid w:val="00DC0E07"/>
    <w:rsid w:val="00DC1775"/>
    <w:rsid w:val="00DC18D8"/>
    <w:rsid w:val="00DC2FA3"/>
    <w:rsid w:val="00DC32BA"/>
    <w:rsid w:val="00DC33E6"/>
    <w:rsid w:val="00DC3C69"/>
    <w:rsid w:val="00DC4D7A"/>
    <w:rsid w:val="00DC6901"/>
    <w:rsid w:val="00DC70A2"/>
    <w:rsid w:val="00DC7A4F"/>
    <w:rsid w:val="00DC7A68"/>
    <w:rsid w:val="00DD2282"/>
    <w:rsid w:val="00DD268D"/>
    <w:rsid w:val="00DD2CA5"/>
    <w:rsid w:val="00DD38AA"/>
    <w:rsid w:val="00DD4151"/>
    <w:rsid w:val="00DD46E3"/>
    <w:rsid w:val="00DD5083"/>
    <w:rsid w:val="00DD6731"/>
    <w:rsid w:val="00DD6925"/>
    <w:rsid w:val="00DD7D78"/>
    <w:rsid w:val="00DE123A"/>
    <w:rsid w:val="00DE296F"/>
    <w:rsid w:val="00DE38BB"/>
    <w:rsid w:val="00DE3A03"/>
    <w:rsid w:val="00DE5FC5"/>
    <w:rsid w:val="00DE7743"/>
    <w:rsid w:val="00DF0B9D"/>
    <w:rsid w:val="00DF0BCA"/>
    <w:rsid w:val="00DF1B5E"/>
    <w:rsid w:val="00DF2D83"/>
    <w:rsid w:val="00DF3888"/>
    <w:rsid w:val="00DF5438"/>
    <w:rsid w:val="00DF55DB"/>
    <w:rsid w:val="00DF5B3B"/>
    <w:rsid w:val="00DF669E"/>
    <w:rsid w:val="00E023F9"/>
    <w:rsid w:val="00E031D6"/>
    <w:rsid w:val="00E049BB"/>
    <w:rsid w:val="00E06680"/>
    <w:rsid w:val="00E0672F"/>
    <w:rsid w:val="00E06978"/>
    <w:rsid w:val="00E06DB2"/>
    <w:rsid w:val="00E07218"/>
    <w:rsid w:val="00E113F4"/>
    <w:rsid w:val="00E11F92"/>
    <w:rsid w:val="00E13C5E"/>
    <w:rsid w:val="00E14240"/>
    <w:rsid w:val="00E15323"/>
    <w:rsid w:val="00E160AC"/>
    <w:rsid w:val="00E16108"/>
    <w:rsid w:val="00E1656B"/>
    <w:rsid w:val="00E1715C"/>
    <w:rsid w:val="00E2182E"/>
    <w:rsid w:val="00E23DD1"/>
    <w:rsid w:val="00E23EC2"/>
    <w:rsid w:val="00E249C9"/>
    <w:rsid w:val="00E24EA7"/>
    <w:rsid w:val="00E2579F"/>
    <w:rsid w:val="00E25DB7"/>
    <w:rsid w:val="00E2698A"/>
    <w:rsid w:val="00E27983"/>
    <w:rsid w:val="00E30B1A"/>
    <w:rsid w:val="00E32094"/>
    <w:rsid w:val="00E32359"/>
    <w:rsid w:val="00E32389"/>
    <w:rsid w:val="00E32923"/>
    <w:rsid w:val="00E3395A"/>
    <w:rsid w:val="00E33CFC"/>
    <w:rsid w:val="00E34437"/>
    <w:rsid w:val="00E34EDD"/>
    <w:rsid w:val="00E35033"/>
    <w:rsid w:val="00E352FC"/>
    <w:rsid w:val="00E35422"/>
    <w:rsid w:val="00E364F5"/>
    <w:rsid w:val="00E367EB"/>
    <w:rsid w:val="00E36B05"/>
    <w:rsid w:val="00E37719"/>
    <w:rsid w:val="00E41563"/>
    <w:rsid w:val="00E423C3"/>
    <w:rsid w:val="00E42A4F"/>
    <w:rsid w:val="00E45A8E"/>
    <w:rsid w:val="00E45BBC"/>
    <w:rsid w:val="00E467F4"/>
    <w:rsid w:val="00E46869"/>
    <w:rsid w:val="00E47562"/>
    <w:rsid w:val="00E47C34"/>
    <w:rsid w:val="00E47E4B"/>
    <w:rsid w:val="00E50632"/>
    <w:rsid w:val="00E50E95"/>
    <w:rsid w:val="00E526E4"/>
    <w:rsid w:val="00E52FFA"/>
    <w:rsid w:val="00E5497C"/>
    <w:rsid w:val="00E5601D"/>
    <w:rsid w:val="00E56F99"/>
    <w:rsid w:val="00E57BC4"/>
    <w:rsid w:val="00E57EAF"/>
    <w:rsid w:val="00E61A20"/>
    <w:rsid w:val="00E61FF5"/>
    <w:rsid w:val="00E623D9"/>
    <w:rsid w:val="00E62B78"/>
    <w:rsid w:val="00E64BF1"/>
    <w:rsid w:val="00E65B6B"/>
    <w:rsid w:val="00E65C5F"/>
    <w:rsid w:val="00E660CB"/>
    <w:rsid w:val="00E67067"/>
    <w:rsid w:val="00E67B6D"/>
    <w:rsid w:val="00E67BA5"/>
    <w:rsid w:val="00E71555"/>
    <w:rsid w:val="00E72B75"/>
    <w:rsid w:val="00E72B80"/>
    <w:rsid w:val="00E73510"/>
    <w:rsid w:val="00E73F77"/>
    <w:rsid w:val="00E74ACA"/>
    <w:rsid w:val="00E769C2"/>
    <w:rsid w:val="00E76AF5"/>
    <w:rsid w:val="00E775E9"/>
    <w:rsid w:val="00E8149C"/>
    <w:rsid w:val="00E82051"/>
    <w:rsid w:val="00E82253"/>
    <w:rsid w:val="00E827A3"/>
    <w:rsid w:val="00E830D4"/>
    <w:rsid w:val="00E830E7"/>
    <w:rsid w:val="00E832B4"/>
    <w:rsid w:val="00E85ED0"/>
    <w:rsid w:val="00E86B68"/>
    <w:rsid w:val="00E86F99"/>
    <w:rsid w:val="00E870C6"/>
    <w:rsid w:val="00E87314"/>
    <w:rsid w:val="00E87645"/>
    <w:rsid w:val="00E87845"/>
    <w:rsid w:val="00E87BB3"/>
    <w:rsid w:val="00E909A4"/>
    <w:rsid w:val="00E91C2F"/>
    <w:rsid w:val="00E92DEE"/>
    <w:rsid w:val="00E94E2F"/>
    <w:rsid w:val="00E951BB"/>
    <w:rsid w:val="00E9587F"/>
    <w:rsid w:val="00E9593E"/>
    <w:rsid w:val="00E96095"/>
    <w:rsid w:val="00E97723"/>
    <w:rsid w:val="00EA00C9"/>
    <w:rsid w:val="00EA0174"/>
    <w:rsid w:val="00EA0F85"/>
    <w:rsid w:val="00EA1E6A"/>
    <w:rsid w:val="00EA20F9"/>
    <w:rsid w:val="00EA2773"/>
    <w:rsid w:val="00EA3980"/>
    <w:rsid w:val="00EA6775"/>
    <w:rsid w:val="00EA68D8"/>
    <w:rsid w:val="00EA7BFF"/>
    <w:rsid w:val="00EB0531"/>
    <w:rsid w:val="00EB099D"/>
    <w:rsid w:val="00EB1462"/>
    <w:rsid w:val="00EB1DBA"/>
    <w:rsid w:val="00EB3CEB"/>
    <w:rsid w:val="00EB417F"/>
    <w:rsid w:val="00EB5F7A"/>
    <w:rsid w:val="00EB63FD"/>
    <w:rsid w:val="00EB798C"/>
    <w:rsid w:val="00EB7A44"/>
    <w:rsid w:val="00EC006C"/>
    <w:rsid w:val="00EC0B3D"/>
    <w:rsid w:val="00EC0D30"/>
    <w:rsid w:val="00EC16B9"/>
    <w:rsid w:val="00EC2133"/>
    <w:rsid w:val="00EC3424"/>
    <w:rsid w:val="00EC3A32"/>
    <w:rsid w:val="00EC3FDA"/>
    <w:rsid w:val="00EC5865"/>
    <w:rsid w:val="00EC7F03"/>
    <w:rsid w:val="00ED337F"/>
    <w:rsid w:val="00ED3A45"/>
    <w:rsid w:val="00ED41B9"/>
    <w:rsid w:val="00ED47EB"/>
    <w:rsid w:val="00ED48EA"/>
    <w:rsid w:val="00ED4A65"/>
    <w:rsid w:val="00ED584D"/>
    <w:rsid w:val="00ED5F73"/>
    <w:rsid w:val="00ED6D8A"/>
    <w:rsid w:val="00ED7EE2"/>
    <w:rsid w:val="00ED7EF4"/>
    <w:rsid w:val="00EE00B6"/>
    <w:rsid w:val="00EE0222"/>
    <w:rsid w:val="00EE02E7"/>
    <w:rsid w:val="00EE2BE0"/>
    <w:rsid w:val="00EE2F7B"/>
    <w:rsid w:val="00EE44E0"/>
    <w:rsid w:val="00EE477B"/>
    <w:rsid w:val="00EE4E53"/>
    <w:rsid w:val="00EE6BA8"/>
    <w:rsid w:val="00EE7241"/>
    <w:rsid w:val="00EE7659"/>
    <w:rsid w:val="00EF00FA"/>
    <w:rsid w:val="00EF1117"/>
    <w:rsid w:val="00EF160F"/>
    <w:rsid w:val="00EF639B"/>
    <w:rsid w:val="00EF6404"/>
    <w:rsid w:val="00EF7DD2"/>
    <w:rsid w:val="00F0072A"/>
    <w:rsid w:val="00F00ACD"/>
    <w:rsid w:val="00F00BDE"/>
    <w:rsid w:val="00F01C70"/>
    <w:rsid w:val="00F025E3"/>
    <w:rsid w:val="00F0367A"/>
    <w:rsid w:val="00F039F0"/>
    <w:rsid w:val="00F0403C"/>
    <w:rsid w:val="00F040D1"/>
    <w:rsid w:val="00F04622"/>
    <w:rsid w:val="00F05FE2"/>
    <w:rsid w:val="00F065BC"/>
    <w:rsid w:val="00F07DA9"/>
    <w:rsid w:val="00F07FA2"/>
    <w:rsid w:val="00F10A64"/>
    <w:rsid w:val="00F11085"/>
    <w:rsid w:val="00F11789"/>
    <w:rsid w:val="00F117F9"/>
    <w:rsid w:val="00F11E98"/>
    <w:rsid w:val="00F1259A"/>
    <w:rsid w:val="00F141A1"/>
    <w:rsid w:val="00F15933"/>
    <w:rsid w:val="00F15A90"/>
    <w:rsid w:val="00F16ECB"/>
    <w:rsid w:val="00F20442"/>
    <w:rsid w:val="00F2126F"/>
    <w:rsid w:val="00F21461"/>
    <w:rsid w:val="00F21888"/>
    <w:rsid w:val="00F21ADF"/>
    <w:rsid w:val="00F21CD0"/>
    <w:rsid w:val="00F21F9C"/>
    <w:rsid w:val="00F224F2"/>
    <w:rsid w:val="00F23061"/>
    <w:rsid w:val="00F244CE"/>
    <w:rsid w:val="00F252CF"/>
    <w:rsid w:val="00F26362"/>
    <w:rsid w:val="00F267B3"/>
    <w:rsid w:val="00F27CAC"/>
    <w:rsid w:val="00F27E6E"/>
    <w:rsid w:val="00F309B4"/>
    <w:rsid w:val="00F31268"/>
    <w:rsid w:val="00F315AF"/>
    <w:rsid w:val="00F31C17"/>
    <w:rsid w:val="00F32060"/>
    <w:rsid w:val="00F351D9"/>
    <w:rsid w:val="00F35207"/>
    <w:rsid w:val="00F35827"/>
    <w:rsid w:val="00F359A6"/>
    <w:rsid w:val="00F368C9"/>
    <w:rsid w:val="00F36CC2"/>
    <w:rsid w:val="00F40FED"/>
    <w:rsid w:val="00F41CE1"/>
    <w:rsid w:val="00F41DC7"/>
    <w:rsid w:val="00F42202"/>
    <w:rsid w:val="00F4264B"/>
    <w:rsid w:val="00F4278B"/>
    <w:rsid w:val="00F42EB5"/>
    <w:rsid w:val="00F43701"/>
    <w:rsid w:val="00F4403B"/>
    <w:rsid w:val="00F447A9"/>
    <w:rsid w:val="00F4493B"/>
    <w:rsid w:val="00F44E2C"/>
    <w:rsid w:val="00F46C29"/>
    <w:rsid w:val="00F46C6B"/>
    <w:rsid w:val="00F47B44"/>
    <w:rsid w:val="00F47E03"/>
    <w:rsid w:val="00F504A7"/>
    <w:rsid w:val="00F506D8"/>
    <w:rsid w:val="00F50AC0"/>
    <w:rsid w:val="00F53CF2"/>
    <w:rsid w:val="00F54844"/>
    <w:rsid w:val="00F561FB"/>
    <w:rsid w:val="00F568AD"/>
    <w:rsid w:val="00F61F62"/>
    <w:rsid w:val="00F6308E"/>
    <w:rsid w:val="00F6439F"/>
    <w:rsid w:val="00F64D6C"/>
    <w:rsid w:val="00F678DF"/>
    <w:rsid w:val="00F70930"/>
    <w:rsid w:val="00F74CB4"/>
    <w:rsid w:val="00F74D90"/>
    <w:rsid w:val="00F767C2"/>
    <w:rsid w:val="00F76A2E"/>
    <w:rsid w:val="00F77FAC"/>
    <w:rsid w:val="00F81083"/>
    <w:rsid w:val="00F81C90"/>
    <w:rsid w:val="00F82463"/>
    <w:rsid w:val="00F82B14"/>
    <w:rsid w:val="00F83A1F"/>
    <w:rsid w:val="00F83DB0"/>
    <w:rsid w:val="00F8456D"/>
    <w:rsid w:val="00F85D69"/>
    <w:rsid w:val="00F86444"/>
    <w:rsid w:val="00F870BF"/>
    <w:rsid w:val="00F877E6"/>
    <w:rsid w:val="00F91068"/>
    <w:rsid w:val="00F92187"/>
    <w:rsid w:val="00F94340"/>
    <w:rsid w:val="00F96271"/>
    <w:rsid w:val="00F964C3"/>
    <w:rsid w:val="00F9759B"/>
    <w:rsid w:val="00FA05C9"/>
    <w:rsid w:val="00FA08F8"/>
    <w:rsid w:val="00FA1250"/>
    <w:rsid w:val="00FA4244"/>
    <w:rsid w:val="00FA60D2"/>
    <w:rsid w:val="00FB3744"/>
    <w:rsid w:val="00FB3D9F"/>
    <w:rsid w:val="00FB4283"/>
    <w:rsid w:val="00FB707D"/>
    <w:rsid w:val="00FC03E0"/>
    <w:rsid w:val="00FC06BA"/>
    <w:rsid w:val="00FC0A72"/>
    <w:rsid w:val="00FC18AE"/>
    <w:rsid w:val="00FC1989"/>
    <w:rsid w:val="00FC297F"/>
    <w:rsid w:val="00FC2AC8"/>
    <w:rsid w:val="00FC2BB3"/>
    <w:rsid w:val="00FC3288"/>
    <w:rsid w:val="00FC34E7"/>
    <w:rsid w:val="00FC4074"/>
    <w:rsid w:val="00FC423F"/>
    <w:rsid w:val="00FC443D"/>
    <w:rsid w:val="00FC46D1"/>
    <w:rsid w:val="00FC4C54"/>
    <w:rsid w:val="00FC596B"/>
    <w:rsid w:val="00FC62EE"/>
    <w:rsid w:val="00FC67C8"/>
    <w:rsid w:val="00FC6872"/>
    <w:rsid w:val="00FC796E"/>
    <w:rsid w:val="00FD0489"/>
    <w:rsid w:val="00FD0C86"/>
    <w:rsid w:val="00FD1D13"/>
    <w:rsid w:val="00FD2D39"/>
    <w:rsid w:val="00FD463A"/>
    <w:rsid w:val="00FD5C96"/>
    <w:rsid w:val="00FD645E"/>
    <w:rsid w:val="00FD656C"/>
    <w:rsid w:val="00FD6BA2"/>
    <w:rsid w:val="00FD6E6F"/>
    <w:rsid w:val="00FD7D77"/>
    <w:rsid w:val="00FE0A14"/>
    <w:rsid w:val="00FE0F22"/>
    <w:rsid w:val="00FE1709"/>
    <w:rsid w:val="00FE3963"/>
    <w:rsid w:val="00FE396E"/>
    <w:rsid w:val="00FE3D62"/>
    <w:rsid w:val="00FE427D"/>
    <w:rsid w:val="00FE52C2"/>
    <w:rsid w:val="00FE6D9C"/>
    <w:rsid w:val="00FE768F"/>
    <w:rsid w:val="00FF0537"/>
    <w:rsid w:val="00FF0575"/>
    <w:rsid w:val="00FF1F16"/>
    <w:rsid w:val="00FF23C0"/>
    <w:rsid w:val="00FF25E6"/>
    <w:rsid w:val="00FF31AA"/>
    <w:rsid w:val="00FF321F"/>
    <w:rsid w:val="00FF325C"/>
    <w:rsid w:val="00FF42C4"/>
    <w:rsid w:val="00FF4490"/>
    <w:rsid w:val="00FF5FC6"/>
    <w:rsid w:val="00FF656C"/>
    <w:rsid w:val="00FF6E17"/>
    <w:rsid w:val="00FF721A"/>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List Number" w:locked="1" w:semiHidden="0" w:uiPriority="0" w:unhideWhenUsed="0"/>
    <w:lsdException w:name="List 4" w:locked="1" w:semiHidden="0" w:uiPriority="0" w:unhideWhenUsed="0"/>
    <w:lsdException w:name="List 5" w:locked="1" w:semiHidden="0" w:uiPriority="0" w:unhideWhenUsed="0"/>
    <w:lsdException w:name="Title" w:locked="1" w:semiHidden="0" w:uiPriority="0" w:unhideWhenUsed="0" w:qFormat="1"/>
    <w:lsdException w:name="Default Paragraph Font" w:uiPriority="1"/>
    <w:lsdException w:name="Body Text Indent" w:locked="1" w:semiHidden="0" w:uiPriority="0" w:unhideWhenUsed="0"/>
    <w:lsdException w:name="Subtitle" w:locked="1" w:semiHidden="0" w:uiPriority="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6346"/>
    <w:rPr>
      <w:sz w:val="20"/>
      <w:szCs w:val="20"/>
      <w:lang w:val="en-AU" w:eastAsia="en-US"/>
    </w:rPr>
  </w:style>
  <w:style w:type="paragraph" w:styleId="Heading1">
    <w:name w:val="heading 1"/>
    <w:basedOn w:val="Normal"/>
    <w:next w:val="Normal"/>
    <w:link w:val="Heading1Char"/>
    <w:uiPriority w:val="99"/>
    <w:qFormat/>
    <w:rsid w:val="004E000B"/>
    <w:pPr>
      <w:keepNext/>
      <w:outlineLvl w:val="0"/>
    </w:pPr>
    <w:rPr>
      <w:rFonts w:ascii="Cambria" w:hAnsi="Cambria" w:cs="Cambria"/>
      <w:b/>
      <w:bCs/>
      <w:kern w:val="32"/>
      <w:sz w:val="32"/>
      <w:szCs w:val="32"/>
    </w:rPr>
  </w:style>
  <w:style w:type="paragraph" w:styleId="Heading2">
    <w:name w:val="heading 2"/>
    <w:basedOn w:val="Normal"/>
    <w:next w:val="Normal"/>
    <w:link w:val="Heading2Char"/>
    <w:uiPriority w:val="99"/>
    <w:qFormat/>
    <w:rsid w:val="004E000B"/>
    <w:pPr>
      <w:keepNext/>
      <w:outlineLvl w:val="1"/>
    </w:pPr>
    <w:rPr>
      <w:rFonts w:ascii="Cambria" w:hAnsi="Cambria" w:cs="Cambria"/>
      <w:b/>
      <w:bCs/>
      <w:i/>
      <w:iCs/>
      <w:sz w:val="28"/>
      <w:szCs w:val="28"/>
    </w:rPr>
  </w:style>
  <w:style w:type="paragraph" w:styleId="Heading3">
    <w:name w:val="heading 3"/>
    <w:basedOn w:val="Normal"/>
    <w:next w:val="Normal"/>
    <w:link w:val="Heading3Char"/>
    <w:uiPriority w:val="99"/>
    <w:qFormat/>
    <w:rsid w:val="004E000B"/>
    <w:pPr>
      <w:keepNext/>
      <w:spacing w:before="240" w:after="60"/>
      <w:outlineLvl w:val="2"/>
    </w:pPr>
    <w:rPr>
      <w:rFonts w:ascii="Cambria" w:hAnsi="Cambria" w:cs="Cambria"/>
      <w:b/>
      <w:bCs/>
      <w:sz w:val="26"/>
      <w:szCs w:val="26"/>
    </w:rPr>
  </w:style>
  <w:style w:type="paragraph" w:styleId="Heading4">
    <w:name w:val="heading 4"/>
    <w:basedOn w:val="Normal"/>
    <w:next w:val="Normal"/>
    <w:link w:val="Heading4Char"/>
    <w:uiPriority w:val="99"/>
    <w:qFormat/>
    <w:rsid w:val="004E000B"/>
    <w:pPr>
      <w:keepNext/>
      <w:outlineLvl w:val="3"/>
    </w:pPr>
    <w:rPr>
      <w:rFonts w:ascii="Calibri" w:hAnsi="Calibri" w:cs="Calibri"/>
      <w:b/>
      <w:bCs/>
      <w:sz w:val="28"/>
      <w:szCs w:val="28"/>
    </w:rPr>
  </w:style>
  <w:style w:type="paragraph" w:styleId="Heading5">
    <w:name w:val="heading 5"/>
    <w:basedOn w:val="Normal"/>
    <w:next w:val="Normal"/>
    <w:link w:val="Heading5Char"/>
    <w:uiPriority w:val="99"/>
    <w:qFormat/>
    <w:rsid w:val="004E000B"/>
    <w:pPr>
      <w:keepNext/>
      <w:outlineLvl w:val="4"/>
    </w:pPr>
    <w:rPr>
      <w:rFonts w:ascii="Calibri" w:hAnsi="Calibri" w:cs="Calibri"/>
      <w:b/>
      <w:bCs/>
      <w:i/>
      <w:iCs/>
      <w:sz w:val="26"/>
      <w:szCs w:val="26"/>
    </w:rPr>
  </w:style>
  <w:style w:type="paragraph" w:styleId="Heading6">
    <w:name w:val="heading 6"/>
    <w:basedOn w:val="Normal"/>
    <w:next w:val="Normal"/>
    <w:link w:val="Heading6Char"/>
    <w:uiPriority w:val="99"/>
    <w:qFormat/>
    <w:rsid w:val="00511B98"/>
    <w:pPr>
      <w:spacing w:before="240" w:after="60"/>
      <w:outlineLvl w:val="5"/>
    </w:pPr>
    <w:rPr>
      <w:rFonts w:ascii="Calibri" w:hAnsi="Calibri" w:cs="Calibri"/>
      <w:b/>
      <w:bCs/>
      <w:sz w:val="22"/>
      <w:szCs w:val="22"/>
    </w:rPr>
  </w:style>
  <w:style w:type="paragraph" w:styleId="Heading7">
    <w:name w:val="heading 7"/>
    <w:basedOn w:val="Normal"/>
    <w:next w:val="Normal"/>
    <w:link w:val="Heading7Char"/>
    <w:uiPriority w:val="99"/>
    <w:qFormat/>
    <w:rsid w:val="00511B98"/>
    <w:pPr>
      <w:spacing w:before="240" w:after="60"/>
      <w:outlineLvl w:val="6"/>
    </w:pPr>
    <w:rPr>
      <w:rFonts w:ascii="Calibri" w:hAnsi="Calibri" w:cs="Calibri"/>
      <w:sz w:val="24"/>
      <w:szCs w:val="24"/>
    </w:rPr>
  </w:style>
  <w:style w:type="paragraph" w:styleId="Heading8">
    <w:name w:val="heading 8"/>
    <w:basedOn w:val="Normal"/>
    <w:next w:val="Normal"/>
    <w:link w:val="Heading8Char"/>
    <w:uiPriority w:val="99"/>
    <w:qFormat/>
    <w:rsid w:val="00511B98"/>
    <w:pPr>
      <w:spacing w:before="240" w:after="60"/>
      <w:outlineLvl w:val="7"/>
    </w:pPr>
    <w:rPr>
      <w:rFonts w:ascii="Calibri" w:hAnsi="Calibri" w:cs="Calibri"/>
      <w:i/>
      <w:iCs/>
      <w:sz w:val="24"/>
      <w:szCs w:val="24"/>
    </w:rPr>
  </w:style>
  <w:style w:type="paragraph" w:styleId="Heading9">
    <w:name w:val="heading 9"/>
    <w:basedOn w:val="Normal"/>
    <w:next w:val="Normal"/>
    <w:link w:val="Heading9Char"/>
    <w:uiPriority w:val="99"/>
    <w:qFormat/>
    <w:rsid w:val="00BC1CFD"/>
    <w:pPr>
      <w:spacing w:before="240" w:after="60"/>
      <w:outlineLvl w:val="8"/>
    </w:pPr>
    <w:rPr>
      <w:rFonts w:ascii="Cambria" w:hAnsi="Cambria" w:cs="Cambria"/>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01C70"/>
    <w:rPr>
      <w:rFonts w:ascii="Cambria" w:hAnsi="Cambria" w:cs="Cambria"/>
      <w:b/>
      <w:bCs/>
      <w:kern w:val="32"/>
      <w:sz w:val="32"/>
      <w:szCs w:val="32"/>
      <w:lang w:val="en-AU" w:eastAsia="en-US"/>
    </w:rPr>
  </w:style>
  <w:style w:type="character" w:customStyle="1" w:styleId="Heading2Char">
    <w:name w:val="Heading 2 Char"/>
    <w:basedOn w:val="DefaultParagraphFont"/>
    <w:link w:val="Heading2"/>
    <w:uiPriority w:val="99"/>
    <w:semiHidden/>
    <w:locked/>
    <w:rsid w:val="00F01C70"/>
    <w:rPr>
      <w:rFonts w:ascii="Cambria" w:hAnsi="Cambria" w:cs="Cambria"/>
      <w:b/>
      <w:bCs/>
      <w:i/>
      <w:iCs/>
      <w:sz w:val="28"/>
      <w:szCs w:val="28"/>
      <w:lang w:val="en-AU" w:eastAsia="en-US"/>
    </w:rPr>
  </w:style>
  <w:style w:type="character" w:customStyle="1" w:styleId="Heading3Char">
    <w:name w:val="Heading 3 Char"/>
    <w:basedOn w:val="DefaultParagraphFont"/>
    <w:link w:val="Heading3"/>
    <w:uiPriority w:val="99"/>
    <w:semiHidden/>
    <w:locked/>
    <w:rsid w:val="00F01C70"/>
    <w:rPr>
      <w:rFonts w:ascii="Cambria" w:hAnsi="Cambria" w:cs="Cambria"/>
      <w:b/>
      <w:bCs/>
      <w:sz w:val="26"/>
      <w:szCs w:val="26"/>
      <w:lang w:val="en-AU" w:eastAsia="en-US"/>
    </w:rPr>
  </w:style>
  <w:style w:type="character" w:customStyle="1" w:styleId="Heading4Char">
    <w:name w:val="Heading 4 Char"/>
    <w:basedOn w:val="DefaultParagraphFont"/>
    <w:link w:val="Heading4"/>
    <w:uiPriority w:val="99"/>
    <w:semiHidden/>
    <w:locked/>
    <w:rsid w:val="00F01C70"/>
    <w:rPr>
      <w:rFonts w:ascii="Calibri" w:hAnsi="Calibri" w:cs="Calibri"/>
      <w:b/>
      <w:bCs/>
      <w:sz w:val="28"/>
      <w:szCs w:val="28"/>
      <w:lang w:val="en-AU" w:eastAsia="en-US"/>
    </w:rPr>
  </w:style>
  <w:style w:type="character" w:customStyle="1" w:styleId="Heading5Char">
    <w:name w:val="Heading 5 Char"/>
    <w:basedOn w:val="DefaultParagraphFont"/>
    <w:link w:val="Heading5"/>
    <w:uiPriority w:val="99"/>
    <w:semiHidden/>
    <w:locked/>
    <w:rsid w:val="00F01C70"/>
    <w:rPr>
      <w:rFonts w:ascii="Calibri" w:hAnsi="Calibri" w:cs="Calibri"/>
      <w:b/>
      <w:bCs/>
      <w:i/>
      <w:iCs/>
      <w:sz w:val="26"/>
      <w:szCs w:val="26"/>
      <w:lang w:val="en-AU" w:eastAsia="en-US"/>
    </w:rPr>
  </w:style>
  <w:style w:type="character" w:customStyle="1" w:styleId="Heading6Char">
    <w:name w:val="Heading 6 Char"/>
    <w:basedOn w:val="DefaultParagraphFont"/>
    <w:link w:val="Heading6"/>
    <w:uiPriority w:val="99"/>
    <w:semiHidden/>
    <w:locked/>
    <w:rsid w:val="00F01C70"/>
    <w:rPr>
      <w:rFonts w:ascii="Calibri" w:hAnsi="Calibri" w:cs="Calibri"/>
      <w:b/>
      <w:bCs/>
      <w:sz w:val="22"/>
      <w:szCs w:val="22"/>
      <w:lang w:val="en-AU" w:eastAsia="en-US"/>
    </w:rPr>
  </w:style>
  <w:style w:type="character" w:customStyle="1" w:styleId="Heading7Char">
    <w:name w:val="Heading 7 Char"/>
    <w:basedOn w:val="DefaultParagraphFont"/>
    <w:link w:val="Heading7"/>
    <w:uiPriority w:val="99"/>
    <w:semiHidden/>
    <w:locked/>
    <w:rsid w:val="00F01C70"/>
    <w:rPr>
      <w:rFonts w:ascii="Calibri" w:hAnsi="Calibri" w:cs="Calibri"/>
      <w:sz w:val="24"/>
      <w:szCs w:val="24"/>
      <w:lang w:val="en-AU" w:eastAsia="en-US"/>
    </w:rPr>
  </w:style>
  <w:style w:type="character" w:customStyle="1" w:styleId="Heading8Char">
    <w:name w:val="Heading 8 Char"/>
    <w:basedOn w:val="DefaultParagraphFont"/>
    <w:link w:val="Heading8"/>
    <w:uiPriority w:val="99"/>
    <w:semiHidden/>
    <w:locked/>
    <w:rsid w:val="00F01C70"/>
    <w:rPr>
      <w:rFonts w:ascii="Calibri" w:hAnsi="Calibri" w:cs="Calibri"/>
      <w:i/>
      <w:iCs/>
      <w:sz w:val="24"/>
      <w:szCs w:val="24"/>
      <w:lang w:val="en-AU" w:eastAsia="en-US"/>
    </w:rPr>
  </w:style>
  <w:style w:type="character" w:customStyle="1" w:styleId="Heading9Char">
    <w:name w:val="Heading 9 Char"/>
    <w:basedOn w:val="DefaultParagraphFont"/>
    <w:link w:val="Heading9"/>
    <w:uiPriority w:val="99"/>
    <w:semiHidden/>
    <w:locked/>
    <w:rsid w:val="00F01C70"/>
    <w:rPr>
      <w:rFonts w:ascii="Cambria" w:hAnsi="Cambria" w:cs="Cambria"/>
      <w:sz w:val="22"/>
      <w:szCs w:val="22"/>
      <w:lang w:val="en-AU" w:eastAsia="en-US"/>
    </w:rPr>
  </w:style>
  <w:style w:type="paragraph" w:styleId="BodyText">
    <w:name w:val="Body Text"/>
    <w:basedOn w:val="Normal"/>
    <w:link w:val="BodyTextChar"/>
    <w:uiPriority w:val="99"/>
    <w:rsid w:val="004E000B"/>
  </w:style>
  <w:style w:type="character" w:customStyle="1" w:styleId="BodyTextChar">
    <w:name w:val="Body Text Char"/>
    <w:basedOn w:val="DefaultParagraphFont"/>
    <w:link w:val="BodyText"/>
    <w:uiPriority w:val="99"/>
    <w:semiHidden/>
    <w:locked/>
    <w:rsid w:val="00F01C70"/>
    <w:rPr>
      <w:lang w:val="en-AU" w:eastAsia="en-US"/>
    </w:rPr>
  </w:style>
  <w:style w:type="paragraph" w:styleId="BodyTextIndent">
    <w:name w:val="Body Text Indent"/>
    <w:basedOn w:val="Normal"/>
    <w:link w:val="BodyTextIndentChar"/>
    <w:uiPriority w:val="99"/>
    <w:rsid w:val="004E000B"/>
    <w:pPr>
      <w:ind w:left="720"/>
    </w:pPr>
  </w:style>
  <w:style w:type="character" w:customStyle="1" w:styleId="BodyTextIndentChar">
    <w:name w:val="Body Text Indent Char"/>
    <w:basedOn w:val="DefaultParagraphFont"/>
    <w:link w:val="BodyTextIndent"/>
    <w:uiPriority w:val="99"/>
    <w:semiHidden/>
    <w:locked/>
    <w:rsid w:val="00F01C70"/>
    <w:rPr>
      <w:lang w:val="en-AU" w:eastAsia="en-US"/>
    </w:rPr>
  </w:style>
  <w:style w:type="paragraph" w:styleId="BalloonText">
    <w:name w:val="Balloon Text"/>
    <w:basedOn w:val="Normal"/>
    <w:link w:val="BalloonTextChar"/>
    <w:uiPriority w:val="99"/>
    <w:semiHidden/>
    <w:rsid w:val="004E000B"/>
    <w:rPr>
      <w:sz w:val="2"/>
      <w:szCs w:val="2"/>
    </w:rPr>
  </w:style>
  <w:style w:type="character" w:customStyle="1" w:styleId="BalloonTextChar">
    <w:name w:val="Balloon Text Char"/>
    <w:basedOn w:val="DefaultParagraphFont"/>
    <w:link w:val="BalloonText"/>
    <w:uiPriority w:val="99"/>
    <w:semiHidden/>
    <w:locked/>
    <w:rsid w:val="00F01C70"/>
    <w:rPr>
      <w:sz w:val="2"/>
      <w:szCs w:val="2"/>
      <w:lang w:val="en-AU" w:eastAsia="en-US"/>
    </w:rPr>
  </w:style>
  <w:style w:type="character" w:styleId="Strong">
    <w:name w:val="Strong"/>
    <w:basedOn w:val="DefaultParagraphFont"/>
    <w:uiPriority w:val="99"/>
    <w:qFormat/>
    <w:rsid w:val="004E000B"/>
    <w:rPr>
      <w:b/>
      <w:bCs/>
    </w:rPr>
  </w:style>
  <w:style w:type="paragraph" w:styleId="BodyText2">
    <w:name w:val="Body Text 2"/>
    <w:basedOn w:val="Normal"/>
    <w:link w:val="BodyText2Char"/>
    <w:uiPriority w:val="99"/>
    <w:rsid w:val="004E000B"/>
    <w:pPr>
      <w:jc w:val="both"/>
    </w:pPr>
  </w:style>
  <w:style w:type="character" w:customStyle="1" w:styleId="BodyText2Char">
    <w:name w:val="Body Text 2 Char"/>
    <w:basedOn w:val="DefaultParagraphFont"/>
    <w:link w:val="BodyText2"/>
    <w:uiPriority w:val="99"/>
    <w:semiHidden/>
    <w:locked/>
    <w:rsid w:val="00F01C70"/>
    <w:rPr>
      <w:lang w:val="en-AU" w:eastAsia="en-US"/>
    </w:rPr>
  </w:style>
  <w:style w:type="paragraph" w:styleId="Caption">
    <w:name w:val="caption"/>
    <w:basedOn w:val="Normal"/>
    <w:next w:val="Normal"/>
    <w:uiPriority w:val="99"/>
    <w:qFormat/>
    <w:rsid w:val="00511B98"/>
    <w:pPr>
      <w:tabs>
        <w:tab w:val="left" w:pos="720"/>
      </w:tabs>
      <w:ind w:left="720"/>
    </w:pPr>
    <w:rPr>
      <w:rFonts w:ascii="HebarU" w:hAnsi="HebarU" w:cs="HebarU"/>
      <w:b/>
      <w:bCs/>
      <w:sz w:val="28"/>
      <w:szCs w:val="28"/>
      <w:lang w:val="en-US"/>
    </w:rPr>
  </w:style>
  <w:style w:type="paragraph" w:styleId="BodyText3">
    <w:name w:val="Body Text 3"/>
    <w:basedOn w:val="Normal"/>
    <w:link w:val="BodyText3Char"/>
    <w:uiPriority w:val="99"/>
    <w:rsid w:val="00BC1CFD"/>
    <w:pPr>
      <w:spacing w:after="120"/>
    </w:pPr>
    <w:rPr>
      <w:sz w:val="16"/>
      <w:szCs w:val="16"/>
    </w:rPr>
  </w:style>
  <w:style w:type="character" w:customStyle="1" w:styleId="BodyText3Char">
    <w:name w:val="Body Text 3 Char"/>
    <w:basedOn w:val="DefaultParagraphFont"/>
    <w:link w:val="BodyText3"/>
    <w:uiPriority w:val="99"/>
    <w:semiHidden/>
    <w:locked/>
    <w:rsid w:val="00F01C70"/>
    <w:rPr>
      <w:sz w:val="16"/>
      <w:szCs w:val="16"/>
      <w:lang w:val="en-AU" w:eastAsia="en-US"/>
    </w:rPr>
  </w:style>
  <w:style w:type="paragraph" w:styleId="List">
    <w:name w:val="List"/>
    <w:basedOn w:val="Normal"/>
    <w:uiPriority w:val="99"/>
    <w:rsid w:val="00D94866"/>
    <w:pPr>
      <w:widowControl w:val="0"/>
      <w:ind w:left="567" w:hanging="567"/>
    </w:pPr>
    <w:rPr>
      <w:rFonts w:ascii="Hebar" w:hAnsi="Hebar" w:cs="Hebar"/>
      <w:sz w:val="22"/>
      <w:szCs w:val="22"/>
      <w:lang w:val="en-US"/>
    </w:rPr>
  </w:style>
  <w:style w:type="table" w:styleId="TableGrid">
    <w:name w:val="Table Grid"/>
    <w:basedOn w:val="TableNormal"/>
    <w:uiPriority w:val="99"/>
    <w:rsid w:val="00DB5CD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
    <w:name w:val="Char Char Char Char"/>
    <w:basedOn w:val="Normal"/>
    <w:uiPriority w:val="99"/>
    <w:rsid w:val="00525F8C"/>
    <w:pPr>
      <w:spacing w:after="160" w:line="240" w:lineRule="exact"/>
    </w:pPr>
    <w:rPr>
      <w:rFonts w:ascii="Verdana" w:hAnsi="Verdana" w:cs="Verdana"/>
      <w:lang w:val="en-US"/>
    </w:rPr>
  </w:style>
  <w:style w:type="paragraph" w:customStyle="1" w:styleId="Char">
    <w:name w:val="Char Знак"/>
    <w:basedOn w:val="Normal"/>
    <w:uiPriority w:val="99"/>
    <w:rsid w:val="00EE477B"/>
    <w:pPr>
      <w:tabs>
        <w:tab w:val="left" w:pos="709"/>
      </w:tabs>
    </w:pPr>
    <w:rPr>
      <w:rFonts w:ascii="Tahoma" w:hAnsi="Tahoma" w:cs="Tahoma"/>
      <w:sz w:val="24"/>
      <w:szCs w:val="24"/>
      <w:lang w:val="pl-PL" w:eastAsia="pl-PL"/>
    </w:rPr>
  </w:style>
  <w:style w:type="paragraph" w:customStyle="1" w:styleId="CharCharChar">
    <w:name w:val="Char Char Char"/>
    <w:basedOn w:val="Normal"/>
    <w:uiPriority w:val="99"/>
    <w:rsid w:val="005E1518"/>
    <w:pPr>
      <w:tabs>
        <w:tab w:val="left" w:pos="709"/>
      </w:tabs>
    </w:pPr>
    <w:rPr>
      <w:rFonts w:ascii="Tahoma" w:hAnsi="Tahoma" w:cs="Tahoma"/>
      <w:sz w:val="24"/>
      <w:szCs w:val="24"/>
      <w:lang w:val="pl-PL" w:eastAsia="pl-PL"/>
    </w:rPr>
  </w:style>
  <w:style w:type="paragraph" w:styleId="Footer">
    <w:name w:val="footer"/>
    <w:basedOn w:val="Normal"/>
    <w:link w:val="FooterChar"/>
    <w:uiPriority w:val="99"/>
    <w:rsid w:val="00763399"/>
    <w:pPr>
      <w:tabs>
        <w:tab w:val="center" w:pos="4536"/>
        <w:tab w:val="right" w:pos="9072"/>
      </w:tabs>
    </w:pPr>
  </w:style>
  <w:style w:type="character" w:customStyle="1" w:styleId="FooterChar">
    <w:name w:val="Footer Char"/>
    <w:basedOn w:val="DefaultParagraphFont"/>
    <w:link w:val="Footer"/>
    <w:uiPriority w:val="99"/>
    <w:semiHidden/>
    <w:locked/>
    <w:rsid w:val="00F01C70"/>
    <w:rPr>
      <w:lang w:val="en-AU" w:eastAsia="en-US"/>
    </w:rPr>
  </w:style>
  <w:style w:type="character" w:styleId="PageNumber">
    <w:name w:val="page number"/>
    <w:basedOn w:val="DefaultParagraphFont"/>
    <w:uiPriority w:val="99"/>
    <w:rsid w:val="00763399"/>
  </w:style>
  <w:style w:type="paragraph" w:customStyle="1" w:styleId="CharChar6CharCharCharCharCharCharCharCharCharCharCharCharCharCharCharChar">
    <w:name w:val="Char Char6 Char Char Char Char Char Char Char Char Char Char Char Char Char Char Char Char"/>
    <w:basedOn w:val="Normal"/>
    <w:uiPriority w:val="99"/>
    <w:rsid w:val="00E07218"/>
    <w:pPr>
      <w:spacing w:after="160" w:line="240" w:lineRule="exact"/>
    </w:pPr>
    <w:rPr>
      <w:rFonts w:ascii="Verdana" w:hAnsi="Verdana" w:cs="Verdana"/>
      <w:lang w:val="en-US"/>
    </w:rPr>
  </w:style>
  <w:style w:type="character" w:styleId="CommentReference">
    <w:name w:val="annotation reference"/>
    <w:basedOn w:val="DefaultParagraphFont"/>
    <w:uiPriority w:val="99"/>
    <w:semiHidden/>
    <w:rsid w:val="00152466"/>
    <w:rPr>
      <w:sz w:val="16"/>
      <w:szCs w:val="16"/>
    </w:rPr>
  </w:style>
  <w:style w:type="paragraph" w:styleId="CommentText">
    <w:name w:val="annotation text"/>
    <w:basedOn w:val="Normal"/>
    <w:link w:val="CommentTextChar"/>
    <w:uiPriority w:val="99"/>
    <w:semiHidden/>
    <w:rsid w:val="00152466"/>
  </w:style>
  <w:style w:type="character" w:customStyle="1" w:styleId="CommentTextChar">
    <w:name w:val="Comment Text Char"/>
    <w:basedOn w:val="DefaultParagraphFont"/>
    <w:link w:val="CommentText"/>
    <w:uiPriority w:val="99"/>
    <w:semiHidden/>
    <w:locked/>
    <w:rPr>
      <w:lang w:val="en-AU" w:eastAsia="en-US"/>
    </w:rPr>
  </w:style>
  <w:style w:type="paragraph" w:styleId="CommentSubject">
    <w:name w:val="annotation subject"/>
    <w:basedOn w:val="CommentText"/>
    <w:next w:val="CommentText"/>
    <w:link w:val="CommentSubjectChar"/>
    <w:uiPriority w:val="99"/>
    <w:semiHidden/>
    <w:rsid w:val="00152466"/>
    <w:rPr>
      <w:b/>
      <w:bCs/>
    </w:rPr>
  </w:style>
  <w:style w:type="character" w:customStyle="1" w:styleId="CommentSubjectChar">
    <w:name w:val="Comment Subject Char"/>
    <w:basedOn w:val="CommentTextChar"/>
    <w:link w:val="CommentSubject"/>
    <w:uiPriority w:val="99"/>
    <w:semiHidden/>
    <w:locked/>
    <w:rPr>
      <w:b/>
      <w:bCs/>
    </w:rPr>
  </w:style>
  <w:style w:type="paragraph" w:customStyle="1" w:styleId="Char1">
    <w:name w:val="Char Знак1"/>
    <w:basedOn w:val="Normal"/>
    <w:uiPriority w:val="99"/>
    <w:rsid w:val="00C87623"/>
    <w:pPr>
      <w:tabs>
        <w:tab w:val="left" w:pos="709"/>
      </w:tabs>
    </w:pPr>
    <w:rPr>
      <w:rFonts w:ascii="Tahoma" w:hAnsi="Tahoma" w:cs="Tahoma"/>
      <w:sz w:val="24"/>
      <w:szCs w:val="24"/>
      <w:lang w:val="pl-PL" w:eastAsia="pl-PL"/>
    </w:rPr>
  </w:style>
  <w:style w:type="character" w:styleId="Hyperlink">
    <w:name w:val="Hyperlink"/>
    <w:basedOn w:val="DefaultParagraphFont"/>
    <w:uiPriority w:val="99"/>
    <w:rsid w:val="00542CAC"/>
    <w:rPr>
      <w:color w:val="0000FF"/>
      <w:u w:val="single"/>
    </w:rPr>
  </w:style>
  <w:style w:type="paragraph" w:customStyle="1" w:styleId="CharChar5CharChar">
    <w:name w:val="Char Char5 Char Char"/>
    <w:basedOn w:val="Normal"/>
    <w:uiPriority w:val="99"/>
    <w:rsid w:val="00037D59"/>
    <w:pPr>
      <w:spacing w:after="160" w:line="240" w:lineRule="exact"/>
    </w:pPr>
    <w:rPr>
      <w:rFonts w:ascii="Verdana" w:hAnsi="Verdana" w:cs="Verdana"/>
      <w:lang w:val="en-US"/>
    </w:rPr>
  </w:style>
  <w:style w:type="paragraph" w:customStyle="1" w:styleId="CharChar11CharCharCharCharCharChar">
    <w:name w:val="Char Char11 Char Char Char Char Char Char"/>
    <w:basedOn w:val="Normal"/>
    <w:uiPriority w:val="99"/>
    <w:rsid w:val="009D1B91"/>
    <w:pPr>
      <w:spacing w:after="160" w:line="240" w:lineRule="exact"/>
    </w:pPr>
    <w:rPr>
      <w:rFonts w:ascii="Verdana" w:hAnsi="Verdana" w:cs="Verdana"/>
      <w:lang w:val="en-US"/>
    </w:rPr>
  </w:style>
  <w:style w:type="paragraph" w:customStyle="1" w:styleId="CharChar12CharCharCharChar">
    <w:name w:val="Char Char12 Char Char Char Char"/>
    <w:basedOn w:val="Normal"/>
    <w:uiPriority w:val="99"/>
    <w:rsid w:val="00BB2158"/>
    <w:pPr>
      <w:spacing w:after="160" w:line="240" w:lineRule="exact"/>
    </w:pPr>
    <w:rPr>
      <w:rFonts w:ascii="Verdana" w:hAnsi="Verdana" w:cs="Verdana"/>
      <w:lang w:val="en-US"/>
    </w:rPr>
  </w:style>
  <w:style w:type="paragraph" w:customStyle="1" w:styleId="CharChar6CharCharCharCharCharCharCharCharCharCharCharCharCharCharCharCharCharChar">
    <w:name w:val="Char Char6 Char Char Char Char Char Char Char Char Char Char Char Char Char Char Char Char Char Char"/>
    <w:basedOn w:val="Normal"/>
    <w:uiPriority w:val="99"/>
    <w:rsid w:val="008033A1"/>
    <w:pPr>
      <w:spacing w:after="160" w:line="240" w:lineRule="exact"/>
    </w:pPr>
    <w:rPr>
      <w:rFonts w:ascii="Verdana" w:hAnsi="Verdana" w:cs="Verdana"/>
      <w:lang w:val="en-US"/>
    </w:rPr>
  </w:style>
  <w:style w:type="paragraph" w:customStyle="1" w:styleId="CharChar12CharCharCharCharCharCharCharChar">
    <w:name w:val="Char Char12 Char Char Char Char Char Char Char Char"/>
    <w:basedOn w:val="Normal"/>
    <w:uiPriority w:val="99"/>
    <w:rsid w:val="00A02318"/>
    <w:pPr>
      <w:spacing w:after="160" w:line="240" w:lineRule="exact"/>
    </w:pPr>
    <w:rPr>
      <w:rFonts w:ascii="Verdana" w:hAnsi="Verdana" w:cs="Verdana"/>
      <w:lang w:val="en-US"/>
    </w:rPr>
  </w:style>
  <w:style w:type="paragraph" w:customStyle="1" w:styleId="CharChar12CharCharCharCharCharCharCharChar1">
    <w:name w:val="Char Char12 Char Char Char Char Char Char Char Char1"/>
    <w:basedOn w:val="Normal"/>
    <w:uiPriority w:val="99"/>
    <w:rsid w:val="00CE7D3B"/>
    <w:pPr>
      <w:spacing w:after="160" w:line="240" w:lineRule="exact"/>
    </w:pPr>
    <w:rPr>
      <w:rFonts w:ascii="Verdana" w:hAnsi="Verdana" w:cs="Verdana"/>
      <w:lang w:val="en-US"/>
    </w:rPr>
  </w:style>
  <w:style w:type="paragraph" w:customStyle="1" w:styleId="CharCharCharCharCharChar">
    <w:name w:val="Char Char Char Char Char Char"/>
    <w:basedOn w:val="Normal"/>
    <w:uiPriority w:val="99"/>
    <w:rsid w:val="007F6401"/>
    <w:pPr>
      <w:tabs>
        <w:tab w:val="left" w:pos="709"/>
      </w:tabs>
    </w:pPr>
    <w:rPr>
      <w:rFonts w:ascii="Tahoma" w:hAnsi="Tahoma" w:cs="Tahoma"/>
      <w:sz w:val="24"/>
      <w:szCs w:val="24"/>
      <w:lang w:val="pl-PL" w:eastAsia="pl-PL"/>
    </w:rPr>
  </w:style>
  <w:style w:type="paragraph" w:customStyle="1" w:styleId="Normal12pt">
    <w:name w:val="Normal + 12 pt"/>
    <w:basedOn w:val="Normal"/>
    <w:uiPriority w:val="99"/>
    <w:rsid w:val="007F6401"/>
    <w:pPr>
      <w:widowControl w:val="0"/>
    </w:pPr>
    <w:rPr>
      <w:sz w:val="24"/>
      <w:szCs w:val="24"/>
      <w:lang w:val="bg-BG"/>
    </w:rPr>
  </w:style>
  <w:style w:type="paragraph" w:customStyle="1" w:styleId="CharChar6CharCharCharCharCharCharCharCharCharCharCharCharCharChar">
    <w:name w:val="Char Char6 Char Char Char Char Char Char Char Char Char Char Char Char Char Char"/>
    <w:basedOn w:val="Normal"/>
    <w:uiPriority w:val="99"/>
    <w:rsid w:val="00FA05C9"/>
    <w:pPr>
      <w:spacing w:after="160" w:line="240" w:lineRule="exact"/>
    </w:pPr>
    <w:rPr>
      <w:rFonts w:ascii="Verdana" w:hAnsi="Verdana" w:cs="Verdana"/>
      <w:lang w:val="en-US"/>
    </w:rPr>
  </w:style>
  <w:style w:type="paragraph" w:customStyle="1" w:styleId="CharChar11CharCharCharCharCharCharCharCharCharChar">
    <w:name w:val="Char Char11 Char Char Char Char Char Char Char Char Char Char"/>
    <w:basedOn w:val="Normal"/>
    <w:uiPriority w:val="99"/>
    <w:rsid w:val="003E1318"/>
    <w:pPr>
      <w:spacing w:after="160" w:line="240" w:lineRule="exact"/>
    </w:pPr>
    <w:rPr>
      <w:rFonts w:ascii="Verdana" w:hAnsi="Verdana" w:cs="Verdana"/>
      <w:lang w:val="en-US"/>
    </w:rPr>
  </w:style>
</w:styles>
</file>

<file path=word/webSettings.xml><?xml version="1.0" encoding="utf-8"?>
<w:webSettings xmlns:r="http://schemas.openxmlformats.org/officeDocument/2006/relationships" xmlns:w="http://schemas.openxmlformats.org/wordprocessingml/2006/main">
  <w:divs>
    <w:div w:id="1330672898">
      <w:marLeft w:val="0"/>
      <w:marRight w:val="0"/>
      <w:marTop w:val="0"/>
      <w:marBottom w:val="0"/>
      <w:divBdr>
        <w:top w:val="none" w:sz="0" w:space="0" w:color="auto"/>
        <w:left w:val="none" w:sz="0" w:space="0" w:color="auto"/>
        <w:bottom w:val="none" w:sz="0" w:space="0" w:color="auto"/>
        <w:right w:val="none" w:sz="0" w:space="0" w:color="auto"/>
      </w:divBdr>
      <w:divsChild>
        <w:div w:id="1330672899">
          <w:marLeft w:val="0"/>
          <w:marRight w:val="0"/>
          <w:marTop w:val="0"/>
          <w:marBottom w:val="0"/>
          <w:divBdr>
            <w:top w:val="none" w:sz="0" w:space="0" w:color="auto"/>
            <w:left w:val="none" w:sz="0" w:space="0" w:color="auto"/>
            <w:bottom w:val="none" w:sz="0" w:space="0" w:color="auto"/>
            <w:right w:val="none" w:sz="0" w:space="0" w:color="auto"/>
          </w:divBdr>
        </w:div>
      </w:divsChild>
    </w:div>
    <w:div w:id="1330672900">
      <w:marLeft w:val="0"/>
      <w:marRight w:val="0"/>
      <w:marTop w:val="0"/>
      <w:marBottom w:val="0"/>
      <w:divBdr>
        <w:top w:val="none" w:sz="0" w:space="0" w:color="auto"/>
        <w:left w:val="none" w:sz="0" w:space="0" w:color="auto"/>
        <w:bottom w:val="none" w:sz="0" w:space="0" w:color="auto"/>
        <w:right w:val="none" w:sz="0" w:space="0" w:color="auto"/>
      </w:divBdr>
    </w:div>
    <w:div w:id="1330672901">
      <w:marLeft w:val="0"/>
      <w:marRight w:val="0"/>
      <w:marTop w:val="0"/>
      <w:marBottom w:val="0"/>
      <w:divBdr>
        <w:top w:val="none" w:sz="0" w:space="0" w:color="auto"/>
        <w:left w:val="none" w:sz="0" w:space="0" w:color="auto"/>
        <w:bottom w:val="none" w:sz="0" w:space="0" w:color="auto"/>
        <w:right w:val="none" w:sz="0" w:space="0" w:color="auto"/>
      </w:divBdr>
    </w:div>
    <w:div w:id="1330672902">
      <w:marLeft w:val="0"/>
      <w:marRight w:val="0"/>
      <w:marTop w:val="0"/>
      <w:marBottom w:val="0"/>
      <w:divBdr>
        <w:top w:val="none" w:sz="0" w:space="0" w:color="auto"/>
        <w:left w:val="none" w:sz="0" w:space="0" w:color="auto"/>
        <w:bottom w:val="none" w:sz="0" w:space="0" w:color="auto"/>
        <w:right w:val="none" w:sz="0" w:space="0" w:color="auto"/>
      </w:divBdr>
    </w:div>
    <w:div w:id="1330672903">
      <w:marLeft w:val="0"/>
      <w:marRight w:val="0"/>
      <w:marTop w:val="0"/>
      <w:marBottom w:val="0"/>
      <w:divBdr>
        <w:top w:val="none" w:sz="0" w:space="0" w:color="auto"/>
        <w:left w:val="none" w:sz="0" w:space="0" w:color="auto"/>
        <w:bottom w:val="none" w:sz="0" w:space="0" w:color="auto"/>
        <w:right w:val="none" w:sz="0" w:space="0" w:color="auto"/>
      </w:divBdr>
    </w:div>
    <w:div w:id="1330672904">
      <w:marLeft w:val="0"/>
      <w:marRight w:val="0"/>
      <w:marTop w:val="0"/>
      <w:marBottom w:val="0"/>
      <w:divBdr>
        <w:top w:val="none" w:sz="0" w:space="0" w:color="auto"/>
        <w:left w:val="none" w:sz="0" w:space="0" w:color="auto"/>
        <w:bottom w:val="none" w:sz="0" w:space="0" w:color="auto"/>
        <w:right w:val="none" w:sz="0" w:space="0" w:color="auto"/>
      </w:divBdr>
    </w:div>
    <w:div w:id="1330672905">
      <w:marLeft w:val="0"/>
      <w:marRight w:val="0"/>
      <w:marTop w:val="0"/>
      <w:marBottom w:val="0"/>
      <w:divBdr>
        <w:top w:val="none" w:sz="0" w:space="0" w:color="auto"/>
        <w:left w:val="none" w:sz="0" w:space="0" w:color="auto"/>
        <w:bottom w:val="none" w:sz="0" w:space="0" w:color="auto"/>
        <w:right w:val="none" w:sz="0" w:space="0" w:color="auto"/>
      </w:divBdr>
    </w:div>
    <w:div w:id="1330672906">
      <w:marLeft w:val="0"/>
      <w:marRight w:val="0"/>
      <w:marTop w:val="0"/>
      <w:marBottom w:val="0"/>
      <w:divBdr>
        <w:top w:val="none" w:sz="0" w:space="0" w:color="auto"/>
        <w:left w:val="none" w:sz="0" w:space="0" w:color="auto"/>
        <w:bottom w:val="none" w:sz="0" w:space="0" w:color="auto"/>
        <w:right w:val="none" w:sz="0" w:space="0" w:color="auto"/>
      </w:divBdr>
    </w:div>
    <w:div w:id="1330672907">
      <w:marLeft w:val="0"/>
      <w:marRight w:val="0"/>
      <w:marTop w:val="0"/>
      <w:marBottom w:val="0"/>
      <w:divBdr>
        <w:top w:val="none" w:sz="0" w:space="0" w:color="auto"/>
        <w:left w:val="none" w:sz="0" w:space="0" w:color="auto"/>
        <w:bottom w:val="none" w:sz="0" w:space="0" w:color="auto"/>
        <w:right w:val="none" w:sz="0" w:space="0" w:color="auto"/>
      </w:divBdr>
    </w:div>
    <w:div w:id="1330672908">
      <w:marLeft w:val="0"/>
      <w:marRight w:val="0"/>
      <w:marTop w:val="0"/>
      <w:marBottom w:val="0"/>
      <w:divBdr>
        <w:top w:val="none" w:sz="0" w:space="0" w:color="auto"/>
        <w:left w:val="none" w:sz="0" w:space="0" w:color="auto"/>
        <w:bottom w:val="none" w:sz="0" w:space="0" w:color="auto"/>
        <w:right w:val="none" w:sz="0" w:space="0" w:color="auto"/>
      </w:divBdr>
    </w:div>
    <w:div w:id="1330672909">
      <w:marLeft w:val="0"/>
      <w:marRight w:val="0"/>
      <w:marTop w:val="0"/>
      <w:marBottom w:val="0"/>
      <w:divBdr>
        <w:top w:val="none" w:sz="0" w:space="0" w:color="auto"/>
        <w:left w:val="none" w:sz="0" w:space="0" w:color="auto"/>
        <w:bottom w:val="none" w:sz="0" w:space="0" w:color="auto"/>
        <w:right w:val="none" w:sz="0" w:space="0" w:color="auto"/>
      </w:divBdr>
    </w:div>
    <w:div w:id="1330672910">
      <w:marLeft w:val="0"/>
      <w:marRight w:val="0"/>
      <w:marTop w:val="0"/>
      <w:marBottom w:val="0"/>
      <w:divBdr>
        <w:top w:val="none" w:sz="0" w:space="0" w:color="auto"/>
        <w:left w:val="none" w:sz="0" w:space="0" w:color="auto"/>
        <w:bottom w:val="none" w:sz="0" w:space="0" w:color="auto"/>
        <w:right w:val="none" w:sz="0" w:space="0" w:color="auto"/>
      </w:divBdr>
      <w:divsChild>
        <w:div w:id="13306728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3063</TotalTime>
  <Pages>8</Pages>
  <Words>3531</Words>
  <Characters>20129</Characters>
  <Application>Microsoft Office Outlook</Application>
  <DocSecurity>0</DocSecurity>
  <Lines>0</Lines>
  <Paragraphs>0</Paragraphs>
  <ScaleCrop>false</ScaleCrop>
  <Company>Standard and Poor's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dc:creator>
  <cp:keywords/>
  <dc:description/>
  <cp:lastModifiedBy>ME</cp:lastModifiedBy>
  <cp:revision>1110</cp:revision>
  <cp:lastPrinted>2015-04-24T10:53:00Z</cp:lastPrinted>
  <dcterms:created xsi:type="dcterms:W3CDTF">2015-04-24T08:50:00Z</dcterms:created>
  <dcterms:modified xsi:type="dcterms:W3CDTF">2016-07-25T06:42:00Z</dcterms:modified>
</cp:coreProperties>
</file>