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drawings/drawing2.xml" ContentType="application/vnd.openxmlformats-officedocument.drawingml.chartshapes+xml"/>
  <Override PartName="/word/charts/chart9.xml" ContentType="application/vnd.openxmlformats-officedocument.drawingml.chart+xml"/>
  <Override PartName="/word/drawings/drawing3.xml" ContentType="application/vnd.openxmlformats-officedocument.drawingml.chartshapes+xml"/>
  <Override PartName="/word/charts/chart10.xml" ContentType="application/vnd.openxmlformats-officedocument.drawingml.chart+xml"/>
  <Override PartName="/word/drawings/drawing4.xml" ContentType="application/vnd.openxmlformats-officedocument.drawingml.chartshapes+xml"/>
  <Override PartName="/word/charts/chart11.xml" ContentType="application/vnd.openxmlformats-officedocument.drawingml.chart+xml"/>
  <Override PartName="/word/drawings/drawing5.xml" ContentType="application/vnd.openxmlformats-officedocument.drawingml.chartshapes+xml"/>
  <Override PartName="/word/charts/chart12.xml" ContentType="application/vnd.openxmlformats-officedocument.drawingml.chart+xml"/>
  <Override PartName="/word/drawings/drawing6.xml" ContentType="application/vnd.openxmlformats-officedocument.drawingml.chartshapes+xml"/>
  <Override PartName="/word/charts/chart1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E73" w:rsidRPr="008E2822" w:rsidRDefault="009917FD" w:rsidP="00A16F30">
      <w:pPr>
        <w:pStyle w:val="a1"/>
        <w:tabs>
          <w:tab w:val="left" w:pos="360"/>
        </w:tabs>
      </w:pPr>
      <w:r w:rsidRPr="008E2822">
        <w:rPr>
          <w:noProof/>
        </w:rPr>
        <mc:AlternateContent>
          <mc:Choice Requires="wps">
            <w:drawing>
              <wp:anchor distT="0" distB="0" distL="114300" distR="114300" simplePos="0" relativeHeight="251652608" behindDoc="0" locked="0" layoutInCell="1" allowOverlap="1" wp14:anchorId="20CE40C4" wp14:editId="239767A9">
                <wp:simplePos x="0" y="0"/>
                <wp:positionH relativeFrom="column">
                  <wp:posOffset>-99695</wp:posOffset>
                </wp:positionH>
                <wp:positionV relativeFrom="paragraph">
                  <wp:posOffset>5043805</wp:posOffset>
                </wp:positionV>
                <wp:extent cx="4457700" cy="1714500"/>
                <wp:effectExtent l="0" t="0" r="4445" b="4445"/>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22B" w:rsidRPr="00A164F7" w:rsidRDefault="00CF222B" w:rsidP="00A164F7">
                            <w:pPr>
                              <w:jc w:val="left"/>
                              <w:rPr>
                                <w:color w:val="FFFFFF" w:themeColor="background1"/>
                                <w:sz w:val="44"/>
                                <w:szCs w:val="44"/>
                              </w:rPr>
                            </w:pPr>
                            <w:r w:rsidRPr="00A164F7">
                              <w:rPr>
                                <w:color w:val="FFFFFF" w:themeColor="background1"/>
                                <w:sz w:val="44"/>
                                <w:szCs w:val="44"/>
                              </w:rPr>
                              <w:t>Междинен доклад за дейността на Българска Фондова Борса – София АД</w:t>
                            </w:r>
                            <w:r>
                              <w:rPr>
                                <w:color w:val="FFFFFF" w:themeColor="background1"/>
                                <w:sz w:val="44"/>
                                <w:szCs w:val="44"/>
                              </w:rPr>
                              <w:t xml:space="preserve"> през второто тримесечие на 2013</w:t>
                            </w:r>
                            <w:r w:rsidRPr="00A164F7">
                              <w:rPr>
                                <w:color w:val="FFFFFF" w:themeColor="background1"/>
                                <w:sz w:val="44"/>
                                <w:szCs w:val="44"/>
                              </w:rPr>
                              <w:t xml:space="preserve"> г</w:t>
                            </w:r>
                            <w:r>
                              <w:rPr>
                                <w:color w:val="FFFFFF" w:themeColor="background1"/>
                                <w:sz w:val="44"/>
                                <w:szCs w:val="4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85pt;margin-top:397.15pt;width:351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u2vtAIAALs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" filled="f" stroked="f">
                <v:textbox>
                  <w:txbxContent>
                    <w:p w:rsidR="00CF222B" w:rsidRPr="00A164F7" w:rsidRDefault="00CF222B" w:rsidP="00A164F7">
                      <w:pPr>
                        <w:jc w:val="left"/>
                        <w:rPr>
                          <w:color w:val="FFFFFF" w:themeColor="background1"/>
                          <w:sz w:val="44"/>
                          <w:szCs w:val="44"/>
                        </w:rPr>
                      </w:pPr>
                      <w:r w:rsidRPr="00A164F7">
                        <w:rPr>
                          <w:color w:val="FFFFFF" w:themeColor="background1"/>
                          <w:sz w:val="44"/>
                          <w:szCs w:val="44"/>
                        </w:rPr>
                        <w:t>Междинен доклад за дейността на Българска Фондова Борса – София АД</w:t>
                      </w:r>
                      <w:r>
                        <w:rPr>
                          <w:color w:val="FFFFFF" w:themeColor="background1"/>
                          <w:sz w:val="44"/>
                          <w:szCs w:val="44"/>
                        </w:rPr>
                        <w:t xml:space="preserve"> през второто тримесечие на 2013</w:t>
                      </w:r>
                      <w:r w:rsidRPr="00A164F7">
                        <w:rPr>
                          <w:color w:val="FFFFFF" w:themeColor="background1"/>
                          <w:sz w:val="44"/>
                          <w:szCs w:val="44"/>
                        </w:rPr>
                        <w:t xml:space="preserve"> г</w:t>
                      </w:r>
                      <w:r>
                        <w:rPr>
                          <w:color w:val="FFFFFF" w:themeColor="background1"/>
                          <w:sz w:val="44"/>
                          <w:szCs w:val="44"/>
                        </w:rPr>
                        <w:t>.</w:t>
                      </w:r>
                    </w:p>
                  </w:txbxContent>
                </v:textbox>
              </v:shape>
            </w:pict>
          </mc:Fallback>
        </mc:AlternateContent>
      </w:r>
      <w:r w:rsidR="00131340" w:rsidRPr="008E2822">
        <w:rPr>
          <w:noProof/>
        </w:rPr>
        <w:drawing>
          <wp:anchor distT="0" distB="0" distL="114300" distR="114300" simplePos="0" relativeHeight="251651584" behindDoc="1" locked="0" layoutInCell="1" allowOverlap="0" wp14:anchorId="02708AAD" wp14:editId="3284BEE1">
            <wp:simplePos x="0" y="0"/>
            <wp:positionH relativeFrom="column">
              <wp:posOffset>-899795</wp:posOffset>
            </wp:positionH>
            <wp:positionV relativeFrom="paragraph">
              <wp:posOffset>1666875</wp:posOffset>
            </wp:positionV>
            <wp:extent cx="7658100" cy="6005830"/>
            <wp:effectExtent l="19050" t="0" r="0" b="0"/>
            <wp:wrapSquare wrapText="bothSides"/>
            <wp:docPr id="3" name="Picture 2" descr="C:\Worker\Work\bfb\package\office\powerpoint\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orker\Work\bfb\package\office\powerpoint\title.png"/>
                    <pic:cNvPicPr>
                      <a:picLocks noChangeAspect="1" noChangeArrowheads="1"/>
                    </pic:cNvPicPr>
                  </pic:nvPicPr>
                  <pic:blipFill>
                    <a:blip r:embed="rId9" cstate="print"/>
                    <a:srcRect/>
                    <a:stretch>
                      <a:fillRect/>
                    </a:stretch>
                  </pic:blipFill>
                  <pic:spPr bwMode="auto">
                    <a:xfrm>
                      <a:off x="0" y="0"/>
                      <a:ext cx="7658100" cy="6005830"/>
                    </a:xfrm>
                    <a:prstGeom prst="rect">
                      <a:avLst/>
                    </a:prstGeom>
                    <a:noFill/>
                    <a:ln w="9525">
                      <a:noFill/>
                      <a:miter lim="800000"/>
                      <a:headEnd/>
                      <a:tailEnd/>
                    </a:ln>
                  </pic:spPr>
                </pic:pic>
              </a:graphicData>
            </a:graphic>
          </wp:anchor>
        </w:drawing>
      </w:r>
      <w:r w:rsidR="00B30EB6" w:rsidRPr="008E2822">
        <w:br w:type="page"/>
      </w:r>
    </w:p>
    <w:p w:rsidR="00885186" w:rsidRPr="008E2822" w:rsidRDefault="00885186"/>
    <w:tbl>
      <w:tblPr>
        <w:tblW w:w="9080" w:type="dxa"/>
        <w:jc w:val="center"/>
        <w:tblCellMar>
          <w:left w:w="70" w:type="dxa"/>
          <w:right w:w="70" w:type="dxa"/>
        </w:tblCellMar>
        <w:tblLook w:val="04A0" w:firstRow="1" w:lastRow="0" w:firstColumn="1" w:lastColumn="0" w:noHBand="0" w:noVBand="1"/>
      </w:tblPr>
      <w:tblGrid>
        <w:gridCol w:w="6100"/>
        <w:gridCol w:w="1480"/>
        <w:gridCol w:w="1500"/>
      </w:tblGrid>
      <w:tr w:rsidR="00E060B3" w:rsidRPr="008E2822" w:rsidTr="00E060B3">
        <w:trPr>
          <w:trHeight w:val="170"/>
          <w:jc w:val="center"/>
        </w:trPr>
        <w:tc>
          <w:tcPr>
            <w:tcW w:w="610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БЪЛГАРСКА ФОНДОВА БОРСА - СОФИЯ АД</w:t>
            </w:r>
          </w:p>
        </w:tc>
        <w:tc>
          <w:tcPr>
            <w:tcW w:w="148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center"/>
              <w:rPr>
                <w:sz w:val="18"/>
                <w:szCs w:val="18"/>
              </w:rPr>
            </w:pPr>
            <w:r w:rsidRPr="008E2822">
              <w:rPr>
                <w:sz w:val="18"/>
                <w:szCs w:val="18"/>
              </w:rPr>
              <w:t> </w:t>
            </w:r>
          </w:p>
        </w:tc>
        <w:tc>
          <w:tcPr>
            <w:tcW w:w="150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center"/>
              <w:rPr>
                <w:sz w:val="18"/>
                <w:szCs w:val="18"/>
              </w:rPr>
            </w:pPr>
            <w:r w:rsidRPr="008E2822">
              <w:rPr>
                <w:sz w:val="18"/>
                <w:szCs w:val="18"/>
              </w:rPr>
              <w:t> </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ОТЧЕТ ЗА ФИНАНСОВОТО СЪСТОЯНИЕ</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center"/>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center"/>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b/>
                <w:bCs/>
                <w:sz w:val="18"/>
                <w:szCs w:val="18"/>
              </w:rPr>
            </w:pPr>
            <w:proofErr w:type="gramStart"/>
            <w:r w:rsidRPr="008E2822">
              <w:rPr>
                <w:b/>
                <w:bCs/>
                <w:sz w:val="18"/>
                <w:szCs w:val="18"/>
              </w:rPr>
              <w:t>към</w:t>
            </w:r>
            <w:proofErr w:type="gramEnd"/>
            <w:r w:rsidRPr="008E2822">
              <w:rPr>
                <w:b/>
                <w:bCs/>
                <w:sz w:val="18"/>
                <w:szCs w:val="18"/>
              </w:rPr>
              <w:t xml:space="preserve"> 30 юни 2013 година</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center"/>
              <w:rPr>
                <w:b/>
                <w:bCs/>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center"/>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nil"/>
              <w:left w:val="nil"/>
              <w:bottom w:val="nil"/>
              <w:right w:val="nil"/>
            </w:tcBorders>
            <w:shd w:val="clear" w:color="auto" w:fill="auto"/>
            <w:vAlign w:val="center"/>
            <w:hideMark/>
          </w:tcPr>
          <w:p w:rsidR="00E060B3" w:rsidRPr="008E2822" w:rsidRDefault="00E060B3" w:rsidP="00E060B3">
            <w:pPr>
              <w:widowControl/>
              <w:jc w:val="right"/>
              <w:rPr>
                <w:b/>
                <w:bCs/>
                <w:sz w:val="18"/>
                <w:szCs w:val="18"/>
              </w:rPr>
            </w:pPr>
            <w:r w:rsidRPr="008E2822">
              <w:rPr>
                <w:b/>
                <w:bCs/>
                <w:sz w:val="18"/>
                <w:szCs w:val="18"/>
              </w:rPr>
              <w:t>30.06.2013</w:t>
            </w:r>
          </w:p>
        </w:tc>
        <w:tc>
          <w:tcPr>
            <w:tcW w:w="1500" w:type="dxa"/>
            <w:tcBorders>
              <w:top w:val="nil"/>
              <w:left w:val="nil"/>
              <w:bottom w:val="nil"/>
              <w:right w:val="nil"/>
            </w:tcBorders>
            <w:shd w:val="clear" w:color="auto" w:fill="auto"/>
            <w:vAlign w:val="center"/>
            <w:hideMark/>
          </w:tcPr>
          <w:p w:rsidR="00E060B3" w:rsidRPr="008E2822" w:rsidRDefault="00E060B3" w:rsidP="00E060B3">
            <w:pPr>
              <w:widowControl/>
              <w:jc w:val="right"/>
              <w:rPr>
                <w:b/>
                <w:bCs/>
                <w:sz w:val="18"/>
                <w:szCs w:val="18"/>
              </w:rPr>
            </w:pPr>
            <w:r w:rsidRPr="008E2822">
              <w:rPr>
                <w:b/>
                <w:bCs/>
                <w:sz w:val="18"/>
                <w:szCs w:val="18"/>
              </w:rPr>
              <w:t>31.12.2012</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BGN'000</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BGN'000</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АКТИВ</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Нетекущи активи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xml:space="preserve">Имоти, машини и </w:t>
            </w:r>
            <w:proofErr w:type="gramStart"/>
            <w:r w:rsidRPr="008E2822">
              <w:rPr>
                <w:sz w:val="18"/>
                <w:szCs w:val="18"/>
              </w:rPr>
              <w:t>оборудване</w:t>
            </w:r>
            <w:proofErr w:type="gramEnd"/>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2 </w:t>
            </w:r>
            <w:proofErr w:type="gramStart"/>
            <w:r w:rsidRPr="008E2822">
              <w:rPr>
                <w:sz w:val="18"/>
                <w:szCs w:val="18"/>
              </w:rPr>
              <w:t xml:space="preserve">104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2 </w:t>
            </w:r>
            <w:proofErr w:type="gramStart"/>
            <w:r w:rsidRPr="008E2822">
              <w:rPr>
                <w:sz w:val="18"/>
                <w:szCs w:val="18"/>
              </w:rPr>
              <w:t xml:space="preserve">033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Нематериални активи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51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Инвестиции в дъщерни дружества</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40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40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Финансови активи държани до падеж</w:t>
            </w:r>
          </w:p>
        </w:tc>
        <w:tc>
          <w:tcPr>
            <w:tcW w:w="14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r w:rsidRPr="008E2822">
              <w:rPr>
                <w:color w:val="000000"/>
                <w:sz w:val="18"/>
                <w:szCs w:val="18"/>
              </w:rPr>
              <w:t xml:space="preserve"> </w:t>
            </w:r>
            <w:proofErr w:type="gramStart"/>
            <w:r w:rsidRPr="008E2822">
              <w:rPr>
                <w:color w:val="000000"/>
                <w:sz w:val="18"/>
                <w:szCs w:val="18"/>
              </w:rPr>
              <w:t>-</w:t>
            </w:r>
            <w:proofErr w:type="gramEnd"/>
            <w:r w:rsidRPr="008E2822">
              <w:rPr>
                <w:color w:val="000000"/>
                <w:sz w:val="18"/>
                <w:szCs w:val="18"/>
              </w:rPr>
              <w:t xml:space="preserve"> </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color w:val="000000"/>
                <w:sz w:val="18"/>
                <w:szCs w:val="18"/>
              </w:rPr>
            </w:pPr>
            <w:r w:rsidRPr="008E2822">
              <w:rPr>
                <w:color w:val="000000"/>
                <w:sz w:val="18"/>
                <w:szCs w:val="18"/>
              </w:rPr>
              <w:t>Финансови активи на разположение за продажба</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2 </w:t>
            </w:r>
            <w:proofErr w:type="gramStart"/>
            <w:r w:rsidRPr="008E2822">
              <w:rPr>
                <w:sz w:val="18"/>
                <w:szCs w:val="18"/>
              </w:rPr>
              <w:t xml:space="preserve">082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2 </w:t>
            </w:r>
            <w:proofErr w:type="gramStart"/>
            <w:r w:rsidRPr="008E2822">
              <w:rPr>
                <w:sz w:val="18"/>
                <w:szCs w:val="18"/>
              </w:rPr>
              <w:t xml:space="preserve">142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Активи по отсрочени данъци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12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7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48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4 </w:t>
            </w:r>
            <w:proofErr w:type="gramStart"/>
            <w:r w:rsidRPr="008E2822">
              <w:rPr>
                <w:b/>
                <w:bCs/>
                <w:sz w:val="18"/>
                <w:szCs w:val="18"/>
              </w:rPr>
              <w:t xml:space="preserve">238 </w:t>
            </w:r>
            <w:proofErr w:type="gramEnd"/>
          </w:p>
        </w:tc>
        <w:tc>
          <w:tcPr>
            <w:tcW w:w="150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4 </w:t>
            </w:r>
            <w:proofErr w:type="gramStart"/>
            <w:r w:rsidRPr="008E2822">
              <w:rPr>
                <w:b/>
                <w:bCs/>
                <w:sz w:val="18"/>
                <w:szCs w:val="18"/>
              </w:rPr>
              <w:t xml:space="preserve">273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Текущи активи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Търговски вземания</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63</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70</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Вземания по данъци за възстановяване</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130</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205</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Други вземания и предплатени разходи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66</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14</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Финансови активи държани до падеж</w:t>
            </w:r>
          </w:p>
        </w:tc>
        <w:tc>
          <w:tcPr>
            <w:tcW w:w="14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r w:rsidRPr="008E2822">
              <w:rPr>
                <w:color w:val="000000"/>
                <w:sz w:val="18"/>
                <w:szCs w:val="18"/>
              </w:rPr>
              <w:t xml:space="preserve"> </w:t>
            </w:r>
            <w:proofErr w:type="gramStart"/>
            <w:r w:rsidRPr="008E2822">
              <w:rPr>
                <w:color w:val="000000"/>
                <w:sz w:val="18"/>
                <w:szCs w:val="18"/>
              </w:rPr>
              <w:t>-</w:t>
            </w:r>
            <w:proofErr w:type="gramEnd"/>
            <w:r w:rsidRPr="008E2822">
              <w:rPr>
                <w:color w:val="000000"/>
                <w:sz w:val="18"/>
                <w:szCs w:val="18"/>
              </w:rPr>
              <w:t xml:space="preserve"> </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480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Срочни депозити в банки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5 492</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4 830</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roofErr w:type="gramStart"/>
            <w:r w:rsidRPr="008E2822">
              <w:rPr>
                <w:sz w:val="18"/>
                <w:szCs w:val="18"/>
              </w:rPr>
              <w:t>Парични средства и парични</w:t>
            </w:r>
            <w:proofErr w:type="gramEnd"/>
            <w:r w:rsidRPr="008E2822">
              <w:rPr>
                <w:sz w:val="18"/>
                <w:szCs w:val="18"/>
              </w:rPr>
              <w:t xml:space="preserve"> еквиваленти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3 090</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1 616</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8 </w:t>
            </w:r>
            <w:proofErr w:type="gramStart"/>
            <w:r w:rsidRPr="008E2822">
              <w:rPr>
                <w:b/>
                <w:bCs/>
                <w:sz w:val="18"/>
                <w:szCs w:val="18"/>
              </w:rPr>
              <w:t xml:space="preserve">841 </w:t>
            </w:r>
            <w:proofErr w:type="gramEnd"/>
          </w:p>
        </w:tc>
        <w:tc>
          <w:tcPr>
            <w:tcW w:w="150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8 </w:t>
            </w:r>
            <w:proofErr w:type="gramStart"/>
            <w:r w:rsidRPr="008E2822">
              <w:rPr>
                <w:b/>
                <w:bCs/>
                <w:sz w:val="18"/>
                <w:szCs w:val="18"/>
              </w:rPr>
              <w:t xml:space="preserve">215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ОБЩО АКТИВИ</w:t>
            </w:r>
          </w:p>
        </w:tc>
        <w:tc>
          <w:tcPr>
            <w:tcW w:w="1480" w:type="dxa"/>
            <w:tcBorders>
              <w:top w:val="nil"/>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13 079</w:t>
            </w:r>
          </w:p>
        </w:tc>
        <w:tc>
          <w:tcPr>
            <w:tcW w:w="1500" w:type="dxa"/>
            <w:tcBorders>
              <w:top w:val="nil"/>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12 488</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СОБСТВЕН КАПИТАЛ И ПАСИВИ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СОБСТВЕН КАПИТАЛ</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Основен акционерен капитал</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6 583</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6 583</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Резерви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3 634</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3 562</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Натрупани печалби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625</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603</w:t>
            </w:r>
          </w:p>
        </w:tc>
      </w:tr>
      <w:tr w:rsidR="00E060B3" w:rsidRPr="008E2822" w:rsidTr="00E060B3">
        <w:trPr>
          <w:trHeight w:val="170"/>
          <w:jc w:val="center"/>
        </w:trPr>
        <w:tc>
          <w:tcPr>
            <w:tcW w:w="6100" w:type="dxa"/>
            <w:tcBorders>
              <w:top w:val="nil"/>
              <w:left w:val="nil"/>
              <w:bottom w:val="nil"/>
              <w:right w:val="nil"/>
            </w:tcBorders>
            <w:shd w:val="clear" w:color="auto" w:fill="auto"/>
            <w:vAlign w:val="center"/>
            <w:hideMark/>
          </w:tcPr>
          <w:p w:rsidR="00E060B3" w:rsidRPr="008E2822" w:rsidRDefault="00E060B3" w:rsidP="00E060B3">
            <w:pPr>
              <w:widowControl/>
              <w:jc w:val="left"/>
              <w:rPr>
                <w:sz w:val="18"/>
                <w:szCs w:val="18"/>
              </w:rPr>
            </w:pPr>
          </w:p>
        </w:tc>
        <w:tc>
          <w:tcPr>
            <w:tcW w:w="148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10 </w:t>
            </w:r>
            <w:proofErr w:type="gramStart"/>
            <w:r w:rsidRPr="008E2822">
              <w:rPr>
                <w:b/>
                <w:bCs/>
                <w:sz w:val="18"/>
                <w:szCs w:val="18"/>
              </w:rPr>
              <w:t xml:space="preserve">842 </w:t>
            </w:r>
            <w:proofErr w:type="gramEnd"/>
          </w:p>
        </w:tc>
        <w:tc>
          <w:tcPr>
            <w:tcW w:w="150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10 </w:t>
            </w:r>
            <w:proofErr w:type="gramStart"/>
            <w:r w:rsidRPr="008E2822">
              <w:rPr>
                <w:b/>
                <w:bCs/>
                <w:sz w:val="18"/>
                <w:szCs w:val="18"/>
              </w:rPr>
              <w:t xml:space="preserve">748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ПАСИВИ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Нетекущи задължения</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vAlign w:val="center"/>
            <w:hideMark/>
          </w:tcPr>
          <w:p w:rsidR="00E060B3" w:rsidRPr="008E2822" w:rsidRDefault="00E060B3" w:rsidP="00E060B3">
            <w:pPr>
              <w:widowControl/>
              <w:jc w:val="left"/>
              <w:rPr>
                <w:sz w:val="18"/>
                <w:szCs w:val="18"/>
              </w:rPr>
            </w:pPr>
            <w:r w:rsidRPr="008E2822">
              <w:rPr>
                <w:sz w:val="18"/>
                <w:szCs w:val="18"/>
              </w:rPr>
              <w:t>Дългосрочни задължения към персонала при пенсиониране</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32</w:t>
            </w: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32</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32</w:t>
            </w:r>
          </w:p>
        </w:tc>
        <w:tc>
          <w:tcPr>
            <w:tcW w:w="150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32</w:t>
            </w: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Текущи задължения</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Задължения по вноски за Гаранционен фонд</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944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968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Задължения към доставчици и други кредитори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110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652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Задължения за данъци</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78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17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Задължения към персонала и социалното осигуряване</w:t>
            </w: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73 </w:t>
            </w:r>
            <w:proofErr w:type="gramEnd"/>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71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2 </w:t>
            </w:r>
            <w:proofErr w:type="gramStart"/>
            <w:r w:rsidRPr="008E2822">
              <w:rPr>
                <w:b/>
                <w:bCs/>
                <w:color w:val="000000"/>
                <w:sz w:val="18"/>
                <w:szCs w:val="18"/>
              </w:rPr>
              <w:t xml:space="preserve">205 </w:t>
            </w:r>
            <w:proofErr w:type="gramEnd"/>
          </w:p>
        </w:tc>
        <w:tc>
          <w:tcPr>
            <w:tcW w:w="150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1 </w:t>
            </w:r>
            <w:proofErr w:type="gramStart"/>
            <w:r w:rsidRPr="008E2822">
              <w:rPr>
                <w:b/>
                <w:bCs/>
                <w:color w:val="000000"/>
                <w:sz w:val="18"/>
                <w:szCs w:val="18"/>
              </w:rPr>
              <w:t xml:space="preserve">708 </w:t>
            </w:r>
            <w:proofErr w:type="gramEnd"/>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4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5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61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 xml:space="preserve">ОБЩО СОБСТВЕН КАПИТАЛ И </w:t>
            </w:r>
            <w:proofErr w:type="gramStart"/>
            <w:r w:rsidRPr="008E2822">
              <w:rPr>
                <w:b/>
                <w:bCs/>
                <w:sz w:val="18"/>
                <w:szCs w:val="18"/>
              </w:rPr>
              <w:t xml:space="preserve">ПАСИВИ </w:t>
            </w:r>
            <w:proofErr w:type="gramEnd"/>
          </w:p>
        </w:tc>
        <w:tc>
          <w:tcPr>
            <w:tcW w:w="148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13 </w:t>
            </w:r>
            <w:proofErr w:type="gramStart"/>
            <w:r w:rsidRPr="008E2822">
              <w:rPr>
                <w:b/>
                <w:bCs/>
                <w:sz w:val="18"/>
                <w:szCs w:val="18"/>
              </w:rPr>
              <w:t xml:space="preserve">079 </w:t>
            </w:r>
            <w:proofErr w:type="gramEnd"/>
          </w:p>
        </w:tc>
        <w:tc>
          <w:tcPr>
            <w:tcW w:w="1500" w:type="dxa"/>
            <w:tcBorders>
              <w:top w:val="single" w:sz="4" w:space="0" w:color="auto"/>
              <w:left w:val="nil"/>
              <w:bottom w:val="single" w:sz="4"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12 </w:t>
            </w:r>
            <w:proofErr w:type="gramStart"/>
            <w:r w:rsidRPr="008E2822">
              <w:rPr>
                <w:b/>
                <w:bCs/>
                <w:sz w:val="18"/>
                <w:szCs w:val="18"/>
              </w:rPr>
              <w:t xml:space="preserve">488 </w:t>
            </w:r>
            <w:proofErr w:type="gramEnd"/>
          </w:p>
        </w:tc>
      </w:tr>
    </w:tbl>
    <w:p w:rsidR="005C7298" w:rsidRPr="008E2822" w:rsidRDefault="005C7298">
      <w:r w:rsidRPr="008E2822">
        <w:br w:type="page"/>
      </w:r>
    </w:p>
    <w:p w:rsidR="00885186" w:rsidRPr="008E2822" w:rsidRDefault="00885186">
      <w:pPr>
        <w:widowControl/>
        <w:jc w:val="left"/>
      </w:pPr>
    </w:p>
    <w:tbl>
      <w:tblPr>
        <w:tblW w:w="8460" w:type="dxa"/>
        <w:jc w:val="center"/>
        <w:tblInd w:w="55" w:type="dxa"/>
        <w:tblCellMar>
          <w:left w:w="70" w:type="dxa"/>
          <w:right w:w="70" w:type="dxa"/>
        </w:tblCellMar>
        <w:tblLook w:val="04A0" w:firstRow="1" w:lastRow="0" w:firstColumn="1" w:lastColumn="0" w:noHBand="0" w:noVBand="1"/>
      </w:tblPr>
      <w:tblGrid>
        <w:gridCol w:w="5540"/>
        <w:gridCol w:w="1300"/>
        <w:gridCol w:w="360"/>
        <w:gridCol w:w="1260"/>
      </w:tblGrid>
      <w:tr w:rsidR="00E060B3" w:rsidRPr="008E2822" w:rsidTr="00E060B3">
        <w:trPr>
          <w:trHeight w:val="170"/>
          <w:jc w:val="center"/>
        </w:trPr>
        <w:tc>
          <w:tcPr>
            <w:tcW w:w="554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 xml:space="preserve">БЪЛГАРСКА ФОНДОВА БОРСА - СОФИЯ </w:t>
            </w:r>
            <w:proofErr w:type="gramStart"/>
            <w:r w:rsidRPr="008E2822">
              <w:rPr>
                <w:b/>
                <w:bCs/>
                <w:sz w:val="18"/>
                <w:szCs w:val="18"/>
              </w:rPr>
              <w:t xml:space="preserve">АД </w:t>
            </w:r>
            <w:proofErr w:type="gramEnd"/>
          </w:p>
        </w:tc>
        <w:tc>
          <w:tcPr>
            <w:tcW w:w="130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left"/>
              <w:rPr>
                <w:sz w:val="18"/>
                <w:szCs w:val="18"/>
              </w:rPr>
            </w:pPr>
            <w:r w:rsidRPr="008E2822">
              <w:rPr>
                <w:sz w:val="18"/>
                <w:szCs w:val="18"/>
              </w:rPr>
              <w:t> </w:t>
            </w:r>
          </w:p>
        </w:tc>
        <w:tc>
          <w:tcPr>
            <w:tcW w:w="36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left"/>
              <w:rPr>
                <w:sz w:val="18"/>
                <w:szCs w:val="18"/>
              </w:rPr>
            </w:pPr>
            <w:r w:rsidRPr="008E2822">
              <w:rPr>
                <w:sz w:val="18"/>
                <w:szCs w:val="18"/>
              </w:rPr>
              <w:t> </w:t>
            </w:r>
          </w:p>
        </w:tc>
        <w:tc>
          <w:tcPr>
            <w:tcW w:w="126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left"/>
              <w:rPr>
                <w:sz w:val="18"/>
                <w:szCs w:val="18"/>
              </w:rPr>
            </w:pPr>
            <w:r w:rsidRPr="008E2822">
              <w:rPr>
                <w:sz w:val="18"/>
                <w:szCs w:val="18"/>
              </w:rPr>
              <w:t> </w:t>
            </w:r>
          </w:p>
        </w:tc>
      </w:tr>
      <w:tr w:rsidR="00E060B3" w:rsidRPr="008E2822" w:rsidTr="00E060B3">
        <w:trPr>
          <w:trHeight w:val="170"/>
          <w:jc w:val="center"/>
        </w:trPr>
        <w:tc>
          <w:tcPr>
            <w:tcW w:w="554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r w:rsidRPr="008E2822">
              <w:rPr>
                <w:b/>
                <w:bCs/>
                <w:color w:val="000000"/>
                <w:sz w:val="18"/>
                <w:szCs w:val="18"/>
              </w:rPr>
              <w:t>ОТЧЕТ ЗА ВСЕОБХВАТНИЯ ДОХОД</w:t>
            </w:r>
          </w:p>
        </w:tc>
        <w:tc>
          <w:tcPr>
            <w:tcW w:w="130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p>
        </w:tc>
        <w:tc>
          <w:tcPr>
            <w:tcW w:w="36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p>
        </w:tc>
        <w:tc>
          <w:tcPr>
            <w:tcW w:w="126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color w:val="000000"/>
                <w:sz w:val="18"/>
                <w:szCs w:val="18"/>
              </w:rPr>
            </w:pPr>
            <w:proofErr w:type="gramStart"/>
            <w:r w:rsidRPr="008E2822">
              <w:rPr>
                <w:b/>
                <w:bCs/>
                <w:color w:val="000000"/>
                <w:sz w:val="18"/>
                <w:szCs w:val="18"/>
              </w:rPr>
              <w:t>за</w:t>
            </w:r>
            <w:proofErr w:type="gramEnd"/>
            <w:r w:rsidRPr="008E2822">
              <w:rPr>
                <w:b/>
                <w:bCs/>
                <w:color w:val="000000"/>
                <w:sz w:val="18"/>
                <w:szCs w:val="18"/>
              </w:rPr>
              <w:t xml:space="preserve"> периода завършващ на 30 юни 2013 година</w:t>
            </w:r>
          </w:p>
        </w:tc>
        <w:tc>
          <w:tcPr>
            <w:tcW w:w="13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color w:val="000000"/>
                <w:sz w:val="18"/>
                <w:szCs w:val="18"/>
              </w:rPr>
            </w:pPr>
          </w:p>
        </w:tc>
        <w:tc>
          <w:tcPr>
            <w:tcW w:w="36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color w:val="000000"/>
                <w:sz w:val="18"/>
                <w:szCs w:val="18"/>
              </w:rPr>
            </w:pPr>
          </w:p>
        </w:tc>
        <w:tc>
          <w:tcPr>
            <w:tcW w:w="126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color w:val="000000"/>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3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30.06.2013</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26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30.06.2012</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3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BGN '000</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BGN '000</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3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26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30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Приходи</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609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893 </w:t>
            </w:r>
            <w:proofErr w:type="gramEnd"/>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Други доходи от дейността</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80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60 </w:t>
            </w:r>
            <w:proofErr w:type="gramEnd"/>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Разходи за материали и консумативи</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(13)</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(12)</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Разходи за външни услуги</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(462)</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(543)</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Разходи за амортизации</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(105)</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(124)</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Разходи за персонала</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(544)</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(486)</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Други разходи за дейността</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(34)</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(25)</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Печалба от оперативна дейност</w:t>
            </w:r>
          </w:p>
        </w:tc>
        <w:tc>
          <w:tcPr>
            <w:tcW w:w="130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531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(237)</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Финансови приходи</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176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182 </w:t>
            </w:r>
            <w:proofErr w:type="gramEnd"/>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Финансови разходи</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(12)</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(12)</w:t>
            </w:r>
          </w:p>
        </w:tc>
      </w:tr>
      <w:tr w:rsidR="00E060B3" w:rsidRPr="008E2822" w:rsidTr="00E060B3">
        <w:trPr>
          <w:trHeight w:val="170"/>
          <w:jc w:val="center"/>
        </w:trPr>
        <w:tc>
          <w:tcPr>
            <w:tcW w:w="554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r w:rsidRPr="008E2822">
              <w:rPr>
                <w:b/>
                <w:bCs/>
                <w:color w:val="000000"/>
                <w:sz w:val="18"/>
                <w:szCs w:val="18"/>
              </w:rPr>
              <w:t xml:space="preserve">Финансови </w:t>
            </w:r>
            <w:proofErr w:type="gramStart"/>
            <w:r w:rsidRPr="008E2822">
              <w:rPr>
                <w:b/>
                <w:bCs/>
                <w:color w:val="000000"/>
                <w:sz w:val="18"/>
                <w:szCs w:val="18"/>
              </w:rPr>
              <w:t>приходи/(разходи</w:t>
            </w:r>
            <w:proofErr w:type="gramEnd"/>
            <w:r w:rsidRPr="008E2822">
              <w:rPr>
                <w:b/>
                <w:bCs/>
                <w:color w:val="000000"/>
                <w:sz w:val="18"/>
                <w:szCs w:val="18"/>
              </w:rPr>
              <w:t>), нетно</w:t>
            </w:r>
          </w:p>
        </w:tc>
        <w:tc>
          <w:tcPr>
            <w:tcW w:w="1300" w:type="dxa"/>
            <w:tcBorders>
              <w:top w:val="single" w:sz="4" w:space="0" w:color="auto"/>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164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170 </w:t>
            </w:r>
            <w:proofErr w:type="gramEnd"/>
          </w:p>
        </w:tc>
      </w:tr>
      <w:tr w:rsidR="00E060B3" w:rsidRPr="008E2822" w:rsidTr="00E060B3">
        <w:trPr>
          <w:trHeight w:val="170"/>
          <w:jc w:val="center"/>
        </w:trPr>
        <w:tc>
          <w:tcPr>
            <w:tcW w:w="554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proofErr w:type="gramStart"/>
            <w:r w:rsidRPr="008E2822">
              <w:rPr>
                <w:b/>
                <w:bCs/>
                <w:color w:val="000000"/>
                <w:sz w:val="18"/>
                <w:szCs w:val="18"/>
              </w:rPr>
              <w:t>Печалба преди данък върху печалбата</w:t>
            </w:r>
            <w:proofErr w:type="gramEnd"/>
          </w:p>
        </w:tc>
        <w:tc>
          <w:tcPr>
            <w:tcW w:w="130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695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(67)</w:t>
            </w:r>
          </w:p>
        </w:tc>
      </w:tr>
      <w:tr w:rsidR="00E060B3" w:rsidRPr="008E2822" w:rsidTr="00E060B3">
        <w:trPr>
          <w:trHeight w:val="170"/>
          <w:jc w:val="center"/>
        </w:trPr>
        <w:tc>
          <w:tcPr>
            <w:tcW w:w="5540" w:type="dxa"/>
            <w:tcBorders>
              <w:top w:val="nil"/>
              <w:left w:val="nil"/>
              <w:bottom w:val="nil"/>
              <w:right w:val="nil"/>
            </w:tcBorders>
            <w:shd w:val="clear" w:color="auto" w:fill="auto"/>
            <w:vAlign w:val="center"/>
            <w:hideMark/>
          </w:tcPr>
          <w:p w:rsidR="00E060B3" w:rsidRPr="008E2822" w:rsidRDefault="00E060B3" w:rsidP="00E060B3">
            <w:pPr>
              <w:widowControl/>
              <w:jc w:val="left"/>
              <w:rPr>
                <w:b/>
                <w:bCs/>
                <w:color w:val="000000"/>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vAlign w:val="center"/>
            <w:hideMark/>
          </w:tcPr>
          <w:p w:rsidR="00E060B3" w:rsidRPr="008E2822" w:rsidRDefault="00E060B3" w:rsidP="00E060B3">
            <w:pPr>
              <w:widowControl/>
              <w:jc w:val="left"/>
              <w:rPr>
                <w:color w:val="000000"/>
                <w:sz w:val="18"/>
                <w:szCs w:val="18"/>
              </w:rPr>
            </w:pPr>
            <w:r w:rsidRPr="008E2822">
              <w:rPr>
                <w:color w:val="000000"/>
                <w:sz w:val="18"/>
                <w:szCs w:val="18"/>
              </w:rPr>
              <w:t>Разход за данък върху печалбата</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(70)</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Нетна печалба за периода</w:t>
            </w:r>
          </w:p>
        </w:tc>
        <w:tc>
          <w:tcPr>
            <w:tcW w:w="1300" w:type="dxa"/>
            <w:tcBorders>
              <w:top w:val="single" w:sz="4" w:space="0" w:color="auto"/>
              <w:left w:val="nil"/>
              <w:bottom w:val="double" w:sz="6"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625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single" w:sz="4" w:space="0" w:color="auto"/>
              <w:left w:val="nil"/>
              <w:bottom w:val="double" w:sz="6"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(67)</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Други компоненти на всеобхватния доход</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vAlign w:val="bottom"/>
            <w:hideMark/>
          </w:tcPr>
          <w:p w:rsidR="00E060B3" w:rsidRPr="008E2822" w:rsidRDefault="00E060B3" w:rsidP="00E060B3">
            <w:pPr>
              <w:widowControl/>
              <w:jc w:val="left"/>
              <w:rPr>
                <w:color w:val="000000"/>
                <w:sz w:val="18"/>
                <w:szCs w:val="18"/>
              </w:rPr>
            </w:pPr>
            <w:r w:rsidRPr="008E2822">
              <w:rPr>
                <w:color w:val="000000"/>
                <w:sz w:val="18"/>
                <w:szCs w:val="18"/>
              </w:rPr>
              <w:t>Нетна промяна в справедливата стойност на финансови активи на разположение за продажба</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r w:rsidRPr="008E2822">
              <w:rPr>
                <w:color w:val="000000"/>
                <w:sz w:val="18"/>
                <w:szCs w:val="18"/>
              </w:rPr>
              <w:t xml:space="preserve"> (54)</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r w:rsidRPr="008E2822">
              <w:rPr>
                <w:color w:val="000000"/>
                <w:sz w:val="18"/>
                <w:szCs w:val="18"/>
              </w:rPr>
              <w:t xml:space="preserve"> </w:t>
            </w:r>
            <w:proofErr w:type="gramStart"/>
            <w:r w:rsidRPr="008E2822">
              <w:rPr>
                <w:color w:val="000000"/>
                <w:sz w:val="18"/>
                <w:szCs w:val="18"/>
              </w:rPr>
              <w:t>-</w:t>
            </w:r>
            <w:proofErr w:type="gramEnd"/>
            <w:r w:rsidRPr="008E2822">
              <w:rPr>
                <w:color w:val="000000"/>
                <w:sz w:val="18"/>
                <w:szCs w:val="18"/>
              </w:rPr>
              <w:t xml:space="preserve"> </w:t>
            </w:r>
          </w:p>
        </w:tc>
      </w:tr>
      <w:tr w:rsidR="00E060B3" w:rsidRPr="008E2822" w:rsidTr="00E060B3">
        <w:trPr>
          <w:trHeight w:val="170"/>
          <w:jc w:val="center"/>
        </w:trPr>
        <w:tc>
          <w:tcPr>
            <w:tcW w:w="5540" w:type="dxa"/>
            <w:tcBorders>
              <w:top w:val="nil"/>
              <w:left w:val="nil"/>
              <w:bottom w:val="nil"/>
              <w:right w:val="nil"/>
            </w:tcBorders>
            <w:shd w:val="clear" w:color="auto" w:fill="auto"/>
            <w:vAlign w:val="bottom"/>
            <w:hideMark/>
          </w:tcPr>
          <w:p w:rsidR="00E060B3" w:rsidRPr="008E2822" w:rsidRDefault="00E060B3" w:rsidP="00E060B3">
            <w:pPr>
              <w:widowControl/>
              <w:jc w:val="left"/>
              <w:rPr>
                <w:color w:val="000000"/>
                <w:sz w:val="18"/>
                <w:szCs w:val="18"/>
              </w:rPr>
            </w:pPr>
            <w:r w:rsidRPr="008E2822">
              <w:rPr>
                <w:color w:val="000000"/>
                <w:sz w:val="18"/>
                <w:szCs w:val="18"/>
              </w:rPr>
              <w:t xml:space="preserve">Данък върху </w:t>
            </w:r>
            <w:proofErr w:type="gramStart"/>
            <w:r w:rsidRPr="008E2822">
              <w:rPr>
                <w:color w:val="000000"/>
                <w:sz w:val="18"/>
                <w:szCs w:val="18"/>
              </w:rPr>
              <w:t>дохода, свързан с компонентите на другия всеобхватен доход</w:t>
            </w:r>
            <w:proofErr w:type="gramEnd"/>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r w:rsidRPr="008E2822">
              <w:rPr>
                <w:color w:val="000000"/>
                <w:sz w:val="18"/>
                <w:szCs w:val="18"/>
              </w:rPr>
              <w:t xml:space="preserve"> </w:t>
            </w:r>
            <w:proofErr w:type="gramStart"/>
            <w:r w:rsidRPr="008E2822">
              <w:rPr>
                <w:color w:val="000000"/>
                <w:sz w:val="18"/>
                <w:szCs w:val="18"/>
              </w:rPr>
              <w:t xml:space="preserve">5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126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right"/>
              <w:rPr>
                <w:color w:val="000000"/>
                <w:sz w:val="18"/>
                <w:szCs w:val="18"/>
              </w:rPr>
            </w:pPr>
            <w:r w:rsidRPr="008E2822">
              <w:rPr>
                <w:color w:val="000000"/>
                <w:sz w:val="18"/>
                <w:szCs w:val="18"/>
              </w:rPr>
              <w:t xml:space="preserve"> </w:t>
            </w:r>
            <w:proofErr w:type="gramStart"/>
            <w:r w:rsidRPr="008E2822">
              <w:rPr>
                <w:color w:val="000000"/>
                <w:sz w:val="18"/>
                <w:szCs w:val="18"/>
              </w:rPr>
              <w:t>-</w:t>
            </w:r>
            <w:proofErr w:type="gramEnd"/>
            <w:r w:rsidRPr="008E2822">
              <w:rPr>
                <w:color w:val="000000"/>
                <w:sz w:val="18"/>
                <w:szCs w:val="18"/>
              </w:rPr>
              <w:t xml:space="preserve"> </w:t>
            </w:r>
          </w:p>
        </w:tc>
      </w:tr>
      <w:tr w:rsidR="00E060B3" w:rsidRPr="008E2822" w:rsidTr="00E060B3">
        <w:trPr>
          <w:trHeight w:val="170"/>
          <w:jc w:val="center"/>
        </w:trPr>
        <w:tc>
          <w:tcPr>
            <w:tcW w:w="5540" w:type="dxa"/>
            <w:tcBorders>
              <w:top w:val="nil"/>
              <w:left w:val="nil"/>
              <w:bottom w:val="nil"/>
              <w:right w:val="nil"/>
            </w:tcBorders>
            <w:shd w:val="clear" w:color="auto" w:fill="auto"/>
            <w:vAlign w:val="bottom"/>
            <w:hideMark/>
          </w:tcPr>
          <w:p w:rsidR="00E060B3" w:rsidRPr="008E2822" w:rsidRDefault="00E060B3" w:rsidP="00E060B3">
            <w:pPr>
              <w:widowControl/>
              <w:jc w:val="left"/>
              <w:rPr>
                <w:b/>
                <w:bCs/>
                <w:color w:val="000000"/>
                <w:sz w:val="18"/>
                <w:szCs w:val="18"/>
              </w:rPr>
            </w:pPr>
            <w:r w:rsidRPr="008E2822">
              <w:rPr>
                <w:b/>
                <w:bCs/>
                <w:color w:val="000000"/>
                <w:sz w:val="18"/>
                <w:szCs w:val="18"/>
              </w:rPr>
              <w:t>Друг всеобхватен доход за периода, нетно от данък</w:t>
            </w:r>
          </w:p>
        </w:tc>
        <w:tc>
          <w:tcPr>
            <w:tcW w:w="130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(49)</w:t>
            </w: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126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w:t>
            </w:r>
            <w:proofErr w:type="gramStart"/>
            <w:r w:rsidRPr="008E2822">
              <w:rPr>
                <w:b/>
                <w:bCs/>
                <w:color w:val="000000"/>
                <w:sz w:val="18"/>
                <w:szCs w:val="18"/>
              </w:rPr>
              <w:t>-</w:t>
            </w:r>
            <w:proofErr w:type="gramEnd"/>
            <w:r w:rsidRPr="008E2822">
              <w:rPr>
                <w:b/>
                <w:bCs/>
                <w:color w:val="000000"/>
                <w:sz w:val="18"/>
                <w:szCs w:val="18"/>
              </w:rPr>
              <w:t xml:space="preserve"> </w:t>
            </w:r>
          </w:p>
        </w:tc>
      </w:tr>
      <w:tr w:rsidR="00E060B3" w:rsidRPr="008E2822" w:rsidTr="00E060B3">
        <w:trPr>
          <w:trHeight w:val="170"/>
          <w:jc w:val="center"/>
        </w:trPr>
        <w:tc>
          <w:tcPr>
            <w:tcW w:w="5540" w:type="dxa"/>
            <w:tcBorders>
              <w:top w:val="nil"/>
              <w:left w:val="nil"/>
              <w:bottom w:val="nil"/>
              <w:right w:val="nil"/>
            </w:tcBorders>
            <w:shd w:val="clear" w:color="auto" w:fill="auto"/>
            <w:vAlign w:val="bottom"/>
            <w:hideMark/>
          </w:tcPr>
          <w:p w:rsidR="00E060B3" w:rsidRPr="008E2822" w:rsidRDefault="00E060B3" w:rsidP="00E060B3">
            <w:pPr>
              <w:widowControl/>
              <w:jc w:val="left"/>
              <w:rPr>
                <w:color w:val="000000"/>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vAlign w:val="bottom"/>
            <w:hideMark/>
          </w:tcPr>
          <w:p w:rsidR="00E060B3" w:rsidRPr="008E2822" w:rsidRDefault="00E060B3" w:rsidP="00E060B3">
            <w:pPr>
              <w:widowControl/>
              <w:jc w:val="left"/>
              <w:rPr>
                <w:b/>
                <w:bCs/>
                <w:color w:val="000000"/>
                <w:sz w:val="18"/>
                <w:szCs w:val="18"/>
              </w:rPr>
            </w:pPr>
            <w:r w:rsidRPr="008E2822">
              <w:rPr>
                <w:b/>
                <w:bCs/>
                <w:color w:val="000000"/>
                <w:sz w:val="18"/>
                <w:szCs w:val="18"/>
              </w:rPr>
              <w:t>ОБЩО ВСЕОБХВАТЕН ДОХОД ЗА периода</w:t>
            </w:r>
          </w:p>
        </w:tc>
        <w:tc>
          <w:tcPr>
            <w:tcW w:w="1300" w:type="dxa"/>
            <w:tcBorders>
              <w:top w:val="single" w:sz="4" w:space="0" w:color="auto"/>
              <w:left w:val="nil"/>
              <w:bottom w:val="double" w:sz="6" w:space="0" w:color="auto"/>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w:t>
            </w:r>
            <w:proofErr w:type="gramStart"/>
            <w:r w:rsidRPr="008E2822">
              <w:rPr>
                <w:b/>
                <w:bCs/>
                <w:color w:val="000000"/>
                <w:sz w:val="18"/>
                <w:szCs w:val="18"/>
              </w:rPr>
              <w:t xml:space="preserve">576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1260" w:type="dxa"/>
            <w:tcBorders>
              <w:top w:val="single" w:sz="4" w:space="0" w:color="auto"/>
              <w:left w:val="nil"/>
              <w:bottom w:val="double" w:sz="6" w:space="0" w:color="auto"/>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(67)</w:t>
            </w:r>
          </w:p>
        </w:tc>
      </w:tr>
      <w:tr w:rsidR="00E060B3" w:rsidRPr="008E2822" w:rsidTr="00E060B3">
        <w:trPr>
          <w:trHeight w:val="170"/>
          <w:jc w:val="center"/>
        </w:trPr>
        <w:tc>
          <w:tcPr>
            <w:tcW w:w="554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color w:val="000000"/>
                <w:sz w:val="18"/>
                <w:szCs w:val="18"/>
              </w:rPr>
            </w:pP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color w:val="000000"/>
                <w:sz w:val="18"/>
                <w:szCs w:val="18"/>
              </w:rPr>
            </w:pPr>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color w:val="000000"/>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color w:val="000000"/>
                <w:sz w:val="18"/>
                <w:szCs w:val="18"/>
              </w:rPr>
            </w:pPr>
          </w:p>
        </w:tc>
      </w:tr>
      <w:tr w:rsidR="00E060B3" w:rsidRPr="008E2822" w:rsidTr="00E060B3">
        <w:trPr>
          <w:trHeight w:val="170"/>
          <w:jc w:val="center"/>
        </w:trPr>
        <w:tc>
          <w:tcPr>
            <w:tcW w:w="5540" w:type="dxa"/>
            <w:tcBorders>
              <w:top w:val="nil"/>
              <w:left w:val="nil"/>
              <w:bottom w:val="nil"/>
              <w:right w:val="nil"/>
            </w:tcBorders>
            <w:shd w:val="clear" w:color="auto" w:fill="auto"/>
            <w:vAlign w:val="bottom"/>
            <w:hideMark/>
          </w:tcPr>
          <w:p w:rsidR="00E060B3" w:rsidRPr="008E2822" w:rsidRDefault="00E060B3" w:rsidP="00E060B3">
            <w:pPr>
              <w:widowControl/>
              <w:jc w:val="left"/>
              <w:rPr>
                <w:b/>
                <w:bCs/>
                <w:color w:val="000000"/>
                <w:sz w:val="18"/>
                <w:szCs w:val="18"/>
              </w:rPr>
            </w:pPr>
            <w:r w:rsidRPr="008E2822">
              <w:rPr>
                <w:b/>
                <w:bCs/>
                <w:color w:val="000000"/>
                <w:sz w:val="18"/>
                <w:szCs w:val="18"/>
              </w:rPr>
              <w:t>Доход на акция (</w:t>
            </w:r>
            <w:r w:rsidRPr="008E2822">
              <w:rPr>
                <w:b/>
                <w:bCs/>
                <w:color w:val="000000"/>
                <w:sz w:val="18"/>
                <w:szCs w:val="18"/>
                <w:lang w:val="en-US"/>
              </w:rPr>
              <w:t>BGN</w:t>
            </w:r>
            <w:r w:rsidRPr="008E2822">
              <w:rPr>
                <w:b/>
                <w:bCs/>
                <w:color w:val="000000"/>
                <w:sz w:val="18"/>
                <w:szCs w:val="18"/>
              </w:rPr>
              <w:t>)</w:t>
            </w:r>
          </w:p>
        </w:tc>
        <w:tc>
          <w:tcPr>
            <w:tcW w:w="130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0.</w:t>
            </w:r>
            <w:proofErr w:type="gramStart"/>
            <w:r w:rsidRPr="008E2822">
              <w:rPr>
                <w:b/>
                <w:bCs/>
                <w:color w:val="000000"/>
                <w:sz w:val="18"/>
                <w:szCs w:val="18"/>
              </w:rPr>
              <w:t xml:space="preserve">09 </w:t>
            </w:r>
            <w:proofErr w:type="gramEnd"/>
          </w:p>
        </w:tc>
        <w:tc>
          <w:tcPr>
            <w:tcW w:w="3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color w:val="000000"/>
                <w:sz w:val="18"/>
                <w:szCs w:val="18"/>
              </w:rPr>
            </w:pPr>
          </w:p>
        </w:tc>
        <w:tc>
          <w:tcPr>
            <w:tcW w:w="126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color w:val="000000"/>
                <w:sz w:val="18"/>
                <w:szCs w:val="18"/>
              </w:rPr>
            </w:pPr>
            <w:r w:rsidRPr="008E2822">
              <w:rPr>
                <w:b/>
                <w:bCs/>
                <w:color w:val="000000"/>
                <w:sz w:val="18"/>
                <w:szCs w:val="18"/>
              </w:rPr>
              <w:t xml:space="preserve"> (0.01)</w:t>
            </w:r>
          </w:p>
        </w:tc>
      </w:tr>
    </w:tbl>
    <w:p w:rsidR="00885186" w:rsidRPr="008E2822" w:rsidRDefault="00885186">
      <w:pPr>
        <w:widowControl/>
        <w:jc w:val="left"/>
      </w:pPr>
    </w:p>
    <w:p w:rsidR="00885186" w:rsidRPr="008E2822" w:rsidRDefault="00885186">
      <w:pPr>
        <w:widowControl/>
        <w:jc w:val="left"/>
      </w:pPr>
    </w:p>
    <w:p w:rsidR="00A164F7" w:rsidRPr="008E2822" w:rsidRDefault="00A164F7">
      <w:pPr>
        <w:widowControl/>
        <w:jc w:val="left"/>
        <w:rPr>
          <w:b/>
        </w:rPr>
      </w:pPr>
      <w:r w:rsidRPr="008E2822">
        <w:br w:type="page"/>
      </w:r>
    </w:p>
    <w:tbl>
      <w:tblPr>
        <w:tblW w:w="10100" w:type="dxa"/>
        <w:jc w:val="center"/>
        <w:tblCellMar>
          <w:left w:w="70" w:type="dxa"/>
          <w:right w:w="70" w:type="dxa"/>
        </w:tblCellMar>
        <w:tblLook w:val="04A0" w:firstRow="1" w:lastRow="0" w:firstColumn="1" w:lastColumn="0" w:noHBand="0" w:noVBand="1"/>
      </w:tblPr>
      <w:tblGrid>
        <w:gridCol w:w="7700"/>
        <w:gridCol w:w="1180"/>
        <w:gridCol w:w="1220"/>
      </w:tblGrid>
      <w:tr w:rsidR="00E060B3" w:rsidRPr="008E2822" w:rsidTr="00E060B3">
        <w:trPr>
          <w:trHeight w:val="170"/>
          <w:jc w:val="center"/>
        </w:trPr>
        <w:tc>
          <w:tcPr>
            <w:tcW w:w="770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lastRenderedPageBreak/>
              <w:t>БЪЛГАРСКА ФОНДОВА БОРСА - СОФИЯ АД</w:t>
            </w:r>
          </w:p>
        </w:tc>
        <w:tc>
          <w:tcPr>
            <w:tcW w:w="118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w:t>
            </w:r>
          </w:p>
        </w:tc>
        <w:tc>
          <w:tcPr>
            <w:tcW w:w="1220"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w:t>
            </w:r>
          </w:p>
        </w:tc>
      </w:tr>
      <w:tr w:rsidR="00E060B3" w:rsidRPr="008E2822" w:rsidTr="00E060B3">
        <w:trPr>
          <w:trHeight w:val="170"/>
          <w:jc w:val="center"/>
        </w:trPr>
        <w:tc>
          <w:tcPr>
            <w:tcW w:w="77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 xml:space="preserve">ОТЧЕТ ЗА ПАРИЧНИТЕ </w:t>
            </w:r>
            <w:proofErr w:type="gramStart"/>
            <w:r w:rsidRPr="008E2822">
              <w:rPr>
                <w:b/>
                <w:bCs/>
                <w:sz w:val="18"/>
                <w:szCs w:val="18"/>
              </w:rPr>
              <w:t xml:space="preserve">ПОТОЦИ </w:t>
            </w:r>
            <w:proofErr w:type="gramEnd"/>
          </w:p>
        </w:tc>
        <w:tc>
          <w:tcPr>
            <w:tcW w:w="118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w:t>
            </w:r>
          </w:p>
        </w:tc>
        <w:tc>
          <w:tcPr>
            <w:tcW w:w="122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w:t>
            </w:r>
          </w:p>
        </w:tc>
      </w:tr>
      <w:tr w:rsidR="00E060B3" w:rsidRPr="008E2822" w:rsidTr="00E060B3">
        <w:trPr>
          <w:trHeight w:val="170"/>
          <w:jc w:val="center"/>
        </w:trPr>
        <w:tc>
          <w:tcPr>
            <w:tcW w:w="77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color w:val="000000"/>
                <w:sz w:val="18"/>
                <w:szCs w:val="18"/>
              </w:rPr>
            </w:pPr>
            <w:proofErr w:type="gramStart"/>
            <w:r w:rsidRPr="008E2822">
              <w:rPr>
                <w:b/>
                <w:bCs/>
                <w:color w:val="000000"/>
                <w:sz w:val="18"/>
                <w:szCs w:val="18"/>
              </w:rPr>
              <w:t>за</w:t>
            </w:r>
            <w:proofErr w:type="gramEnd"/>
            <w:r w:rsidRPr="008E2822">
              <w:rPr>
                <w:b/>
                <w:bCs/>
                <w:color w:val="000000"/>
                <w:sz w:val="18"/>
                <w:szCs w:val="18"/>
              </w:rPr>
              <w:t xml:space="preserve"> периода завършващ на 30 юни 2013 година</w:t>
            </w:r>
          </w:p>
        </w:tc>
        <w:tc>
          <w:tcPr>
            <w:tcW w:w="118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22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1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30.06.2013</w:t>
            </w:r>
          </w:p>
        </w:tc>
        <w:tc>
          <w:tcPr>
            <w:tcW w:w="122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30.06.2012</w:t>
            </w:r>
          </w:p>
        </w:tc>
      </w:tr>
      <w:tr w:rsidR="00E060B3" w:rsidRPr="008E2822" w:rsidTr="00E060B3">
        <w:trPr>
          <w:trHeight w:val="170"/>
          <w:jc w:val="center"/>
        </w:trPr>
        <w:tc>
          <w:tcPr>
            <w:tcW w:w="77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1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r w:rsidRPr="008E2822">
              <w:rPr>
                <w:b/>
                <w:bCs/>
                <w:color w:val="000000"/>
                <w:sz w:val="18"/>
                <w:szCs w:val="18"/>
              </w:rPr>
              <w:t>BGN '000</w:t>
            </w:r>
          </w:p>
        </w:tc>
        <w:tc>
          <w:tcPr>
            <w:tcW w:w="122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r w:rsidRPr="008E2822">
              <w:rPr>
                <w:b/>
                <w:bCs/>
                <w:color w:val="000000"/>
                <w:sz w:val="18"/>
                <w:szCs w:val="18"/>
              </w:rPr>
              <w:t>BGN '000</w:t>
            </w:r>
          </w:p>
        </w:tc>
      </w:tr>
      <w:tr w:rsidR="00E060B3" w:rsidRPr="008E2822" w:rsidTr="00E060B3">
        <w:trPr>
          <w:trHeight w:val="170"/>
          <w:jc w:val="center"/>
        </w:trPr>
        <w:tc>
          <w:tcPr>
            <w:tcW w:w="7700"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18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p>
        </w:tc>
        <w:tc>
          <w:tcPr>
            <w:tcW w:w="1220"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color w:val="000000"/>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b/>
                <w:bCs/>
                <w:color w:val="000000"/>
                <w:sz w:val="18"/>
                <w:szCs w:val="18"/>
              </w:rPr>
            </w:pPr>
            <w:r w:rsidRPr="008E2822">
              <w:rPr>
                <w:b/>
                <w:bCs/>
                <w:color w:val="000000"/>
                <w:sz w:val="18"/>
                <w:szCs w:val="18"/>
              </w:rPr>
              <w:t>Парични потоци от оперативна дейност</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Постъпления от клиенти</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2 </w:t>
            </w:r>
            <w:proofErr w:type="gramStart"/>
            <w:r w:rsidRPr="008E2822">
              <w:rPr>
                <w:sz w:val="18"/>
                <w:szCs w:val="18"/>
              </w:rPr>
              <w:t xml:space="preserve">367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748 </w:t>
            </w:r>
            <w:proofErr w:type="gramEnd"/>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Плащания на доставчици</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(1 108)</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(852)</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Плащания на персонала и за социалното осигуряване</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(422)</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(486)</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Платени данъци (без данъци върху печалбата)</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(396)</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(303)</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Други </w:t>
            </w:r>
            <w:proofErr w:type="gramStart"/>
            <w:r w:rsidRPr="008E2822">
              <w:rPr>
                <w:color w:val="000000"/>
                <w:sz w:val="18"/>
                <w:szCs w:val="18"/>
              </w:rPr>
              <w:t>постъпления /(плащания</w:t>
            </w:r>
            <w:proofErr w:type="gramEnd"/>
            <w:r w:rsidRPr="008E2822">
              <w:rPr>
                <w:color w:val="000000"/>
                <w:sz w:val="18"/>
                <w:szCs w:val="18"/>
              </w:rPr>
              <w:t>), нетно</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(40)</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(28)</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b/>
                <w:bCs/>
                <w:color w:val="000000"/>
                <w:sz w:val="18"/>
                <w:szCs w:val="18"/>
              </w:rPr>
            </w:pPr>
            <w:r w:rsidRPr="008E2822">
              <w:rPr>
                <w:b/>
                <w:bCs/>
                <w:color w:val="000000"/>
                <w:sz w:val="18"/>
                <w:szCs w:val="18"/>
              </w:rPr>
              <w:t>Нетни парични потоци от оперативна дейност</w:t>
            </w:r>
          </w:p>
        </w:tc>
        <w:tc>
          <w:tcPr>
            <w:tcW w:w="118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401 </w:t>
            </w:r>
            <w:proofErr w:type="gramEnd"/>
          </w:p>
        </w:tc>
        <w:tc>
          <w:tcPr>
            <w:tcW w:w="122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79 </w:t>
            </w:r>
            <w:proofErr w:type="gramEnd"/>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b/>
                <w:bCs/>
                <w:color w:val="000000"/>
                <w:sz w:val="18"/>
                <w:szCs w:val="18"/>
              </w:rPr>
            </w:pPr>
            <w:r w:rsidRPr="008E2822">
              <w:rPr>
                <w:b/>
                <w:bCs/>
                <w:color w:val="000000"/>
                <w:sz w:val="18"/>
                <w:szCs w:val="18"/>
              </w:rPr>
              <w:t>Парични потоци от инвестиционна дейност</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Покупки на машини и </w:t>
            </w:r>
            <w:proofErr w:type="gramStart"/>
            <w:r w:rsidRPr="008E2822">
              <w:rPr>
                <w:color w:val="000000"/>
                <w:sz w:val="18"/>
                <w:szCs w:val="18"/>
              </w:rPr>
              <w:t>оборудване</w:t>
            </w:r>
            <w:proofErr w:type="gramEnd"/>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(126)</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Постъпления от продажби на машини и </w:t>
            </w:r>
            <w:proofErr w:type="gramStart"/>
            <w:r w:rsidRPr="008E2822">
              <w:rPr>
                <w:color w:val="000000"/>
                <w:sz w:val="18"/>
                <w:szCs w:val="18"/>
              </w:rPr>
              <w:t>оборудване</w:t>
            </w:r>
            <w:proofErr w:type="gramEnd"/>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19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Покупка/падеж на инвестиции в ценни книжа държани до падеж</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379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Получена лихва от инвестиции в ценни книжа държани до падеж</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103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94 </w:t>
            </w:r>
            <w:proofErr w:type="gramEnd"/>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Постъпления от продажба на инвестиции в асоциирани дружества</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Покупка на инвестиции в ценни книжа на разположение за продажба</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Постъпления от дивиденти от инвестиции в ценни книжа на разположение за </w:t>
            </w:r>
            <w:proofErr w:type="gramStart"/>
            <w:r w:rsidRPr="008E2822">
              <w:rPr>
                <w:color w:val="000000"/>
                <w:sz w:val="18"/>
                <w:szCs w:val="18"/>
              </w:rPr>
              <w:t xml:space="preserve">продажба </w:t>
            </w:r>
            <w:proofErr w:type="gramEnd"/>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42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Постъпления от/падеж на предоставени депозити в банки по </w:t>
            </w:r>
            <w:proofErr w:type="spellStart"/>
            <w:r w:rsidRPr="008E2822">
              <w:rPr>
                <w:color w:val="000000"/>
                <w:sz w:val="18"/>
                <w:szCs w:val="18"/>
              </w:rPr>
              <w:t>репо</w:t>
            </w:r>
            <w:proofErr w:type="spellEnd"/>
            <w:r w:rsidRPr="008E2822">
              <w:rPr>
                <w:color w:val="000000"/>
                <w:sz w:val="18"/>
                <w:szCs w:val="18"/>
              </w:rPr>
              <w:t xml:space="preserve"> сделки с инвестиционна цел</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000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Плащания по предоставени депозити в банки с инвестиционна </w:t>
            </w:r>
            <w:proofErr w:type="gramStart"/>
            <w:r w:rsidRPr="008E2822">
              <w:rPr>
                <w:color w:val="000000"/>
                <w:sz w:val="18"/>
                <w:szCs w:val="18"/>
              </w:rPr>
              <w:t xml:space="preserve">цел </w:t>
            </w:r>
            <w:proofErr w:type="gramEnd"/>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(1 440)</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(1 661)</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r w:rsidRPr="008E2822">
              <w:rPr>
                <w:color w:val="000000"/>
                <w:sz w:val="18"/>
                <w:szCs w:val="18"/>
              </w:rPr>
              <w:t xml:space="preserve">Получени лихви от предоставени депозити и </w:t>
            </w:r>
            <w:proofErr w:type="spellStart"/>
            <w:r w:rsidRPr="008E2822">
              <w:rPr>
                <w:color w:val="000000"/>
                <w:sz w:val="18"/>
                <w:szCs w:val="18"/>
              </w:rPr>
              <w:t>репо</w:t>
            </w:r>
            <w:proofErr w:type="spellEnd"/>
            <w:r w:rsidRPr="008E2822">
              <w:rPr>
                <w:color w:val="000000"/>
                <w:sz w:val="18"/>
                <w:szCs w:val="18"/>
              </w:rPr>
              <w:t xml:space="preserve"> сделки с инвестиционна цел</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100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64 </w:t>
            </w:r>
            <w:proofErr w:type="gramEnd"/>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b/>
                <w:bCs/>
                <w:color w:val="000000"/>
                <w:sz w:val="18"/>
                <w:szCs w:val="18"/>
              </w:rPr>
            </w:pPr>
            <w:r w:rsidRPr="008E2822">
              <w:rPr>
                <w:b/>
                <w:bCs/>
                <w:color w:val="000000"/>
                <w:sz w:val="18"/>
                <w:szCs w:val="18"/>
              </w:rPr>
              <w:t>Нетни парични потоци</w:t>
            </w:r>
            <w:proofErr w:type="gramStart"/>
            <w:r w:rsidRPr="008E2822">
              <w:rPr>
                <w:b/>
                <w:bCs/>
                <w:color w:val="000000"/>
                <w:sz w:val="18"/>
                <w:szCs w:val="18"/>
              </w:rPr>
              <w:t xml:space="preserve"> използвани</w:t>
            </w:r>
            <w:proofErr w:type="gramEnd"/>
            <w:r w:rsidRPr="008E2822">
              <w:rPr>
                <w:b/>
                <w:bCs/>
                <w:color w:val="000000"/>
                <w:sz w:val="18"/>
                <w:szCs w:val="18"/>
              </w:rPr>
              <w:t xml:space="preserve"> в инвестиционната дейност</w:t>
            </w:r>
          </w:p>
        </w:tc>
        <w:tc>
          <w:tcPr>
            <w:tcW w:w="118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1 </w:t>
            </w:r>
            <w:proofErr w:type="gramStart"/>
            <w:r w:rsidRPr="008E2822">
              <w:rPr>
                <w:b/>
                <w:bCs/>
                <w:sz w:val="18"/>
                <w:szCs w:val="18"/>
              </w:rPr>
              <w:t xml:space="preserve">077 </w:t>
            </w:r>
            <w:proofErr w:type="gramEnd"/>
          </w:p>
        </w:tc>
        <w:tc>
          <w:tcPr>
            <w:tcW w:w="122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(1 503)</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color w:val="000000"/>
                <w:sz w:val="18"/>
                <w:szCs w:val="18"/>
              </w:rPr>
            </w:pP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noWrap/>
            <w:hideMark/>
          </w:tcPr>
          <w:p w:rsidR="00E060B3" w:rsidRPr="008E2822" w:rsidRDefault="00E060B3" w:rsidP="00E060B3">
            <w:pPr>
              <w:widowControl/>
              <w:jc w:val="left"/>
              <w:rPr>
                <w:b/>
                <w:bCs/>
                <w:color w:val="000000"/>
                <w:sz w:val="18"/>
                <w:szCs w:val="18"/>
              </w:rPr>
            </w:pPr>
            <w:r w:rsidRPr="008E2822">
              <w:rPr>
                <w:b/>
                <w:bCs/>
                <w:color w:val="000000"/>
                <w:sz w:val="18"/>
                <w:szCs w:val="18"/>
              </w:rPr>
              <w:t>Парични потоци от финансова дейност</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r w:rsidRPr="008E2822">
              <w:rPr>
                <w:sz w:val="18"/>
                <w:szCs w:val="18"/>
              </w:rPr>
              <w:t>Плащания на дивиденти</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w:t>
            </w: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w:t>
            </w:r>
          </w:p>
        </w:tc>
      </w:tr>
      <w:tr w:rsidR="00E060B3" w:rsidRPr="008E2822" w:rsidTr="00E060B3">
        <w:trPr>
          <w:trHeight w:val="170"/>
          <w:jc w:val="center"/>
        </w:trPr>
        <w:tc>
          <w:tcPr>
            <w:tcW w:w="7700" w:type="dxa"/>
            <w:tcBorders>
              <w:top w:val="nil"/>
              <w:left w:val="nil"/>
              <w:bottom w:val="nil"/>
              <w:right w:val="nil"/>
            </w:tcBorders>
            <w:shd w:val="clear" w:color="auto" w:fill="auto"/>
            <w:hideMark/>
          </w:tcPr>
          <w:p w:rsidR="00E060B3" w:rsidRPr="008E2822" w:rsidRDefault="00E060B3" w:rsidP="00E060B3">
            <w:pPr>
              <w:widowControl/>
              <w:jc w:val="left"/>
              <w:rPr>
                <w:b/>
                <w:bCs/>
                <w:color w:val="000000"/>
                <w:sz w:val="18"/>
                <w:szCs w:val="18"/>
              </w:rPr>
            </w:pPr>
            <w:r w:rsidRPr="008E2822">
              <w:rPr>
                <w:b/>
                <w:bCs/>
                <w:color w:val="000000"/>
                <w:sz w:val="18"/>
                <w:szCs w:val="18"/>
              </w:rPr>
              <w:t>Нетни парични потоци</w:t>
            </w:r>
            <w:proofErr w:type="gramStart"/>
            <w:r w:rsidRPr="008E2822">
              <w:rPr>
                <w:b/>
                <w:bCs/>
                <w:color w:val="000000"/>
                <w:sz w:val="18"/>
                <w:szCs w:val="18"/>
              </w:rPr>
              <w:t xml:space="preserve"> използвани</w:t>
            </w:r>
            <w:proofErr w:type="gramEnd"/>
            <w:r w:rsidRPr="008E2822">
              <w:rPr>
                <w:b/>
                <w:bCs/>
                <w:color w:val="000000"/>
                <w:sz w:val="18"/>
                <w:szCs w:val="18"/>
              </w:rPr>
              <w:t xml:space="preserve"> във финансовата дейност</w:t>
            </w:r>
          </w:p>
        </w:tc>
        <w:tc>
          <w:tcPr>
            <w:tcW w:w="118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(4)</w:t>
            </w:r>
          </w:p>
        </w:tc>
        <w:tc>
          <w:tcPr>
            <w:tcW w:w="1220" w:type="dxa"/>
            <w:tcBorders>
              <w:top w:val="single" w:sz="4" w:space="0" w:color="auto"/>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(4)</w:t>
            </w:r>
          </w:p>
        </w:tc>
      </w:tr>
      <w:tr w:rsidR="00E060B3" w:rsidRPr="008E2822" w:rsidTr="00E060B3">
        <w:trPr>
          <w:trHeight w:val="170"/>
          <w:jc w:val="center"/>
        </w:trPr>
        <w:tc>
          <w:tcPr>
            <w:tcW w:w="77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vAlign w:val="bottom"/>
            <w:hideMark/>
          </w:tcPr>
          <w:p w:rsidR="00E060B3" w:rsidRPr="008E2822" w:rsidRDefault="00E060B3" w:rsidP="00E060B3">
            <w:pPr>
              <w:widowControl/>
              <w:jc w:val="left"/>
              <w:rPr>
                <w:b/>
                <w:bCs/>
                <w:sz w:val="18"/>
                <w:szCs w:val="18"/>
              </w:rPr>
            </w:pPr>
            <w:r w:rsidRPr="008E2822">
              <w:rPr>
                <w:b/>
                <w:bCs/>
                <w:sz w:val="18"/>
                <w:szCs w:val="18"/>
              </w:rPr>
              <w:t xml:space="preserve">Нетно намаление на </w:t>
            </w:r>
            <w:proofErr w:type="gramStart"/>
            <w:r w:rsidRPr="008E2822">
              <w:rPr>
                <w:b/>
                <w:bCs/>
                <w:sz w:val="18"/>
                <w:szCs w:val="18"/>
              </w:rPr>
              <w:t>паричните средства и паричните</w:t>
            </w:r>
            <w:proofErr w:type="gramEnd"/>
            <w:r w:rsidRPr="008E2822">
              <w:rPr>
                <w:b/>
                <w:bCs/>
                <w:sz w:val="18"/>
                <w:szCs w:val="18"/>
              </w:rPr>
              <w:t xml:space="preserve"> еквиваленти</w:t>
            </w:r>
          </w:p>
        </w:tc>
        <w:tc>
          <w:tcPr>
            <w:tcW w:w="118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1 </w:t>
            </w:r>
            <w:proofErr w:type="gramStart"/>
            <w:r w:rsidRPr="008E2822">
              <w:rPr>
                <w:b/>
                <w:bCs/>
                <w:sz w:val="18"/>
                <w:szCs w:val="18"/>
              </w:rPr>
              <w:t xml:space="preserve">474 </w:t>
            </w:r>
            <w:proofErr w:type="gramEnd"/>
          </w:p>
        </w:tc>
        <w:tc>
          <w:tcPr>
            <w:tcW w:w="1220" w:type="dxa"/>
            <w:tcBorders>
              <w:top w:val="nil"/>
              <w:left w:val="nil"/>
              <w:bottom w:val="single" w:sz="4"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(1 428)</w:t>
            </w:r>
          </w:p>
        </w:tc>
      </w:tr>
      <w:tr w:rsidR="00E060B3" w:rsidRPr="008E2822" w:rsidTr="00E060B3">
        <w:trPr>
          <w:trHeight w:val="170"/>
          <w:jc w:val="center"/>
        </w:trPr>
        <w:tc>
          <w:tcPr>
            <w:tcW w:w="77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roofErr w:type="gramStart"/>
            <w:r w:rsidRPr="008E2822">
              <w:rPr>
                <w:sz w:val="18"/>
                <w:szCs w:val="18"/>
              </w:rPr>
              <w:t>Парични средства и парични</w:t>
            </w:r>
            <w:proofErr w:type="gramEnd"/>
            <w:r w:rsidRPr="008E2822">
              <w:rPr>
                <w:sz w:val="18"/>
                <w:szCs w:val="18"/>
              </w:rPr>
              <w:t xml:space="preserve"> еквиваленти на 1 януари</w:t>
            </w: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1 </w:t>
            </w:r>
            <w:proofErr w:type="gramStart"/>
            <w:r w:rsidRPr="008E2822">
              <w:rPr>
                <w:sz w:val="18"/>
                <w:szCs w:val="18"/>
              </w:rPr>
              <w:t xml:space="preserve">616 </w:t>
            </w:r>
            <w:proofErr w:type="gramEnd"/>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r w:rsidRPr="008E2822">
              <w:rPr>
                <w:sz w:val="18"/>
                <w:szCs w:val="18"/>
              </w:rPr>
              <w:t xml:space="preserve"> 4 </w:t>
            </w:r>
            <w:proofErr w:type="gramStart"/>
            <w:r w:rsidRPr="008E2822">
              <w:rPr>
                <w:sz w:val="18"/>
                <w:szCs w:val="18"/>
              </w:rPr>
              <w:t xml:space="preserve">033 </w:t>
            </w:r>
            <w:proofErr w:type="gramEnd"/>
          </w:p>
        </w:tc>
      </w:tr>
      <w:tr w:rsidR="00E060B3" w:rsidRPr="008E2822" w:rsidTr="00E060B3">
        <w:trPr>
          <w:trHeight w:val="170"/>
          <w:jc w:val="center"/>
        </w:trPr>
        <w:tc>
          <w:tcPr>
            <w:tcW w:w="77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18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c>
          <w:tcPr>
            <w:tcW w:w="1220"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7700" w:type="dxa"/>
            <w:tcBorders>
              <w:top w:val="nil"/>
              <w:left w:val="nil"/>
              <w:bottom w:val="nil"/>
              <w:right w:val="nil"/>
            </w:tcBorders>
            <w:shd w:val="clear" w:color="auto" w:fill="auto"/>
            <w:noWrap/>
            <w:vAlign w:val="bottom"/>
            <w:hideMark/>
          </w:tcPr>
          <w:p w:rsidR="00E060B3" w:rsidRPr="008E2822" w:rsidRDefault="00E060B3" w:rsidP="00E060B3">
            <w:pPr>
              <w:widowControl/>
              <w:jc w:val="left"/>
              <w:rPr>
                <w:b/>
                <w:bCs/>
                <w:sz w:val="18"/>
                <w:szCs w:val="18"/>
              </w:rPr>
            </w:pPr>
            <w:proofErr w:type="gramStart"/>
            <w:r w:rsidRPr="008E2822">
              <w:rPr>
                <w:b/>
                <w:bCs/>
                <w:sz w:val="18"/>
                <w:szCs w:val="18"/>
              </w:rPr>
              <w:t>Парични средства и парични</w:t>
            </w:r>
            <w:proofErr w:type="gramEnd"/>
            <w:r w:rsidRPr="008E2822">
              <w:rPr>
                <w:b/>
                <w:bCs/>
                <w:sz w:val="18"/>
                <w:szCs w:val="18"/>
              </w:rPr>
              <w:t xml:space="preserve"> еквиваленти на 30 юни 2013</w:t>
            </w:r>
          </w:p>
        </w:tc>
        <w:tc>
          <w:tcPr>
            <w:tcW w:w="1180" w:type="dxa"/>
            <w:tcBorders>
              <w:top w:val="single" w:sz="4" w:space="0" w:color="auto"/>
              <w:left w:val="nil"/>
              <w:bottom w:val="double" w:sz="6"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3 </w:t>
            </w:r>
            <w:proofErr w:type="gramStart"/>
            <w:r w:rsidRPr="008E2822">
              <w:rPr>
                <w:b/>
                <w:bCs/>
                <w:sz w:val="18"/>
                <w:szCs w:val="18"/>
              </w:rPr>
              <w:t xml:space="preserve">090 </w:t>
            </w:r>
            <w:proofErr w:type="gramEnd"/>
          </w:p>
        </w:tc>
        <w:tc>
          <w:tcPr>
            <w:tcW w:w="1220" w:type="dxa"/>
            <w:tcBorders>
              <w:top w:val="single" w:sz="4" w:space="0" w:color="auto"/>
              <w:left w:val="nil"/>
              <w:bottom w:val="double" w:sz="6" w:space="0" w:color="auto"/>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 xml:space="preserve"> 2 </w:t>
            </w:r>
            <w:proofErr w:type="gramStart"/>
            <w:r w:rsidRPr="008E2822">
              <w:rPr>
                <w:b/>
                <w:bCs/>
                <w:sz w:val="18"/>
                <w:szCs w:val="18"/>
              </w:rPr>
              <w:t xml:space="preserve">605 </w:t>
            </w:r>
            <w:proofErr w:type="gramEnd"/>
          </w:p>
        </w:tc>
      </w:tr>
    </w:tbl>
    <w:p w:rsidR="005C7298" w:rsidRPr="008E2822" w:rsidRDefault="005C7298">
      <w:pPr>
        <w:widowControl/>
        <w:jc w:val="left"/>
        <w:rPr>
          <w:b/>
        </w:rPr>
      </w:pPr>
      <w:r w:rsidRPr="008E2822">
        <w:br w:type="page"/>
      </w:r>
    </w:p>
    <w:tbl>
      <w:tblPr>
        <w:tblW w:w="10519" w:type="dxa"/>
        <w:jc w:val="center"/>
        <w:tblCellMar>
          <w:left w:w="70" w:type="dxa"/>
          <w:right w:w="70" w:type="dxa"/>
        </w:tblCellMar>
        <w:tblLook w:val="04A0" w:firstRow="1" w:lastRow="0" w:firstColumn="1" w:lastColumn="0" w:noHBand="0" w:noVBand="1"/>
      </w:tblPr>
      <w:tblGrid>
        <w:gridCol w:w="3946"/>
        <w:gridCol w:w="1233"/>
        <w:gridCol w:w="1116"/>
        <w:gridCol w:w="1924"/>
        <w:gridCol w:w="1236"/>
        <w:gridCol w:w="1064"/>
      </w:tblGrid>
      <w:tr w:rsidR="00E060B3" w:rsidRPr="008E2822" w:rsidTr="00E060B3">
        <w:trPr>
          <w:trHeight w:val="170"/>
          <w:jc w:val="center"/>
        </w:trPr>
        <w:tc>
          <w:tcPr>
            <w:tcW w:w="8219" w:type="dxa"/>
            <w:gridSpan w:val="4"/>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lastRenderedPageBreak/>
              <w:t>БЪЛГАРСКА ФОНДОВА БОРСА - СОФИЯ АД </w:t>
            </w:r>
          </w:p>
        </w:tc>
        <w:tc>
          <w:tcPr>
            <w:tcW w:w="1236"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 </w:t>
            </w:r>
          </w:p>
        </w:tc>
        <w:tc>
          <w:tcPr>
            <w:tcW w:w="1064" w:type="dxa"/>
            <w:tcBorders>
              <w:top w:val="nil"/>
              <w:left w:val="nil"/>
              <w:bottom w:val="single" w:sz="4" w:space="0" w:color="auto"/>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 </w:t>
            </w:r>
          </w:p>
        </w:tc>
      </w:tr>
      <w:tr w:rsidR="00E060B3" w:rsidRPr="008E2822" w:rsidTr="00E060B3">
        <w:trPr>
          <w:trHeight w:val="170"/>
          <w:jc w:val="center"/>
        </w:trPr>
        <w:tc>
          <w:tcPr>
            <w:tcW w:w="8219" w:type="dxa"/>
            <w:gridSpan w:val="4"/>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b/>
                <w:bCs/>
                <w:sz w:val="18"/>
                <w:szCs w:val="18"/>
              </w:rPr>
              <w:t>ОТЧЕТ ЗА ПРОМЕНИТЕ В СОБСТВЕНИЯ КАПИТАЛ</w:t>
            </w:r>
            <w:r w:rsidRPr="008E2822">
              <w:rPr>
                <w:sz w:val="18"/>
                <w:szCs w:val="18"/>
              </w:rPr>
              <w:t> </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w:t>
            </w: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w:t>
            </w:r>
          </w:p>
        </w:tc>
      </w:tr>
      <w:tr w:rsidR="00E060B3" w:rsidRPr="008E2822" w:rsidTr="00E060B3">
        <w:trPr>
          <w:trHeight w:val="170"/>
          <w:jc w:val="center"/>
        </w:trPr>
        <w:tc>
          <w:tcPr>
            <w:tcW w:w="8219" w:type="dxa"/>
            <w:gridSpan w:val="4"/>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roofErr w:type="gramStart"/>
            <w:r w:rsidRPr="008E2822">
              <w:rPr>
                <w:b/>
                <w:bCs/>
                <w:color w:val="000000"/>
                <w:sz w:val="18"/>
                <w:szCs w:val="18"/>
              </w:rPr>
              <w:t>за</w:t>
            </w:r>
            <w:proofErr w:type="gramEnd"/>
            <w:r w:rsidRPr="008E2822">
              <w:rPr>
                <w:b/>
                <w:bCs/>
                <w:color w:val="000000"/>
                <w:sz w:val="18"/>
                <w:szCs w:val="18"/>
              </w:rPr>
              <w:t xml:space="preserve"> периода, завършващ на 30 юни 2013 година</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233" w:type="dxa"/>
            <w:tcBorders>
              <w:top w:val="nil"/>
              <w:left w:val="nil"/>
              <w:bottom w:val="nil"/>
              <w:right w:val="nil"/>
            </w:tcBorders>
            <w:shd w:val="clear" w:color="auto" w:fill="auto"/>
            <w:hideMark/>
          </w:tcPr>
          <w:p w:rsidR="00E060B3" w:rsidRPr="008E2822" w:rsidRDefault="00E060B3" w:rsidP="00E060B3">
            <w:pPr>
              <w:widowControl/>
              <w:jc w:val="center"/>
              <w:rPr>
                <w:b/>
                <w:bCs/>
                <w:sz w:val="18"/>
                <w:szCs w:val="18"/>
              </w:rPr>
            </w:pPr>
            <w:r w:rsidRPr="008E2822">
              <w:rPr>
                <w:b/>
                <w:bCs/>
                <w:sz w:val="18"/>
                <w:szCs w:val="18"/>
              </w:rPr>
              <w:t>Основен акционерен капитал</w:t>
            </w:r>
          </w:p>
        </w:tc>
        <w:tc>
          <w:tcPr>
            <w:tcW w:w="1116" w:type="dxa"/>
            <w:tcBorders>
              <w:top w:val="nil"/>
              <w:left w:val="nil"/>
              <w:bottom w:val="nil"/>
              <w:right w:val="nil"/>
            </w:tcBorders>
            <w:shd w:val="clear" w:color="auto" w:fill="auto"/>
            <w:hideMark/>
          </w:tcPr>
          <w:p w:rsidR="00E060B3" w:rsidRPr="008E2822" w:rsidRDefault="00E060B3" w:rsidP="00E060B3">
            <w:pPr>
              <w:widowControl/>
              <w:jc w:val="center"/>
              <w:rPr>
                <w:b/>
                <w:bCs/>
                <w:sz w:val="18"/>
                <w:szCs w:val="18"/>
              </w:rPr>
            </w:pPr>
            <w:r w:rsidRPr="008E2822">
              <w:rPr>
                <w:b/>
                <w:bCs/>
                <w:sz w:val="18"/>
                <w:szCs w:val="18"/>
              </w:rPr>
              <w:t>Други резерви</w:t>
            </w:r>
          </w:p>
        </w:tc>
        <w:tc>
          <w:tcPr>
            <w:tcW w:w="1924" w:type="dxa"/>
            <w:tcBorders>
              <w:top w:val="nil"/>
              <w:left w:val="nil"/>
              <w:bottom w:val="nil"/>
              <w:right w:val="nil"/>
            </w:tcBorders>
            <w:shd w:val="clear" w:color="auto" w:fill="auto"/>
            <w:hideMark/>
          </w:tcPr>
          <w:p w:rsidR="00E060B3" w:rsidRPr="008E2822" w:rsidRDefault="00E060B3" w:rsidP="00E060B3">
            <w:pPr>
              <w:widowControl/>
              <w:jc w:val="center"/>
              <w:rPr>
                <w:b/>
                <w:bCs/>
                <w:sz w:val="18"/>
                <w:szCs w:val="18"/>
              </w:rPr>
            </w:pPr>
            <w:r w:rsidRPr="008E2822">
              <w:rPr>
                <w:b/>
                <w:bCs/>
                <w:sz w:val="18"/>
                <w:szCs w:val="18"/>
              </w:rPr>
              <w:t>Резерв по финансови активи на разположение за продажба</w:t>
            </w:r>
          </w:p>
        </w:tc>
        <w:tc>
          <w:tcPr>
            <w:tcW w:w="1236" w:type="dxa"/>
            <w:tcBorders>
              <w:top w:val="nil"/>
              <w:left w:val="nil"/>
              <w:bottom w:val="nil"/>
              <w:right w:val="nil"/>
            </w:tcBorders>
            <w:shd w:val="clear" w:color="auto" w:fill="auto"/>
            <w:hideMark/>
          </w:tcPr>
          <w:p w:rsidR="00E060B3" w:rsidRPr="008E2822" w:rsidRDefault="00E060B3" w:rsidP="00E060B3">
            <w:pPr>
              <w:widowControl/>
              <w:jc w:val="center"/>
              <w:rPr>
                <w:b/>
                <w:bCs/>
                <w:sz w:val="18"/>
                <w:szCs w:val="18"/>
              </w:rPr>
            </w:pPr>
            <w:r w:rsidRPr="008E2822">
              <w:rPr>
                <w:b/>
                <w:bCs/>
                <w:sz w:val="18"/>
                <w:szCs w:val="18"/>
              </w:rPr>
              <w:t>Натрупани печалби и загуби</w:t>
            </w:r>
          </w:p>
        </w:tc>
        <w:tc>
          <w:tcPr>
            <w:tcW w:w="1064" w:type="dxa"/>
            <w:tcBorders>
              <w:top w:val="nil"/>
              <w:left w:val="nil"/>
              <w:bottom w:val="nil"/>
              <w:right w:val="nil"/>
            </w:tcBorders>
            <w:shd w:val="clear" w:color="auto" w:fill="auto"/>
            <w:hideMark/>
          </w:tcPr>
          <w:p w:rsidR="00E060B3" w:rsidRPr="008E2822" w:rsidRDefault="00E060B3" w:rsidP="00E060B3">
            <w:pPr>
              <w:widowControl/>
              <w:jc w:val="center"/>
              <w:rPr>
                <w:b/>
                <w:bCs/>
                <w:sz w:val="18"/>
                <w:szCs w:val="18"/>
              </w:rPr>
            </w:pPr>
            <w:r w:rsidRPr="008E2822">
              <w:rPr>
                <w:b/>
                <w:bCs/>
                <w:sz w:val="18"/>
                <w:szCs w:val="18"/>
              </w:rPr>
              <w:t>Общо собствен капитал</w:t>
            </w:r>
          </w:p>
        </w:tc>
      </w:tr>
      <w:tr w:rsidR="00E060B3" w:rsidRPr="008E2822" w:rsidTr="00E060B3">
        <w:trPr>
          <w:trHeight w:val="170"/>
          <w:jc w:val="center"/>
        </w:trPr>
        <w:tc>
          <w:tcPr>
            <w:tcW w:w="3946"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233"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BGN '000</w:t>
            </w:r>
          </w:p>
        </w:tc>
        <w:tc>
          <w:tcPr>
            <w:tcW w:w="1116"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BGN '000</w:t>
            </w:r>
          </w:p>
        </w:tc>
        <w:tc>
          <w:tcPr>
            <w:tcW w:w="1924"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BGN '000</w:t>
            </w:r>
          </w:p>
        </w:tc>
        <w:tc>
          <w:tcPr>
            <w:tcW w:w="1236"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BGN '000</w:t>
            </w:r>
          </w:p>
        </w:tc>
        <w:tc>
          <w:tcPr>
            <w:tcW w:w="1064"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sz w:val="18"/>
                <w:szCs w:val="18"/>
              </w:rPr>
            </w:pPr>
            <w:r w:rsidRPr="008E2822">
              <w:rPr>
                <w:b/>
                <w:bCs/>
                <w:sz w:val="18"/>
                <w:szCs w:val="18"/>
              </w:rPr>
              <w:t>BGN '000</w:t>
            </w:r>
          </w:p>
        </w:tc>
      </w:tr>
      <w:tr w:rsidR="00E060B3" w:rsidRPr="008E2822" w:rsidTr="00E060B3">
        <w:trPr>
          <w:trHeight w:val="170"/>
          <w:jc w:val="center"/>
        </w:trPr>
        <w:tc>
          <w:tcPr>
            <w:tcW w:w="3946" w:type="dxa"/>
            <w:tcBorders>
              <w:top w:val="nil"/>
              <w:left w:val="nil"/>
              <w:bottom w:val="nil"/>
              <w:right w:val="nil"/>
            </w:tcBorders>
            <w:shd w:val="clear" w:color="auto" w:fill="auto"/>
            <w:noWrap/>
            <w:vAlign w:val="bottom"/>
            <w:hideMark/>
          </w:tcPr>
          <w:p w:rsidR="00E060B3" w:rsidRPr="008E2822" w:rsidRDefault="00E060B3" w:rsidP="00E060B3">
            <w:pPr>
              <w:widowControl/>
              <w:jc w:val="left"/>
              <w:rPr>
                <w:sz w:val="18"/>
                <w:szCs w:val="18"/>
              </w:rPr>
            </w:pPr>
          </w:p>
        </w:tc>
        <w:tc>
          <w:tcPr>
            <w:tcW w:w="1233"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i/>
                <w:iCs/>
                <w:sz w:val="18"/>
                <w:szCs w:val="18"/>
              </w:rPr>
            </w:pPr>
          </w:p>
        </w:tc>
        <w:tc>
          <w:tcPr>
            <w:tcW w:w="1116"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i/>
                <w:iCs/>
                <w:sz w:val="18"/>
                <w:szCs w:val="18"/>
              </w:rPr>
            </w:pPr>
          </w:p>
        </w:tc>
        <w:tc>
          <w:tcPr>
            <w:tcW w:w="1924"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i/>
                <w:iCs/>
                <w:sz w:val="18"/>
                <w:szCs w:val="18"/>
              </w:rPr>
            </w:pPr>
          </w:p>
        </w:tc>
        <w:tc>
          <w:tcPr>
            <w:tcW w:w="1236"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i/>
                <w:iCs/>
                <w:sz w:val="18"/>
                <w:szCs w:val="18"/>
              </w:rPr>
            </w:pPr>
          </w:p>
        </w:tc>
        <w:tc>
          <w:tcPr>
            <w:tcW w:w="1064" w:type="dxa"/>
            <w:tcBorders>
              <w:top w:val="nil"/>
              <w:left w:val="nil"/>
              <w:bottom w:val="nil"/>
              <w:right w:val="nil"/>
            </w:tcBorders>
            <w:shd w:val="clear" w:color="auto" w:fill="auto"/>
            <w:noWrap/>
            <w:vAlign w:val="bottom"/>
            <w:hideMark/>
          </w:tcPr>
          <w:p w:rsidR="00E060B3" w:rsidRPr="008E2822" w:rsidRDefault="00E060B3" w:rsidP="00E060B3">
            <w:pPr>
              <w:widowControl/>
              <w:jc w:val="right"/>
              <w:rPr>
                <w:b/>
                <w:bCs/>
                <w:i/>
                <w:iCs/>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bottom"/>
            <w:hideMark/>
          </w:tcPr>
          <w:p w:rsidR="00E060B3" w:rsidRPr="008E2822" w:rsidRDefault="00E060B3" w:rsidP="00E060B3">
            <w:pPr>
              <w:widowControl/>
              <w:jc w:val="left"/>
              <w:rPr>
                <w:color w:val="000000"/>
                <w:sz w:val="18"/>
                <w:szCs w:val="18"/>
              </w:rPr>
            </w:pPr>
          </w:p>
          <w:p w:rsidR="00E060B3" w:rsidRPr="008E2822" w:rsidRDefault="00E060B3" w:rsidP="00E060B3">
            <w:pPr>
              <w:widowControl/>
              <w:jc w:val="left"/>
              <w:rPr>
                <w:color w:val="000000"/>
                <w:sz w:val="18"/>
                <w:szCs w:val="18"/>
              </w:rPr>
            </w:pPr>
            <w:r w:rsidRPr="008E2822">
              <w:rPr>
                <w:b/>
                <w:bCs/>
                <w:sz w:val="18"/>
                <w:szCs w:val="18"/>
              </w:rPr>
              <w:t>Салдо на 1 януари 2012 година</w:t>
            </w:r>
          </w:p>
        </w:tc>
        <w:tc>
          <w:tcPr>
            <w:tcW w:w="1233"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6 </w:t>
            </w:r>
            <w:proofErr w:type="gramStart"/>
            <w:r w:rsidRPr="008E2822">
              <w:rPr>
                <w:b/>
                <w:bCs/>
                <w:sz w:val="18"/>
                <w:szCs w:val="18"/>
              </w:rPr>
              <w:t xml:space="preserve">583 </w:t>
            </w:r>
            <w:proofErr w:type="gramEnd"/>
          </w:p>
        </w:tc>
        <w:tc>
          <w:tcPr>
            <w:tcW w:w="1116"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3 </w:t>
            </w:r>
            <w:proofErr w:type="gramStart"/>
            <w:r w:rsidRPr="008E2822">
              <w:rPr>
                <w:b/>
                <w:bCs/>
                <w:sz w:val="18"/>
                <w:szCs w:val="18"/>
              </w:rPr>
              <w:t xml:space="preserve">385 </w:t>
            </w:r>
            <w:proofErr w:type="gramEnd"/>
          </w:p>
        </w:tc>
        <w:tc>
          <w:tcPr>
            <w:tcW w:w="1924"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w:t>
            </w:r>
            <w:proofErr w:type="gramEnd"/>
            <w:r w:rsidRPr="008E2822">
              <w:rPr>
                <w:b/>
                <w:bCs/>
                <w:sz w:val="18"/>
                <w:szCs w:val="18"/>
              </w:rPr>
              <w:t xml:space="preserve"> </w:t>
            </w:r>
          </w:p>
        </w:tc>
        <w:tc>
          <w:tcPr>
            <w:tcW w:w="1236"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314 </w:t>
            </w:r>
            <w:proofErr w:type="gramEnd"/>
          </w:p>
        </w:tc>
        <w:tc>
          <w:tcPr>
            <w:tcW w:w="1064"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10 </w:t>
            </w:r>
            <w:proofErr w:type="gramStart"/>
            <w:r w:rsidRPr="008E2822">
              <w:rPr>
                <w:b/>
                <w:bCs/>
                <w:sz w:val="18"/>
                <w:szCs w:val="18"/>
              </w:rPr>
              <w:t xml:space="preserve">282 </w:t>
            </w:r>
            <w:proofErr w:type="gramEnd"/>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E548FB" w:rsidRDefault="00E060B3" w:rsidP="00E548FB">
            <w:pPr>
              <w:widowControl/>
              <w:jc w:val="left"/>
              <w:rPr>
                <w:b/>
                <w:bCs/>
                <w:i/>
                <w:iCs/>
                <w:sz w:val="18"/>
                <w:szCs w:val="18"/>
              </w:rPr>
            </w:pPr>
            <w:r w:rsidRPr="00E548FB">
              <w:rPr>
                <w:b/>
                <w:bCs/>
                <w:i/>
                <w:iCs/>
                <w:sz w:val="18"/>
                <w:szCs w:val="18"/>
              </w:rPr>
              <w:t>Промени в собствения капитал за 201</w:t>
            </w:r>
            <w:r w:rsidR="00E548FB" w:rsidRPr="00E548FB">
              <w:rPr>
                <w:b/>
                <w:bCs/>
                <w:i/>
                <w:iCs/>
                <w:sz w:val="18"/>
                <w:szCs w:val="18"/>
                <w:lang w:val="en-US"/>
              </w:rPr>
              <w:t>2</w:t>
            </w:r>
            <w:r w:rsidRPr="00E548FB">
              <w:rPr>
                <w:b/>
                <w:bCs/>
                <w:i/>
                <w:iCs/>
                <w:sz w:val="18"/>
                <w:szCs w:val="18"/>
              </w:rPr>
              <w:t xml:space="preserve"> г.</w:t>
            </w: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xml:space="preserve">Разпределение на печалбата </w:t>
            </w:r>
            <w:proofErr w:type="gramStart"/>
            <w:r w:rsidRPr="008E2822">
              <w:rPr>
                <w:sz w:val="18"/>
                <w:szCs w:val="18"/>
              </w:rPr>
              <w:t xml:space="preserve">за: </w:t>
            </w:r>
            <w:proofErr w:type="gramEnd"/>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(314)</w:t>
            </w: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(314)</w:t>
            </w: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i/>
                <w:iCs/>
                <w:sz w:val="18"/>
                <w:szCs w:val="18"/>
              </w:rPr>
            </w:pPr>
            <w:r w:rsidRPr="008E2822">
              <w:rPr>
                <w:i/>
                <w:iCs/>
                <w:sz w:val="18"/>
                <w:szCs w:val="18"/>
              </w:rPr>
              <w:t xml:space="preserve"> * </w:t>
            </w:r>
            <w:proofErr w:type="gramStart"/>
            <w:r w:rsidRPr="008E2822">
              <w:rPr>
                <w:i/>
                <w:iCs/>
                <w:sz w:val="18"/>
                <w:szCs w:val="18"/>
              </w:rPr>
              <w:t>дивиденти</w:t>
            </w:r>
            <w:proofErr w:type="gramEnd"/>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(314)</w:t>
            </w: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(314)</w:t>
            </w: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Общ всеобхватен доход за годината</w:t>
            </w: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177 </w:t>
            </w:r>
            <w:proofErr w:type="gramEnd"/>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603 </w:t>
            </w:r>
            <w:proofErr w:type="gramEnd"/>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780 </w:t>
            </w:r>
            <w:proofErr w:type="gramEnd"/>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Салдо на 31 декември 2012 година</w:t>
            </w:r>
          </w:p>
        </w:tc>
        <w:tc>
          <w:tcPr>
            <w:tcW w:w="1233"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6 </w:t>
            </w:r>
            <w:proofErr w:type="gramStart"/>
            <w:r w:rsidRPr="008E2822">
              <w:rPr>
                <w:b/>
                <w:bCs/>
                <w:sz w:val="18"/>
                <w:szCs w:val="18"/>
              </w:rPr>
              <w:t xml:space="preserve">583 </w:t>
            </w:r>
            <w:proofErr w:type="gramEnd"/>
          </w:p>
        </w:tc>
        <w:tc>
          <w:tcPr>
            <w:tcW w:w="1116"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3 </w:t>
            </w:r>
            <w:proofErr w:type="gramStart"/>
            <w:r w:rsidRPr="008E2822">
              <w:rPr>
                <w:b/>
                <w:bCs/>
                <w:sz w:val="18"/>
                <w:szCs w:val="18"/>
              </w:rPr>
              <w:t xml:space="preserve">385 </w:t>
            </w:r>
            <w:proofErr w:type="gramEnd"/>
          </w:p>
        </w:tc>
        <w:tc>
          <w:tcPr>
            <w:tcW w:w="1924"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177 </w:t>
            </w:r>
            <w:proofErr w:type="gramEnd"/>
          </w:p>
        </w:tc>
        <w:tc>
          <w:tcPr>
            <w:tcW w:w="1236"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603 </w:t>
            </w:r>
            <w:proofErr w:type="gramEnd"/>
          </w:p>
        </w:tc>
        <w:tc>
          <w:tcPr>
            <w:tcW w:w="1064"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10 </w:t>
            </w:r>
            <w:proofErr w:type="gramStart"/>
            <w:r w:rsidRPr="008E2822">
              <w:rPr>
                <w:b/>
                <w:bCs/>
                <w:sz w:val="18"/>
                <w:szCs w:val="18"/>
              </w:rPr>
              <w:t xml:space="preserve">748 </w:t>
            </w:r>
            <w:proofErr w:type="gramEnd"/>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tcPr>
          <w:p w:rsidR="00E060B3" w:rsidRPr="008E2822" w:rsidRDefault="00E060B3" w:rsidP="00E060B3">
            <w:pPr>
              <w:widowControl/>
              <w:jc w:val="left"/>
              <w:rPr>
                <w:b/>
                <w:bCs/>
                <w:sz w:val="18"/>
                <w:szCs w:val="18"/>
              </w:rPr>
            </w:pPr>
          </w:p>
        </w:tc>
        <w:tc>
          <w:tcPr>
            <w:tcW w:w="1233" w:type="dxa"/>
            <w:tcBorders>
              <w:top w:val="nil"/>
              <w:left w:val="nil"/>
              <w:bottom w:val="nil"/>
              <w:right w:val="nil"/>
            </w:tcBorders>
            <w:shd w:val="clear" w:color="auto" w:fill="auto"/>
            <w:noWrap/>
            <w:vAlign w:val="center"/>
          </w:tcPr>
          <w:p w:rsidR="00E060B3" w:rsidRPr="008E2822" w:rsidRDefault="00E060B3" w:rsidP="00E060B3">
            <w:pPr>
              <w:widowControl/>
              <w:jc w:val="right"/>
              <w:rPr>
                <w:b/>
                <w:bCs/>
                <w:sz w:val="18"/>
                <w:szCs w:val="18"/>
              </w:rPr>
            </w:pPr>
          </w:p>
        </w:tc>
        <w:tc>
          <w:tcPr>
            <w:tcW w:w="1116" w:type="dxa"/>
            <w:tcBorders>
              <w:top w:val="nil"/>
              <w:left w:val="nil"/>
              <w:bottom w:val="nil"/>
              <w:right w:val="nil"/>
            </w:tcBorders>
            <w:shd w:val="clear" w:color="auto" w:fill="auto"/>
            <w:noWrap/>
            <w:vAlign w:val="center"/>
          </w:tcPr>
          <w:p w:rsidR="00E060B3" w:rsidRPr="008E2822" w:rsidRDefault="00E060B3" w:rsidP="00E060B3">
            <w:pPr>
              <w:widowControl/>
              <w:jc w:val="right"/>
              <w:rPr>
                <w:b/>
                <w:bCs/>
                <w:sz w:val="18"/>
                <w:szCs w:val="18"/>
              </w:rPr>
            </w:pPr>
          </w:p>
        </w:tc>
        <w:tc>
          <w:tcPr>
            <w:tcW w:w="1924" w:type="dxa"/>
            <w:tcBorders>
              <w:top w:val="nil"/>
              <w:left w:val="nil"/>
              <w:bottom w:val="nil"/>
              <w:right w:val="nil"/>
            </w:tcBorders>
            <w:shd w:val="clear" w:color="auto" w:fill="auto"/>
            <w:noWrap/>
            <w:vAlign w:val="center"/>
          </w:tcPr>
          <w:p w:rsidR="00E060B3" w:rsidRPr="008E2822" w:rsidRDefault="00E060B3" w:rsidP="00E060B3">
            <w:pPr>
              <w:widowControl/>
              <w:jc w:val="right"/>
              <w:rPr>
                <w:b/>
                <w:bCs/>
                <w:sz w:val="18"/>
                <w:szCs w:val="18"/>
              </w:rPr>
            </w:pPr>
          </w:p>
        </w:tc>
        <w:tc>
          <w:tcPr>
            <w:tcW w:w="1236" w:type="dxa"/>
            <w:tcBorders>
              <w:top w:val="nil"/>
              <w:left w:val="nil"/>
              <w:bottom w:val="nil"/>
              <w:right w:val="nil"/>
            </w:tcBorders>
            <w:shd w:val="clear" w:color="auto" w:fill="auto"/>
            <w:noWrap/>
            <w:vAlign w:val="center"/>
          </w:tcPr>
          <w:p w:rsidR="00E060B3" w:rsidRPr="008E2822" w:rsidRDefault="00E060B3" w:rsidP="00E060B3">
            <w:pPr>
              <w:widowControl/>
              <w:jc w:val="right"/>
              <w:rPr>
                <w:b/>
                <w:bCs/>
                <w:sz w:val="18"/>
                <w:szCs w:val="18"/>
              </w:rPr>
            </w:pPr>
          </w:p>
        </w:tc>
        <w:tc>
          <w:tcPr>
            <w:tcW w:w="1064" w:type="dxa"/>
            <w:tcBorders>
              <w:top w:val="nil"/>
              <w:left w:val="nil"/>
              <w:bottom w:val="nil"/>
              <w:right w:val="nil"/>
            </w:tcBorders>
            <w:shd w:val="clear" w:color="auto" w:fill="auto"/>
            <w:noWrap/>
            <w:vAlign w:val="center"/>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8219" w:type="dxa"/>
            <w:gridSpan w:val="4"/>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i/>
                <w:iCs/>
                <w:sz w:val="18"/>
                <w:szCs w:val="18"/>
              </w:rPr>
              <w:t>Промени в собствения капитал към 30 юни 2013 година</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b/>
                <w:bCs/>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tcPr>
          <w:p w:rsidR="00E060B3" w:rsidRPr="008E2822" w:rsidRDefault="00E060B3" w:rsidP="00E060B3">
            <w:pPr>
              <w:widowControl/>
              <w:jc w:val="left"/>
              <w:rPr>
                <w:sz w:val="18"/>
                <w:szCs w:val="18"/>
              </w:rPr>
            </w:pPr>
          </w:p>
        </w:tc>
        <w:tc>
          <w:tcPr>
            <w:tcW w:w="1233" w:type="dxa"/>
            <w:tcBorders>
              <w:top w:val="nil"/>
              <w:left w:val="nil"/>
              <w:bottom w:val="nil"/>
              <w:right w:val="nil"/>
            </w:tcBorders>
            <w:shd w:val="clear" w:color="auto" w:fill="auto"/>
            <w:noWrap/>
            <w:vAlign w:val="center"/>
          </w:tcPr>
          <w:p w:rsidR="00E060B3" w:rsidRPr="008E2822" w:rsidRDefault="00E060B3" w:rsidP="00E060B3">
            <w:pPr>
              <w:widowControl/>
              <w:jc w:val="right"/>
              <w:rPr>
                <w:sz w:val="18"/>
                <w:szCs w:val="18"/>
              </w:rPr>
            </w:pPr>
          </w:p>
        </w:tc>
        <w:tc>
          <w:tcPr>
            <w:tcW w:w="1116" w:type="dxa"/>
            <w:tcBorders>
              <w:top w:val="nil"/>
              <w:left w:val="nil"/>
              <w:bottom w:val="nil"/>
              <w:right w:val="nil"/>
            </w:tcBorders>
            <w:shd w:val="clear" w:color="auto" w:fill="auto"/>
            <w:noWrap/>
            <w:vAlign w:val="center"/>
          </w:tcPr>
          <w:p w:rsidR="00E060B3" w:rsidRPr="008E2822" w:rsidRDefault="00E060B3" w:rsidP="00E060B3">
            <w:pPr>
              <w:widowControl/>
              <w:jc w:val="right"/>
              <w:rPr>
                <w:sz w:val="18"/>
                <w:szCs w:val="18"/>
              </w:rPr>
            </w:pPr>
          </w:p>
        </w:tc>
        <w:tc>
          <w:tcPr>
            <w:tcW w:w="1924" w:type="dxa"/>
            <w:tcBorders>
              <w:top w:val="nil"/>
              <w:left w:val="nil"/>
              <w:bottom w:val="nil"/>
              <w:right w:val="nil"/>
            </w:tcBorders>
            <w:shd w:val="clear" w:color="auto" w:fill="auto"/>
            <w:noWrap/>
            <w:vAlign w:val="center"/>
          </w:tcPr>
          <w:p w:rsidR="00E060B3" w:rsidRPr="008E2822" w:rsidRDefault="00E060B3" w:rsidP="00E060B3">
            <w:pPr>
              <w:widowControl/>
              <w:jc w:val="right"/>
              <w:rPr>
                <w:sz w:val="18"/>
                <w:szCs w:val="18"/>
              </w:rPr>
            </w:pPr>
          </w:p>
        </w:tc>
        <w:tc>
          <w:tcPr>
            <w:tcW w:w="1236" w:type="dxa"/>
            <w:tcBorders>
              <w:top w:val="nil"/>
              <w:left w:val="nil"/>
              <w:bottom w:val="nil"/>
              <w:right w:val="nil"/>
            </w:tcBorders>
            <w:shd w:val="clear" w:color="auto" w:fill="auto"/>
            <w:noWrap/>
            <w:vAlign w:val="center"/>
          </w:tcPr>
          <w:p w:rsidR="00E060B3" w:rsidRPr="008E2822" w:rsidRDefault="00E060B3" w:rsidP="00E060B3">
            <w:pPr>
              <w:widowControl/>
              <w:jc w:val="right"/>
              <w:rPr>
                <w:sz w:val="18"/>
                <w:szCs w:val="18"/>
              </w:rPr>
            </w:pPr>
          </w:p>
        </w:tc>
        <w:tc>
          <w:tcPr>
            <w:tcW w:w="1064" w:type="dxa"/>
            <w:tcBorders>
              <w:top w:val="nil"/>
              <w:left w:val="nil"/>
              <w:bottom w:val="nil"/>
              <w:right w:val="nil"/>
            </w:tcBorders>
            <w:shd w:val="clear" w:color="auto" w:fill="auto"/>
            <w:noWrap/>
            <w:vAlign w:val="center"/>
          </w:tcPr>
          <w:p w:rsidR="00E060B3" w:rsidRPr="008E2822" w:rsidRDefault="00E060B3" w:rsidP="00E060B3">
            <w:pPr>
              <w:widowControl/>
              <w:jc w:val="right"/>
              <w:rPr>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 xml:space="preserve">Разпределение на печалбата </w:t>
            </w:r>
            <w:proofErr w:type="gramStart"/>
            <w:r w:rsidRPr="008E2822">
              <w:rPr>
                <w:sz w:val="18"/>
                <w:szCs w:val="18"/>
              </w:rPr>
              <w:t xml:space="preserve">за: </w:t>
            </w:r>
            <w:proofErr w:type="gramEnd"/>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121 </w:t>
            </w:r>
            <w:proofErr w:type="gramEnd"/>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(121)</w:t>
            </w: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i/>
                <w:iCs/>
                <w:sz w:val="18"/>
                <w:szCs w:val="18"/>
              </w:rPr>
            </w:pPr>
            <w:r w:rsidRPr="008E2822">
              <w:rPr>
                <w:i/>
                <w:iCs/>
                <w:sz w:val="18"/>
                <w:szCs w:val="18"/>
              </w:rPr>
              <w:t xml:space="preserve"> * </w:t>
            </w:r>
            <w:proofErr w:type="gramStart"/>
            <w:r w:rsidRPr="008E2822">
              <w:rPr>
                <w:i/>
                <w:iCs/>
                <w:sz w:val="18"/>
                <w:szCs w:val="18"/>
              </w:rPr>
              <w:t>дивиденти</w:t>
            </w:r>
            <w:proofErr w:type="gramEnd"/>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i/>
                <w:iCs/>
                <w:sz w:val="18"/>
                <w:szCs w:val="18"/>
              </w:rPr>
            </w:pPr>
            <w:r w:rsidRPr="008E2822">
              <w:rPr>
                <w:i/>
                <w:iCs/>
                <w:sz w:val="18"/>
                <w:szCs w:val="18"/>
              </w:rPr>
              <w:t xml:space="preserve"> </w:t>
            </w:r>
            <w:proofErr w:type="gramStart"/>
            <w:r w:rsidRPr="008E2822">
              <w:rPr>
                <w:i/>
                <w:iCs/>
                <w:sz w:val="18"/>
                <w:szCs w:val="18"/>
              </w:rPr>
              <w:t>-</w:t>
            </w:r>
            <w:proofErr w:type="gramEnd"/>
            <w:r w:rsidRPr="008E2822">
              <w:rPr>
                <w:i/>
                <w:iCs/>
                <w:sz w:val="18"/>
                <w:szCs w:val="18"/>
              </w:rPr>
              <w:t xml:space="preserve"> </w:t>
            </w: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i/>
                <w:iCs/>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i/>
                <w:iCs/>
                <w:sz w:val="18"/>
                <w:szCs w:val="18"/>
              </w:rPr>
            </w:pPr>
            <w:r w:rsidRPr="008E2822">
              <w:rPr>
                <w:i/>
                <w:iCs/>
                <w:sz w:val="18"/>
                <w:szCs w:val="18"/>
              </w:rPr>
              <w:t xml:space="preserve"> </w:t>
            </w:r>
            <w:proofErr w:type="gramStart"/>
            <w:r w:rsidRPr="008E2822">
              <w:rPr>
                <w:i/>
                <w:iCs/>
                <w:sz w:val="18"/>
                <w:szCs w:val="18"/>
              </w:rPr>
              <w:t>-</w:t>
            </w:r>
            <w:proofErr w:type="gramEnd"/>
            <w:r w:rsidRPr="008E2822">
              <w:rPr>
                <w:i/>
                <w:iCs/>
                <w:sz w:val="18"/>
                <w:szCs w:val="18"/>
              </w:rPr>
              <w:t xml:space="preserve"> </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i/>
                <w:iCs/>
                <w:sz w:val="18"/>
                <w:szCs w:val="18"/>
              </w:rPr>
            </w:pPr>
            <w:r w:rsidRPr="008E2822">
              <w:rPr>
                <w:i/>
                <w:iCs/>
                <w:sz w:val="18"/>
                <w:szCs w:val="18"/>
              </w:rPr>
              <w:t xml:space="preserve"> (482)</w:t>
            </w: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(482)</w:t>
            </w: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r w:rsidRPr="008E2822">
              <w:rPr>
                <w:sz w:val="18"/>
                <w:szCs w:val="18"/>
              </w:rPr>
              <w:t>Общ всеобхватен доход за годината</w:t>
            </w: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w:t>
            </w:r>
            <w:proofErr w:type="gramEnd"/>
            <w:r w:rsidRPr="008E2822">
              <w:rPr>
                <w:sz w:val="18"/>
                <w:szCs w:val="18"/>
              </w:rPr>
              <w:t xml:space="preserve"> </w:t>
            </w: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(49)</w:t>
            </w: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625 </w:t>
            </w:r>
            <w:proofErr w:type="gramEnd"/>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r w:rsidRPr="008E2822">
              <w:rPr>
                <w:sz w:val="18"/>
                <w:szCs w:val="18"/>
              </w:rPr>
              <w:t xml:space="preserve"> </w:t>
            </w:r>
            <w:proofErr w:type="gramStart"/>
            <w:r w:rsidRPr="008E2822">
              <w:rPr>
                <w:sz w:val="18"/>
                <w:szCs w:val="18"/>
              </w:rPr>
              <w:t xml:space="preserve">576 </w:t>
            </w:r>
            <w:proofErr w:type="gramEnd"/>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sz w:val="18"/>
                <w:szCs w:val="18"/>
              </w:rPr>
            </w:pPr>
          </w:p>
        </w:tc>
        <w:tc>
          <w:tcPr>
            <w:tcW w:w="1233"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11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92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236"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c>
          <w:tcPr>
            <w:tcW w:w="1064" w:type="dxa"/>
            <w:tcBorders>
              <w:top w:val="nil"/>
              <w:left w:val="nil"/>
              <w:bottom w:val="nil"/>
              <w:right w:val="nil"/>
            </w:tcBorders>
            <w:shd w:val="clear" w:color="auto" w:fill="auto"/>
            <w:noWrap/>
            <w:vAlign w:val="center"/>
            <w:hideMark/>
          </w:tcPr>
          <w:p w:rsidR="00E060B3" w:rsidRPr="008E2822" w:rsidRDefault="00E060B3" w:rsidP="00E060B3">
            <w:pPr>
              <w:widowControl/>
              <w:jc w:val="right"/>
              <w:rPr>
                <w:sz w:val="18"/>
                <w:szCs w:val="18"/>
              </w:rPr>
            </w:pPr>
          </w:p>
        </w:tc>
      </w:tr>
      <w:tr w:rsidR="00E060B3" w:rsidRPr="008E2822" w:rsidTr="00E060B3">
        <w:trPr>
          <w:trHeight w:val="170"/>
          <w:jc w:val="center"/>
        </w:trPr>
        <w:tc>
          <w:tcPr>
            <w:tcW w:w="3946" w:type="dxa"/>
            <w:tcBorders>
              <w:top w:val="nil"/>
              <w:left w:val="nil"/>
              <w:bottom w:val="nil"/>
              <w:right w:val="nil"/>
            </w:tcBorders>
            <w:shd w:val="clear" w:color="auto" w:fill="auto"/>
            <w:noWrap/>
            <w:vAlign w:val="center"/>
            <w:hideMark/>
          </w:tcPr>
          <w:p w:rsidR="00E060B3" w:rsidRPr="008E2822" w:rsidRDefault="00E060B3" w:rsidP="00E060B3">
            <w:pPr>
              <w:widowControl/>
              <w:jc w:val="left"/>
              <w:rPr>
                <w:b/>
                <w:bCs/>
                <w:sz w:val="18"/>
                <w:szCs w:val="18"/>
              </w:rPr>
            </w:pPr>
            <w:r w:rsidRPr="008E2822">
              <w:rPr>
                <w:b/>
                <w:bCs/>
                <w:sz w:val="18"/>
                <w:szCs w:val="18"/>
              </w:rPr>
              <w:t>Салдо на 30 юни 2013 година</w:t>
            </w:r>
          </w:p>
        </w:tc>
        <w:tc>
          <w:tcPr>
            <w:tcW w:w="1233"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6 </w:t>
            </w:r>
            <w:proofErr w:type="gramStart"/>
            <w:r w:rsidRPr="008E2822">
              <w:rPr>
                <w:b/>
                <w:bCs/>
                <w:sz w:val="18"/>
                <w:szCs w:val="18"/>
              </w:rPr>
              <w:t xml:space="preserve">583 </w:t>
            </w:r>
            <w:proofErr w:type="gramEnd"/>
          </w:p>
        </w:tc>
        <w:tc>
          <w:tcPr>
            <w:tcW w:w="1116"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3 </w:t>
            </w:r>
            <w:proofErr w:type="gramStart"/>
            <w:r w:rsidRPr="008E2822">
              <w:rPr>
                <w:b/>
                <w:bCs/>
                <w:sz w:val="18"/>
                <w:szCs w:val="18"/>
              </w:rPr>
              <w:t xml:space="preserve">506 </w:t>
            </w:r>
            <w:proofErr w:type="gramEnd"/>
          </w:p>
        </w:tc>
        <w:tc>
          <w:tcPr>
            <w:tcW w:w="1924"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128 </w:t>
            </w:r>
            <w:proofErr w:type="gramEnd"/>
          </w:p>
        </w:tc>
        <w:tc>
          <w:tcPr>
            <w:tcW w:w="1236"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w:t>
            </w:r>
            <w:proofErr w:type="gramStart"/>
            <w:r w:rsidRPr="008E2822">
              <w:rPr>
                <w:b/>
                <w:bCs/>
                <w:sz w:val="18"/>
                <w:szCs w:val="18"/>
              </w:rPr>
              <w:t xml:space="preserve">625 </w:t>
            </w:r>
            <w:proofErr w:type="gramEnd"/>
          </w:p>
        </w:tc>
        <w:tc>
          <w:tcPr>
            <w:tcW w:w="1064" w:type="dxa"/>
            <w:tcBorders>
              <w:top w:val="single" w:sz="4" w:space="0" w:color="auto"/>
              <w:left w:val="nil"/>
              <w:bottom w:val="double" w:sz="6" w:space="0" w:color="auto"/>
              <w:right w:val="nil"/>
            </w:tcBorders>
            <w:shd w:val="clear" w:color="auto" w:fill="auto"/>
            <w:noWrap/>
            <w:vAlign w:val="center"/>
            <w:hideMark/>
          </w:tcPr>
          <w:p w:rsidR="00E060B3" w:rsidRPr="008E2822" w:rsidRDefault="00E060B3" w:rsidP="00E060B3">
            <w:pPr>
              <w:widowControl/>
              <w:jc w:val="right"/>
              <w:rPr>
                <w:b/>
                <w:bCs/>
                <w:sz w:val="18"/>
                <w:szCs w:val="18"/>
              </w:rPr>
            </w:pPr>
            <w:r w:rsidRPr="008E2822">
              <w:rPr>
                <w:b/>
                <w:bCs/>
                <w:sz w:val="18"/>
                <w:szCs w:val="18"/>
              </w:rPr>
              <w:t xml:space="preserve"> 10 </w:t>
            </w:r>
            <w:proofErr w:type="gramStart"/>
            <w:r w:rsidRPr="008E2822">
              <w:rPr>
                <w:b/>
                <w:bCs/>
                <w:sz w:val="18"/>
                <w:szCs w:val="18"/>
              </w:rPr>
              <w:t xml:space="preserve">842 </w:t>
            </w:r>
            <w:proofErr w:type="gramEnd"/>
          </w:p>
        </w:tc>
      </w:tr>
    </w:tbl>
    <w:p w:rsidR="007C1E73" w:rsidRPr="008E2822" w:rsidRDefault="007C1E73" w:rsidP="00885186"/>
    <w:p w:rsidR="007C1E73" w:rsidRPr="008E2822" w:rsidRDefault="007C1E73" w:rsidP="00572CD0">
      <w:pPr>
        <w:pStyle w:val="a2"/>
        <w:tabs>
          <w:tab w:val="left" w:pos="360"/>
        </w:tabs>
        <w:rPr>
          <w:rStyle w:val="PageNumber"/>
          <w:b/>
          <w:i w:val="0"/>
          <w:sz w:val="22"/>
          <w:szCs w:val="22"/>
        </w:rPr>
      </w:pPr>
      <w:r w:rsidRPr="008E2822">
        <w:rPr>
          <w:rStyle w:val="PageNumber"/>
          <w:b/>
          <w:i w:val="0"/>
          <w:sz w:val="22"/>
          <w:szCs w:val="22"/>
        </w:rPr>
        <w:br w:type="page"/>
      </w:r>
    </w:p>
    <w:p w:rsidR="007C1E73" w:rsidRPr="008E2822" w:rsidRDefault="007C1E73" w:rsidP="00572CD0">
      <w:pPr>
        <w:pStyle w:val="a2"/>
        <w:tabs>
          <w:tab w:val="left" w:pos="360"/>
        </w:tabs>
        <w:rPr>
          <w:rStyle w:val="PageNumber"/>
          <w:b/>
          <w:i w:val="0"/>
          <w:sz w:val="22"/>
          <w:szCs w:val="22"/>
        </w:rPr>
      </w:pPr>
    </w:p>
    <w:p w:rsidR="00745C7D" w:rsidRPr="008E2822" w:rsidRDefault="00745C7D" w:rsidP="008D1E64">
      <w:pPr>
        <w:pStyle w:val="a1"/>
        <w:tabs>
          <w:tab w:val="left" w:pos="360"/>
        </w:tabs>
      </w:pPr>
      <w:proofErr w:type="gramStart"/>
      <w:r w:rsidRPr="008E2822">
        <w:t>Съдържание</w:t>
      </w:r>
      <w:proofErr w:type="gramEnd"/>
    </w:p>
    <w:p w:rsidR="00A92527" w:rsidRDefault="00AD3FDE">
      <w:pPr>
        <w:pStyle w:val="TOC1"/>
        <w:tabs>
          <w:tab w:val="left" w:pos="480"/>
          <w:tab w:val="right" w:leader="dot" w:pos="9211"/>
        </w:tabs>
        <w:rPr>
          <w:rFonts w:asciiTheme="minorHAnsi" w:eastAsiaTheme="minorEastAsia" w:hAnsiTheme="minorHAnsi" w:cstheme="minorBidi"/>
          <w:noProof/>
          <w:szCs w:val="22"/>
        </w:rPr>
      </w:pPr>
      <w:r w:rsidRPr="008E2822">
        <w:fldChar w:fldCharType="begin"/>
      </w:r>
      <w:r w:rsidR="00C0372F" w:rsidRPr="008E2822">
        <w:instrText xml:space="preserve"> TOC \o "1-3" \h \z \u </w:instrText>
      </w:r>
      <w:r w:rsidRPr="008E2822">
        <w:fldChar w:fldCharType="separate"/>
      </w:r>
      <w:hyperlink w:anchor="_Toc362884482" w:history="1">
        <w:r w:rsidR="00A92527" w:rsidRPr="00D9793F">
          <w:rPr>
            <w:rStyle w:val="Hyperlink"/>
            <w:noProof/>
          </w:rPr>
          <w:t>1.</w:t>
        </w:r>
        <w:r w:rsidR="00A92527">
          <w:rPr>
            <w:rFonts w:asciiTheme="minorHAnsi" w:eastAsiaTheme="minorEastAsia" w:hAnsiTheme="minorHAnsi" w:cstheme="minorBidi"/>
            <w:noProof/>
            <w:szCs w:val="22"/>
          </w:rPr>
          <w:tab/>
        </w:r>
        <w:r w:rsidR="00A92527" w:rsidRPr="00D9793F">
          <w:rPr>
            <w:rStyle w:val="Hyperlink"/>
            <w:noProof/>
          </w:rPr>
          <w:t>Въведение</w:t>
        </w:r>
        <w:r w:rsidR="00A92527">
          <w:rPr>
            <w:noProof/>
            <w:webHidden/>
          </w:rPr>
          <w:tab/>
        </w:r>
        <w:r w:rsidR="00A92527">
          <w:rPr>
            <w:noProof/>
            <w:webHidden/>
          </w:rPr>
          <w:fldChar w:fldCharType="begin"/>
        </w:r>
        <w:r w:rsidR="00A92527">
          <w:rPr>
            <w:noProof/>
            <w:webHidden/>
          </w:rPr>
          <w:instrText xml:space="preserve"> PAGEREF _Toc362884482 \h </w:instrText>
        </w:r>
        <w:r w:rsidR="00A92527">
          <w:rPr>
            <w:noProof/>
            <w:webHidden/>
          </w:rPr>
        </w:r>
        <w:r w:rsidR="00A92527">
          <w:rPr>
            <w:noProof/>
            <w:webHidden/>
          </w:rPr>
          <w:fldChar w:fldCharType="separate"/>
        </w:r>
        <w:r w:rsidR="00DF2399">
          <w:rPr>
            <w:noProof/>
            <w:webHidden/>
          </w:rPr>
          <w:t>7</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83" w:history="1">
        <w:r w:rsidR="00A92527" w:rsidRPr="00D9793F">
          <w:rPr>
            <w:rStyle w:val="Hyperlink"/>
            <w:noProof/>
          </w:rPr>
          <w:t>2.</w:t>
        </w:r>
        <w:r w:rsidR="00A92527">
          <w:rPr>
            <w:rFonts w:asciiTheme="minorHAnsi" w:eastAsiaTheme="minorEastAsia" w:hAnsiTheme="minorHAnsi" w:cstheme="minorBidi"/>
            <w:noProof/>
            <w:szCs w:val="22"/>
          </w:rPr>
          <w:tab/>
        </w:r>
        <w:r w:rsidR="00A92527" w:rsidRPr="00D9793F">
          <w:rPr>
            <w:rStyle w:val="Hyperlink"/>
            <w:noProof/>
          </w:rPr>
          <w:t>Данни за търговията на БФБ-София</w:t>
        </w:r>
        <w:r w:rsidR="00A92527">
          <w:rPr>
            <w:noProof/>
            <w:webHidden/>
          </w:rPr>
          <w:tab/>
        </w:r>
        <w:r w:rsidR="00A92527">
          <w:rPr>
            <w:noProof/>
            <w:webHidden/>
          </w:rPr>
          <w:fldChar w:fldCharType="begin"/>
        </w:r>
        <w:r w:rsidR="00A92527">
          <w:rPr>
            <w:noProof/>
            <w:webHidden/>
          </w:rPr>
          <w:instrText xml:space="preserve"> PAGEREF _Toc362884483 \h </w:instrText>
        </w:r>
        <w:r w:rsidR="00A92527">
          <w:rPr>
            <w:noProof/>
            <w:webHidden/>
          </w:rPr>
        </w:r>
        <w:r w:rsidR="00A92527">
          <w:rPr>
            <w:noProof/>
            <w:webHidden/>
          </w:rPr>
          <w:fldChar w:fldCharType="separate"/>
        </w:r>
        <w:r w:rsidR="00DF2399">
          <w:rPr>
            <w:noProof/>
            <w:webHidden/>
          </w:rPr>
          <w:t>8</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484" w:history="1">
        <w:r w:rsidR="00A92527" w:rsidRPr="00D9793F">
          <w:rPr>
            <w:rStyle w:val="Hyperlink"/>
            <w:noProof/>
          </w:rPr>
          <w:t>2.1.</w:t>
        </w:r>
        <w:r w:rsidR="00A92527">
          <w:rPr>
            <w:rFonts w:asciiTheme="minorHAnsi" w:eastAsiaTheme="minorEastAsia" w:hAnsiTheme="minorHAnsi" w:cstheme="minorBidi"/>
            <w:noProof/>
            <w:szCs w:val="22"/>
          </w:rPr>
          <w:tab/>
        </w:r>
        <w:r w:rsidR="00A92527" w:rsidRPr="00D9793F">
          <w:rPr>
            <w:rStyle w:val="Hyperlink"/>
            <w:noProof/>
          </w:rPr>
          <w:t>Оборот, обем, брой сделки</w:t>
        </w:r>
        <w:r w:rsidR="00A92527">
          <w:rPr>
            <w:noProof/>
            <w:webHidden/>
          </w:rPr>
          <w:tab/>
        </w:r>
        <w:r w:rsidR="00A92527">
          <w:rPr>
            <w:noProof/>
            <w:webHidden/>
          </w:rPr>
          <w:fldChar w:fldCharType="begin"/>
        </w:r>
        <w:r w:rsidR="00A92527">
          <w:rPr>
            <w:noProof/>
            <w:webHidden/>
          </w:rPr>
          <w:instrText xml:space="preserve"> PAGEREF _Toc362884484 \h </w:instrText>
        </w:r>
        <w:r w:rsidR="00A92527">
          <w:rPr>
            <w:noProof/>
            <w:webHidden/>
          </w:rPr>
        </w:r>
        <w:r w:rsidR="00A92527">
          <w:rPr>
            <w:noProof/>
            <w:webHidden/>
          </w:rPr>
          <w:fldChar w:fldCharType="separate"/>
        </w:r>
        <w:r w:rsidR="00DF2399">
          <w:rPr>
            <w:noProof/>
            <w:webHidden/>
          </w:rPr>
          <w:t>8</w:t>
        </w:r>
        <w:r w:rsidR="00A92527">
          <w:rPr>
            <w:noProof/>
            <w:webHidden/>
          </w:rPr>
          <w:fldChar w:fldCharType="end"/>
        </w:r>
      </w:hyperlink>
    </w:p>
    <w:p w:rsidR="00A92527" w:rsidRDefault="000003C5">
      <w:pPr>
        <w:pStyle w:val="TOC3"/>
        <w:tabs>
          <w:tab w:val="left" w:pos="1320"/>
          <w:tab w:val="right" w:leader="dot" w:pos="9211"/>
        </w:tabs>
        <w:rPr>
          <w:rFonts w:asciiTheme="minorHAnsi" w:eastAsiaTheme="minorEastAsia" w:hAnsiTheme="minorHAnsi" w:cstheme="minorBidi"/>
          <w:noProof/>
          <w:szCs w:val="22"/>
        </w:rPr>
      </w:pPr>
      <w:hyperlink w:anchor="_Toc362884485" w:history="1">
        <w:r w:rsidR="00A92527" w:rsidRPr="00D9793F">
          <w:rPr>
            <w:rStyle w:val="Hyperlink"/>
            <w:noProof/>
          </w:rPr>
          <w:t>2.1.1.</w:t>
        </w:r>
        <w:r w:rsidR="00A92527">
          <w:rPr>
            <w:rFonts w:asciiTheme="minorHAnsi" w:eastAsiaTheme="minorEastAsia" w:hAnsiTheme="minorHAnsi" w:cstheme="minorBidi"/>
            <w:noProof/>
            <w:szCs w:val="22"/>
          </w:rPr>
          <w:tab/>
        </w:r>
        <w:r w:rsidR="00A92527" w:rsidRPr="00D9793F">
          <w:rPr>
            <w:rStyle w:val="Hyperlink"/>
            <w:noProof/>
          </w:rPr>
          <w:t>Оборот</w:t>
        </w:r>
        <w:r w:rsidR="00A92527">
          <w:rPr>
            <w:noProof/>
            <w:webHidden/>
          </w:rPr>
          <w:tab/>
        </w:r>
        <w:r w:rsidR="00A92527">
          <w:rPr>
            <w:noProof/>
            <w:webHidden/>
          </w:rPr>
          <w:fldChar w:fldCharType="begin"/>
        </w:r>
        <w:r w:rsidR="00A92527">
          <w:rPr>
            <w:noProof/>
            <w:webHidden/>
          </w:rPr>
          <w:instrText xml:space="preserve"> PAGEREF _Toc362884485 \h </w:instrText>
        </w:r>
        <w:r w:rsidR="00A92527">
          <w:rPr>
            <w:noProof/>
            <w:webHidden/>
          </w:rPr>
        </w:r>
        <w:r w:rsidR="00A92527">
          <w:rPr>
            <w:noProof/>
            <w:webHidden/>
          </w:rPr>
          <w:fldChar w:fldCharType="separate"/>
        </w:r>
        <w:r w:rsidR="00DF2399">
          <w:rPr>
            <w:noProof/>
            <w:webHidden/>
          </w:rPr>
          <w:t>8</w:t>
        </w:r>
        <w:r w:rsidR="00A92527">
          <w:rPr>
            <w:noProof/>
            <w:webHidden/>
          </w:rPr>
          <w:fldChar w:fldCharType="end"/>
        </w:r>
      </w:hyperlink>
    </w:p>
    <w:p w:rsidR="00A92527" w:rsidRDefault="000003C5">
      <w:pPr>
        <w:pStyle w:val="TOC3"/>
        <w:tabs>
          <w:tab w:val="left" w:pos="1320"/>
          <w:tab w:val="right" w:leader="dot" w:pos="9211"/>
        </w:tabs>
        <w:rPr>
          <w:rFonts w:asciiTheme="minorHAnsi" w:eastAsiaTheme="minorEastAsia" w:hAnsiTheme="minorHAnsi" w:cstheme="minorBidi"/>
          <w:noProof/>
          <w:szCs w:val="22"/>
        </w:rPr>
      </w:pPr>
      <w:hyperlink w:anchor="_Toc362884486" w:history="1">
        <w:r w:rsidR="00A92527" w:rsidRPr="00D9793F">
          <w:rPr>
            <w:rStyle w:val="Hyperlink"/>
            <w:noProof/>
          </w:rPr>
          <w:t>2.1.2.</w:t>
        </w:r>
        <w:r w:rsidR="00A92527">
          <w:rPr>
            <w:rFonts w:asciiTheme="minorHAnsi" w:eastAsiaTheme="minorEastAsia" w:hAnsiTheme="minorHAnsi" w:cstheme="minorBidi"/>
            <w:noProof/>
            <w:szCs w:val="22"/>
          </w:rPr>
          <w:tab/>
        </w:r>
        <w:r w:rsidR="00A92527" w:rsidRPr="00D9793F">
          <w:rPr>
            <w:rStyle w:val="Hyperlink"/>
            <w:noProof/>
          </w:rPr>
          <w:t>Брой сделки</w:t>
        </w:r>
        <w:bookmarkStart w:id="0" w:name="_GoBack"/>
        <w:bookmarkEnd w:id="0"/>
        <w:r w:rsidR="00A92527">
          <w:rPr>
            <w:noProof/>
            <w:webHidden/>
          </w:rPr>
          <w:tab/>
        </w:r>
        <w:r w:rsidR="00A92527">
          <w:rPr>
            <w:noProof/>
            <w:webHidden/>
          </w:rPr>
          <w:fldChar w:fldCharType="begin"/>
        </w:r>
        <w:r w:rsidR="00A92527">
          <w:rPr>
            <w:noProof/>
            <w:webHidden/>
          </w:rPr>
          <w:instrText xml:space="preserve"> PAGEREF _Toc362884486 \h </w:instrText>
        </w:r>
        <w:r w:rsidR="00A92527">
          <w:rPr>
            <w:noProof/>
            <w:webHidden/>
          </w:rPr>
        </w:r>
        <w:r w:rsidR="00A92527">
          <w:rPr>
            <w:noProof/>
            <w:webHidden/>
          </w:rPr>
          <w:fldChar w:fldCharType="separate"/>
        </w:r>
        <w:r w:rsidR="00DF2399">
          <w:rPr>
            <w:noProof/>
            <w:webHidden/>
          </w:rPr>
          <w:t>9</w:t>
        </w:r>
        <w:r w:rsidR="00A92527">
          <w:rPr>
            <w:noProof/>
            <w:webHidden/>
          </w:rPr>
          <w:fldChar w:fldCharType="end"/>
        </w:r>
      </w:hyperlink>
    </w:p>
    <w:p w:rsidR="00A92527" w:rsidRDefault="000003C5">
      <w:pPr>
        <w:pStyle w:val="TOC3"/>
        <w:tabs>
          <w:tab w:val="left" w:pos="1320"/>
          <w:tab w:val="right" w:leader="dot" w:pos="9211"/>
        </w:tabs>
        <w:rPr>
          <w:rFonts w:asciiTheme="minorHAnsi" w:eastAsiaTheme="minorEastAsia" w:hAnsiTheme="minorHAnsi" w:cstheme="minorBidi"/>
          <w:noProof/>
          <w:szCs w:val="22"/>
        </w:rPr>
      </w:pPr>
      <w:hyperlink w:anchor="_Toc362884487" w:history="1">
        <w:r w:rsidR="00A92527" w:rsidRPr="00D9793F">
          <w:rPr>
            <w:rStyle w:val="Hyperlink"/>
            <w:noProof/>
          </w:rPr>
          <w:t>2.1.3.</w:t>
        </w:r>
        <w:r w:rsidR="00A92527">
          <w:rPr>
            <w:rFonts w:asciiTheme="minorHAnsi" w:eastAsiaTheme="minorEastAsia" w:hAnsiTheme="minorHAnsi" w:cstheme="minorBidi"/>
            <w:noProof/>
            <w:szCs w:val="22"/>
          </w:rPr>
          <w:tab/>
        </w:r>
        <w:r w:rsidR="00A92527" w:rsidRPr="00D9793F">
          <w:rPr>
            <w:rStyle w:val="Hyperlink"/>
            <w:noProof/>
          </w:rPr>
          <w:t>Обем (лотове)</w:t>
        </w:r>
        <w:r w:rsidR="00A92527">
          <w:rPr>
            <w:noProof/>
            <w:webHidden/>
          </w:rPr>
          <w:tab/>
        </w:r>
        <w:r w:rsidR="00A92527">
          <w:rPr>
            <w:noProof/>
            <w:webHidden/>
          </w:rPr>
          <w:fldChar w:fldCharType="begin"/>
        </w:r>
        <w:r w:rsidR="00A92527">
          <w:rPr>
            <w:noProof/>
            <w:webHidden/>
          </w:rPr>
          <w:instrText xml:space="preserve"> PAGEREF _Toc362884487 \h </w:instrText>
        </w:r>
        <w:r w:rsidR="00A92527">
          <w:rPr>
            <w:noProof/>
            <w:webHidden/>
          </w:rPr>
        </w:r>
        <w:r w:rsidR="00A92527">
          <w:rPr>
            <w:noProof/>
            <w:webHidden/>
          </w:rPr>
          <w:fldChar w:fldCharType="separate"/>
        </w:r>
        <w:r w:rsidR="00DF2399">
          <w:rPr>
            <w:noProof/>
            <w:webHidden/>
          </w:rPr>
          <w:t>10</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488" w:history="1">
        <w:r w:rsidR="00A92527" w:rsidRPr="00D9793F">
          <w:rPr>
            <w:rStyle w:val="Hyperlink"/>
            <w:noProof/>
          </w:rPr>
          <w:t>2.2.</w:t>
        </w:r>
        <w:r w:rsidR="00A92527">
          <w:rPr>
            <w:rFonts w:asciiTheme="minorHAnsi" w:eastAsiaTheme="minorEastAsia" w:hAnsiTheme="minorHAnsi" w:cstheme="minorBidi"/>
            <w:noProof/>
            <w:szCs w:val="22"/>
          </w:rPr>
          <w:tab/>
        </w:r>
        <w:r w:rsidR="00A92527" w:rsidRPr="00D9793F">
          <w:rPr>
            <w:rStyle w:val="Hyperlink"/>
            <w:noProof/>
          </w:rPr>
          <w:t>Отраслова структура на търговията</w:t>
        </w:r>
        <w:r w:rsidR="00A92527">
          <w:rPr>
            <w:noProof/>
            <w:webHidden/>
          </w:rPr>
          <w:tab/>
        </w:r>
        <w:r w:rsidR="00A92527">
          <w:rPr>
            <w:noProof/>
            <w:webHidden/>
          </w:rPr>
          <w:fldChar w:fldCharType="begin"/>
        </w:r>
        <w:r w:rsidR="00A92527">
          <w:rPr>
            <w:noProof/>
            <w:webHidden/>
          </w:rPr>
          <w:instrText xml:space="preserve"> PAGEREF _Toc362884488 \h </w:instrText>
        </w:r>
        <w:r w:rsidR="00A92527">
          <w:rPr>
            <w:noProof/>
            <w:webHidden/>
          </w:rPr>
        </w:r>
        <w:r w:rsidR="00A92527">
          <w:rPr>
            <w:noProof/>
            <w:webHidden/>
          </w:rPr>
          <w:fldChar w:fldCharType="separate"/>
        </w:r>
        <w:r w:rsidR="00DF2399">
          <w:rPr>
            <w:noProof/>
            <w:webHidden/>
          </w:rPr>
          <w:t>13</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89" w:history="1">
        <w:r w:rsidR="00A92527" w:rsidRPr="00D9793F">
          <w:rPr>
            <w:rStyle w:val="Hyperlink"/>
            <w:noProof/>
          </w:rPr>
          <w:t>3.</w:t>
        </w:r>
        <w:r w:rsidR="00A92527">
          <w:rPr>
            <w:rFonts w:asciiTheme="minorHAnsi" w:eastAsiaTheme="minorEastAsia" w:hAnsiTheme="minorHAnsi" w:cstheme="minorBidi"/>
            <w:noProof/>
            <w:szCs w:val="22"/>
          </w:rPr>
          <w:tab/>
        </w:r>
        <w:r w:rsidR="00A92527" w:rsidRPr="00D9793F">
          <w:rPr>
            <w:rStyle w:val="Hyperlink"/>
            <w:noProof/>
          </w:rPr>
          <w:t>Регистрирани емисии финансови инструменти на БФБ-София</w:t>
        </w:r>
        <w:r w:rsidR="00A92527">
          <w:rPr>
            <w:noProof/>
            <w:webHidden/>
          </w:rPr>
          <w:tab/>
        </w:r>
        <w:r w:rsidR="00A92527">
          <w:rPr>
            <w:noProof/>
            <w:webHidden/>
          </w:rPr>
          <w:fldChar w:fldCharType="begin"/>
        </w:r>
        <w:r w:rsidR="00A92527">
          <w:rPr>
            <w:noProof/>
            <w:webHidden/>
          </w:rPr>
          <w:instrText xml:space="preserve"> PAGEREF _Toc362884489 \h </w:instrText>
        </w:r>
        <w:r w:rsidR="00A92527">
          <w:rPr>
            <w:noProof/>
            <w:webHidden/>
          </w:rPr>
        </w:r>
        <w:r w:rsidR="00A92527">
          <w:rPr>
            <w:noProof/>
            <w:webHidden/>
          </w:rPr>
          <w:fldChar w:fldCharType="separate"/>
        </w:r>
        <w:r w:rsidR="00DF2399">
          <w:rPr>
            <w:noProof/>
            <w:webHidden/>
          </w:rPr>
          <w:t>14</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90" w:history="1">
        <w:r w:rsidR="00A92527" w:rsidRPr="00D9793F">
          <w:rPr>
            <w:rStyle w:val="Hyperlink"/>
            <w:noProof/>
          </w:rPr>
          <w:t>4.</w:t>
        </w:r>
        <w:r w:rsidR="00A92527">
          <w:rPr>
            <w:rFonts w:asciiTheme="minorHAnsi" w:eastAsiaTheme="minorEastAsia" w:hAnsiTheme="minorHAnsi" w:cstheme="minorBidi"/>
            <w:noProof/>
            <w:szCs w:val="22"/>
          </w:rPr>
          <w:tab/>
        </w:r>
        <w:r w:rsidR="00A92527" w:rsidRPr="00D9793F">
          <w:rPr>
            <w:rStyle w:val="Hyperlink"/>
            <w:noProof/>
          </w:rPr>
          <w:t>Нови емитенти, отписани емисии и увеличения на капитал</w:t>
        </w:r>
        <w:r w:rsidR="00A92527">
          <w:rPr>
            <w:noProof/>
            <w:webHidden/>
          </w:rPr>
          <w:tab/>
        </w:r>
        <w:r w:rsidR="00A92527">
          <w:rPr>
            <w:noProof/>
            <w:webHidden/>
          </w:rPr>
          <w:fldChar w:fldCharType="begin"/>
        </w:r>
        <w:r w:rsidR="00A92527">
          <w:rPr>
            <w:noProof/>
            <w:webHidden/>
          </w:rPr>
          <w:instrText xml:space="preserve"> PAGEREF _Toc362884490 \h </w:instrText>
        </w:r>
        <w:r w:rsidR="00A92527">
          <w:rPr>
            <w:noProof/>
            <w:webHidden/>
          </w:rPr>
        </w:r>
        <w:r w:rsidR="00A92527">
          <w:rPr>
            <w:noProof/>
            <w:webHidden/>
          </w:rPr>
          <w:fldChar w:fldCharType="separate"/>
        </w:r>
        <w:r w:rsidR="00DF2399">
          <w:rPr>
            <w:noProof/>
            <w:webHidden/>
          </w:rPr>
          <w:t>15</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91" w:history="1">
        <w:r w:rsidR="00A92527" w:rsidRPr="00D9793F">
          <w:rPr>
            <w:rStyle w:val="Hyperlink"/>
            <w:noProof/>
          </w:rPr>
          <w:t>5.</w:t>
        </w:r>
        <w:r w:rsidR="00A92527">
          <w:rPr>
            <w:rFonts w:asciiTheme="minorHAnsi" w:eastAsiaTheme="minorEastAsia" w:hAnsiTheme="minorHAnsi" w:cstheme="minorBidi"/>
            <w:noProof/>
            <w:szCs w:val="22"/>
          </w:rPr>
          <w:tab/>
        </w:r>
        <w:r w:rsidR="00A92527" w:rsidRPr="00D9793F">
          <w:rPr>
            <w:rStyle w:val="Hyperlink"/>
            <w:noProof/>
          </w:rPr>
          <w:t>Пазарна капитализация на Борсата</w:t>
        </w:r>
        <w:r w:rsidR="00A92527">
          <w:rPr>
            <w:noProof/>
            <w:webHidden/>
          </w:rPr>
          <w:tab/>
        </w:r>
        <w:r w:rsidR="00A92527">
          <w:rPr>
            <w:noProof/>
            <w:webHidden/>
          </w:rPr>
          <w:fldChar w:fldCharType="begin"/>
        </w:r>
        <w:r w:rsidR="00A92527">
          <w:rPr>
            <w:noProof/>
            <w:webHidden/>
          </w:rPr>
          <w:instrText xml:space="preserve"> PAGEREF _Toc362884491 \h </w:instrText>
        </w:r>
        <w:r w:rsidR="00A92527">
          <w:rPr>
            <w:noProof/>
            <w:webHidden/>
          </w:rPr>
        </w:r>
        <w:r w:rsidR="00A92527">
          <w:rPr>
            <w:noProof/>
            <w:webHidden/>
          </w:rPr>
          <w:fldChar w:fldCharType="separate"/>
        </w:r>
        <w:r w:rsidR="00DF2399">
          <w:rPr>
            <w:noProof/>
            <w:webHidden/>
          </w:rPr>
          <w:t>16</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92" w:history="1">
        <w:r w:rsidR="00A92527" w:rsidRPr="00D9793F">
          <w:rPr>
            <w:rStyle w:val="Hyperlink"/>
            <w:noProof/>
          </w:rPr>
          <w:t>6.</w:t>
        </w:r>
        <w:r w:rsidR="00A92527">
          <w:rPr>
            <w:rFonts w:asciiTheme="minorHAnsi" w:eastAsiaTheme="minorEastAsia" w:hAnsiTheme="minorHAnsi" w:cstheme="minorBidi"/>
            <w:noProof/>
            <w:szCs w:val="22"/>
          </w:rPr>
          <w:tab/>
        </w:r>
        <w:r w:rsidR="00A92527" w:rsidRPr="00D9793F">
          <w:rPr>
            <w:rStyle w:val="Hyperlink"/>
            <w:noProof/>
          </w:rPr>
          <w:t>Индекси на БФБ-София</w:t>
        </w:r>
        <w:r w:rsidR="00A92527">
          <w:rPr>
            <w:noProof/>
            <w:webHidden/>
          </w:rPr>
          <w:tab/>
        </w:r>
        <w:r w:rsidR="00A92527">
          <w:rPr>
            <w:noProof/>
            <w:webHidden/>
          </w:rPr>
          <w:fldChar w:fldCharType="begin"/>
        </w:r>
        <w:r w:rsidR="00A92527">
          <w:rPr>
            <w:noProof/>
            <w:webHidden/>
          </w:rPr>
          <w:instrText xml:space="preserve"> PAGEREF _Toc362884492 \h </w:instrText>
        </w:r>
        <w:r w:rsidR="00A92527">
          <w:rPr>
            <w:noProof/>
            <w:webHidden/>
          </w:rPr>
        </w:r>
        <w:r w:rsidR="00A92527">
          <w:rPr>
            <w:noProof/>
            <w:webHidden/>
          </w:rPr>
          <w:fldChar w:fldCharType="separate"/>
        </w:r>
        <w:r w:rsidR="00DF2399">
          <w:rPr>
            <w:noProof/>
            <w:webHidden/>
          </w:rPr>
          <w:t>16</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93" w:history="1">
        <w:r w:rsidR="00A92527" w:rsidRPr="00D9793F">
          <w:rPr>
            <w:rStyle w:val="Hyperlink"/>
            <w:noProof/>
          </w:rPr>
          <w:t>7.</w:t>
        </w:r>
        <w:r w:rsidR="00A92527">
          <w:rPr>
            <w:rFonts w:asciiTheme="minorHAnsi" w:eastAsiaTheme="minorEastAsia" w:hAnsiTheme="minorHAnsi" w:cstheme="minorBidi"/>
            <w:noProof/>
            <w:szCs w:val="22"/>
          </w:rPr>
          <w:tab/>
        </w:r>
        <w:r w:rsidR="00A92527" w:rsidRPr="00D9793F">
          <w:rPr>
            <w:rStyle w:val="Hyperlink"/>
            <w:noProof/>
          </w:rPr>
          <w:t>Надзор</w:t>
        </w:r>
        <w:r w:rsidR="00A92527">
          <w:rPr>
            <w:noProof/>
            <w:webHidden/>
          </w:rPr>
          <w:tab/>
        </w:r>
        <w:r w:rsidR="00A92527">
          <w:rPr>
            <w:noProof/>
            <w:webHidden/>
          </w:rPr>
          <w:fldChar w:fldCharType="begin"/>
        </w:r>
        <w:r w:rsidR="00A92527">
          <w:rPr>
            <w:noProof/>
            <w:webHidden/>
          </w:rPr>
          <w:instrText xml:space="preserve"> PAGEREF _Toc362884493 \h </w:instrText>
        </w:r>
        <w:r w:rsidR="00A92527">
          <w:rPr>
            <w:noProof/>
            <w:webHidden/>
          </w:rPr>
        </w:r>
        <w:r w:rsidR="00A92527">
          <w:rPr>
            <w:noProof/>
            <w:webHidden/>
          </w:rPr>
          <w:fldChar w:fldCharType="separate"/>
        </w:r>
        <w:r w:rsidR="00DF2399">
          <w:rPr>
            <w:noProof/>
            <w:webHidden/>
          </w:rPr>
          <w:t>17</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94" w:history="1">
        <w:r w:rsidR="00A92527" w:rsidRPr="00D9793F">
          <w:rPr>
            <w:rStyle w:val="Hyperlink"/>
            <w:noProof/>
          </w:rPr>
          <w:t>8.</w:t>
        </w:r>
        <w:r w:rsidR="00A92527">
          <w:rPr>
            <w:rFonts w:asciiTheme="minorHAnsi" w:eastAsiaTheme="minorEastAsia" w:hAnsiTheme="minorHAnsi" w:cstheme="minorBidi"/>
            <w:noProof/>
            <w:szCs w:val="22"/>
          </w:rPr>
          <w:tab/>
        </w:r>
        <w:r w:rsidR="00A92527" w:rsidRPr="00D9793F">
          <w:rPr>
            <w:rStyle w:val="Hyperlink"/>
            <w:noProof/>
          </w:rPr>
          <w:t>Приватизация през Борсата</w:t>
        </w:r>
        <w:r w:rsidR="00A92527">
          <w:rPr>
            <w:noProof/>
            <w:webHidden/>
          </w:rPr>
          <w:tab/>
        </w:r>
        <w:r w:rsidR="00A92527">
          <w:rPr>
            <w:noProof/>
            <w:webHidden/>
          </w:rPr>
          <w:fldChar w:fldCharType="begin"/>
        </w:r>
        <w:r w:rsidR="00A92527">
          <w:rPr>
            <w:noProof/>
            <w:webHidden/>
          </w:rPr>
          <w:instrText xml:space="preserve"> PAGEREF _Toc362884494 \h </w:instrText>
        </w:r>
        <w:r w:rsidR="00A92527">
          <w:rPr>
            <w:noProof/>
            <w:webHidden/>
          </w:rPr>
        </w:r>
        <w:r w:rsidR="00A92527">
          <w:rPr>
            <w:noProof/>
            <w:webHidden/>
          </w:rPr>
          <w:fldChar w:fldCharType="separate"/>
        </w:r>
        <w:r w:rsidR="00DF2399">
          <w:rPr>
            <w:noProof/>
            <w:webHidden/>
          </w:rPr>
          <w:t>17</w:t>
        </w:r>
        <w:r w:rsidR="00A92527">
          <w:rPr>
            <w:noProof/>
            <w:webHidden/>
          </w:rPr>
          <w:fldChar w:fldCharType="end"/>
        </w:r>
      </w:hyperlink>
    </w:p>
    <w:p w:rsidR="00A92527" w:rsidRDefault="000003C5">
      <w:pPr>
        <w:pStyle w:val="TOC1"/>
        <w:tabs>
          <w:tab w:val="left" w:pos="480"/>
          <w:tab w:val="right" w:leader="dot" w:pos="9211"/>
        </w:tabs>
        <w:rPr>
          <w:rFonts w:asciiTheme="minorHAnsi" w:eastAsiaTheme="minorEastAsia" w:hAnsiTheme="minorHAnsi" w:cstheme="minorBidi"/>
          <w:noProof/>
          <w:szCs w:val="22"/>
        </w:rPr>
      </w:pPr>
      <w:hyperlink w:anchor="_Toc362884495" w:history="1">
        <w:r w:rsidR="00A92527" w:rsidRPr="00D9793F">
          <w:rPr>
            <w:rStyle w:val="Hyperlink"/>
            <w:noProof/>
          </w:rPr>
          <w:t>9.</w:t>
        </w:r>
        <w:r w:rsidR="00A92527">
          <w:rPr>
            <w:rFonts w:asciiTheme="minorHAnsi" w:eastAsiaTheme="minorEastAsia" w:hAnsiTheme="minorHAnsi" w:cstheme="minorBidi"/>
            <w:noProof/>
            <w:szCs w:val="22"/>
          </w:rPr>
          <w:tab/>
        </w:r>
        <w:r w:rsidR="00A92527" w:rsidRPr="00D9793F">
          <w:rPr>
            <w:rStyle w:val="Hyperlink"/>
            <w:noProof/>
          </w:rPr>
          <w:t>Основни дейности и събития през първото тримесечие на 2013 г.</w:t>
        </w:r>
        <w:r w:rsidR="00A92527">
          <w:rPr>
            <w:noProof/>
            <w:webHidden/>
          </w:rPr>
          <w:tab/>
        </w:r>
        <w:r w:rsidR="00A92527">
          <w:rPr>
            <w:noProof/>
            <w:webHidden/>
          </w:rPr>
          <w:fldChar w:fldCharType="begin"/>
        </w:r>
        <w:r w:rsidR="00A92527">
          <w:rPr>
            <w:noProof/>
            <w:webHidden/>
          </w:rPr>
          <w:instrText xml:space="preserve"> PAGEREF _Toc362884495 \h </w:instrText>
        </w:r>
        <w:r w:rsidR="00A92527">
          <w:rPr>
            <w:noProof/>
            <w:webHidden/>
          </w:rPr>
        </w:r>
        <w:r w:rsidR="00A92527">
          <w:rPr>
            <w:noProof/>
            <w:webHidden/>
          </w:rPr>
          <w:fldChar w:fldCharType="separate"/>
        </w:r>
        <w:r w:rsidR="00DF2399">
          <w:rPr>
            <w:noProof/>
            <w:webHidden/>
          </w:rPr>
          <w:t>18</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496" w:history="1">
        <w:r w:rsidR="00A92527" w:rsidRPr="00D9793F">
          <w:rPr>
            <w:rStyle w:val="Hyperlink"/>
            <w:noProof/>
          </w:rPr>
          <w:t>9.1.</w:t>
        </w:r>
        <w:r w:rsidR="00A92527">
          <w:rPr>
            <w:rFonts w:asciiTheme="minorHAnsi" w:eastAsiaTheme="minorEastAsia" w:hAnsiTheme="minorHAnsi" w:cstheme="minorBidi"/>
            <w:noProof/>
            <w:szCs w:val="22"/>
          </w:rPr>
          <w:tab/>
        </w:r>
        <w:r w:rsidR="00A92527" w:rsidRPr="00D9793F">
          <w:rPr>
            <w:rStyle w:val="Hyperlink"/>
            <w:noProof/>
          </w:rPr>
          <w:t>Среща с представители на инвестиционната общност</w:t>
        </w:r>
        <w:r w:rsidR="00A92527">
          <w:rPr>
            <w:noProof/>
            <w:webHidden/>
          </w:rPr>
          <w:tab/>
        </w:r>
        <w:r w:rsidR="00A92527">
          <w:rPr>
            <w:noProof/>
            <w:webHidden/>
          </w:rPr>
          <w:fldChar w:fldCharType="begin"/>
        </w:r>
        <w:r w:rsidR="00A92527">
          <w:rPr>
            <w:noProof/>
            <w:webHidden/>
          </w:rPr>
          <w:instrText xml:space="preserve"> PAGEREF _Toc362884496 \h </w:instrText>
        </w:r>
        <w:r w:rsidR="00A92527">
          <w:rPr>
            <w:noProof/>
            <w:webHidden/>
          </w:rPr>
        </w:r>
        <w:r w:rsidR="00A92527">
          <w:rPr>
            <w:noProof/>
            <w:webHidden/>
          </w:rPr>
          <w:fldChar w:fldCharType="separate"/>
        </w:r>
        <w:r w:rsidR="00DF2399">
          <w:rPr>
            <w:noProof/>
            <w:webHidden/>
          </w:rPr>
          <w:t>18</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497" w:history="1">
        <w:r w:rsidR="00A92527" w:rsidRPr="00D9793F">
          <w:rPr>
            <w:rStyle w:val="Hyperlink"/>
            <w:noProof/>
          </w:rPr>
          <w:t>9.2.</w:t>
        </w:r>
        <w:r w:rsidR="00A92527">
          <w:rPr>
            <w:rFonts w:asciiTheme="minorHAnsi" w:eastAsiaTheme="minorEastAsia" w:hAnsiTheme="minorHAnsi" w:cstheme="minorBidi"/>
            <w:noProof/>
            <w:szCs w:val="22"/>
          </w:rPr>
          <w:tab/>
        </w:r>
        <w:r w:rsidR="00A92527" w:rsidRPr="00D9793F">
          <w:rPr>
            <w:rStyle w:val="Hyperlink"/>
            <w:noProof/>
          </w:rPr>
          <w:t>Проведе се редовното годишно общо събрание на акционерите на „Българска фондова борса – София“ АД</w:t>
        </w:r>
        <w:r w:rsidR="00A92527">
          <w:rPr>
            <w:noProof/>
            <w:webHidden/>
          </w:rPr>
          <w:tab/>
        </w:r>
        <w:r w:rsidR="00A92527">
          <w:rPr>
            <w:noProof/>
            <w:webHidden/>
          </w:rPr>
          <w:fldChar w:fldCharType="begin"/>
        </w:r>
        <w:r w:rsidR="00A92527">
          <w:rPr>
            <w:noProof/>
            <w:webHidden/>
          </w:rPr>
          <w:instrText xml:space="preserve"> PAGEREF _Toc362884497 \h </w:instrText>
        </w:r>
        <w:r w:rsidR="00A92527">
          <w:rPr>
            <w:noProof/>
            <w:webHidden/>
          </w:rPr>
        </w:r>
        <w:r w:rsidR="00A92527">
          <w:rPr>
            <w:noProof/>
            <w:webHidden/>
          </w:rPr>
          <w:fldChar w:fldCharType="separate"/>
        </w:r>
        <w:r w:rsidR="00DF2399">
          <w:rPr>
            <w:noProof/>
            <w:webHidden/>
          </w:rPr>
          <w:t>18</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498" w:history="1">
        <w:r w:rsidR="00A92527" w:rsidRPr="00D9793F">
          <w:rPr>
            <w:rStyle w:val="Hyperlink"/>
            <w:noProof/>
          </w:rPr>
          <w:t>9.3.</w:t>
        </w:r>
        <w:r w:rsidR="00A92527">
          <w:rPr>
            <w:rFonts w:asciiTheme="minorHAnsi" w:eastAsiaTheme="minorEastAsia" w:hAnsiTheme="minorHAnsi" w:cstheme="minorBidi"/>
            <w:noProof/>
            <w:szCs w:val="22"/>
          </w:rPr>
          <w:tab/>
        </w:r>
        <w:r w:rsidR="00A92527" w:rsidRPr="00D9793F">
          <w:rPr>
            <w:rStyle w:val="Hyperlink"/>
            <w:noProof/>
          </w:rPr>
          <w:t>Решение за разпределяне на печалбата за 2012 година като дивидент</w:t>
        </w:r>
        <w:r w:rsidR="00A92527">
          <w:rPr>
            <w:noProof/>
            <w:webHidden/>
          </w:rPr>
          <w:tab/>
        </w:r>
        <w:r w:rsidR="00A92527">
          <w:rPr>
            <w:noProof/>
            <w:webHidden/>
          </w:rPr>
          <w:fldChar w:fldCharType="begin"/>
        </w:r>
        <w:r w:rsidR="00A92527">
          <w:rPr>
            <w:noProof/>
            <w:webHidden/>
          </w:rPr>
          <w:instrText xml:space="preserve"> PAGEREF _Toc362884498 \h </w:instrText>
        </w:r>
        <w:r w:rsidR="00A92527">
          <w:rPr>
            <w:noProof/>
            <w:webHidden/>
          </w:rPr>
        </w:r>
        <w:r w:rsidR="00A92527">
          <w:rPr>
            <w:noProof/>
            <w:webHidden/>
          </w:rPr>
          <w:fldChar w:fldCharType="separate"/>
        </w:r>
        <w:r w:rsidR="00DF2399">
          <w:rPr>
            <w:noProof/>
            <w:webHidden/>
          </w:rPr>
          <w:t>18</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499" w:history="1">
        <w:r w:rsidR="00A92527" w:rsidRPr="00D9793F">
          <w:rPr>
            <w:rStyle w:val="Hyperlink"/>
            <w:noProof/>
          </w:rPr>
          <w:t>9.4.</w:t>
        </w:r>
        <w:r w:rsidR="00A92527">
          <w:rPr>
            <w:rFonts w:asciiTheme="minorHAnsi" w:eastAsiaTheme="minorEastAsia" w:hAnsiTheme="minorHAnsi" w:cstheme="minorBidi"/>
            <w:noProof/>
            <w:szCs w:val="22"/>
          </w:rPr>
          <w:tab/>
        </w:r>
        <w:r w:rsidR="00A92527" w:rsidRPr="00D9793F">
          <w:rPr>
            <w:rStyle w:val="Hyperlink"/>
            <w:noProof/>
          </w:rPr>
          <w:t>Търговия със собствени акции на Борсата</w:t>
        </w:r>
        <w:r w:rsidR="00A92527">
          <w:rPr>
            <w:noProof/>
            <w:webHidden/>
          </w:rPr>
          <w:tab/>
        </w:r>
        <w:r w:rsidR="00A92527">
          <w:rPr>
            <w:noProof/>
            <w:webHidden/>
          </w:rPr>
          <w:fldChar w:fldCharType="begin"/>
        </w:r>
        <w:r w:rsidR="00A92527">
          <w:rPr>
            <w:noProof/>
            <w:webHidden/>
          </w:rPr>
          <w:instrText xml:space="preserve"> PAGEREF _Toc362884499 \h </w:instrText>
        </w:r>
        <w:r w:rsidR="00A92527">
          <w:rPr>
            <w:noProof/>
            <w:webHidden/>
          </w:rPr>
        </w:r>
        <w:r w:rsidR="00A92527">
          <w:rPr>
            <w:noProof/>
            <w:webHidden/>
          </w:rPr>
          <w:fldChar w:fldCharType="separate"/>
        </w:r>
        <w:r w:rsidR="00DF2399">
          <w:rPr>
            <w:noProof/>
            <w:webHidden/>
          </w:rPr>
          <w:t>19</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500" w:history="1">
        <w:r w:rsidR="00A92527" w:rsidRPr="00D9793F">
          <w:rPr>
            <w:rStyle w:val="Hyperlink"/>
            <w:noProof/>
          </w:rPr>
          <w:t>9.5.</w:t>
        </w:r>
        <w:r w:rsidR="00A92527">
          <w:rPr>
            <w:rFonts w:asciiTheme="minorHAnsi" w:eastAsiaTheme="minorEastAsia" w:hAnsiTheme="minorHAnsi" w:cstheme="minorBidi"/>
            <w:noProof/>
            <w:szCs w:val="22"/>
          </w:rPr>
          <w:tab/>
        </w:r>
        <w:r w:rsidR="00A92527" w:rsidRPr="00D9793F">
          <w:rPr>
            <w:rStyle w:val="Hyperlink"/>
            <w:noProof/>
          </w:rPr>
          <w:t xml:space="preserve">Индекс </w:t>
        </w:r>
        <w:r w:rsidR="00A92527" w:rsidRPr="00D9793F">
          <w:rPr>
            <w:rStyle w:val="Hyperlink"/>
            <w:noProof/>
            <w:lang w:val="en-US"/>
          </w:rPr>
          <w:t>CGIX</w:t>
        </w:r>
        <w:r w:rsidR="00A92527">
          <w:rPr>
            <w:noProof/>
            <w:webHidden/>
          </w:rPr>
          <w:tab/>
        </w:r>
        <w:r w:rsidR="00A92527">
          <w:rPr>
            <w:noProof/>
            <w:webHidden/>
          </w:rPr>
          <w:fldChar w:fldCharType="begin"/>
        </w:r>
        <w:r w:rsidR="00A92527">
          <w:rPr>
            <w:noProof/>
            <w:webHidden/>
          </w:rPr>
          <w:instrText xml:space="preserve"> PAGEREF _Toc362884500 \h </w:instrText>
        </w:r>
        <w:r w:rsidR="00A92527">
          <w:rPr>
            <w:noProof/>
            <w:webHidden/>
          </w:rPr>
        </w:r>
        <w:r w:rsidR="00A92527">
          <w:rPr>
            <w:noProof/>
            <w:webHidden/>
          </w:rPr>
          <w:fldChar w:fldCharType="separate"/>
        </w:r>
        <w:r w:rsidR="00DF2399">
          <w:rPr>
            <w:noProof/>
            <w:webHidden/>
          </w:rPr>
          <w:t>20</w:t>
        </w:r>
        <w:r w:rsidR="00A92527">
          <w:rPr>
            <w:noProof/>
            <w:webHidden/>
          </w:rPr>
          <w:fldChar w:fldCharType="end"/>
        </w:r>
      </w:hyperlink>
    </w:p>
    <w:p w:rsidR="00A92527" w:rsidRDefault="000003C5">
      <w:pPr>
        <w:pStyle w:val="TOC2"/>
        <w:tabs>
          <w:tab w:val="left" w:pos="880"/>
          <w:tab w:val="right" w:leader="dot" w:pos="9211"/>
        </w:tabs>
        <w:rPr>
          <w:rFonts w:asciiTheme="minorHAnsi" w:eastAsiaTheme="minorEastAsia" w:hAnsiTheme="minorHAnsi" w:cstheme="minorBidi"/>
          <w:noProof/>
          <w:szCs w:val="22"/>
        </w:rPr>
      </w:pPr>
      <w:hyperlink w:anchor="_Toc362884501" w:history="1">
        <w:r w:rsidR="00A92527" w:rsidRPr="00D9793F">
          <w:rPr>
            <w:rStyle w:val="Hyperlink"/>
            <w:noProof/>
          </w:rPr>
          <w:t>9.6.</w:t>
        </w:r>
        <w:r w:rsidR="00A92527">
          <w:rPr>
            <w:rFonts w:asciiTheme="minorHAnsi" w:eastAsiaTheme="minorEastAsia" w:hAnsiTheme="minorHAnsi" w:cstheme="minorBidi"/>
            <w:noProof/>
            <w:szCs w:val="22"/>
          </w:rPr>
          <w:tab/>
        </w:r>
        <w:r w:rsidR="00A92527" w:rsidRPr="00D9793F">
          <w:rPr>
            <w:rStyle w:val="Hyperlink"/>
            <w:noProof/>
          </w:rPr>
          <w:t>Корпоративно управление</w:t>
        </w:r>
        <w:r w:rsidR="00A92527">
          <w:rPr>
            <w:noProof/>
            <w:webHidden/>
          </w:rPr>
          <w:tab/>
        </w:r>
        <w:r w:rsidR="00A92527">
          <w:rPr>
            <w:noProof/>
            <w:webHidden/>
          </w:rPr>
          <w:fldChar w:fldCharType="begin"/>
        </w:r>
        <w:r w:rsidR="00A92527">
          <w:rPr>
            <w:noProof/>
            <w:webHidden/>
          </w:rPr>
          <w:instrText xml:space="preserve"> PAGEREF _Toc362884501 \h </w:instrText>
        </w:r>
        <w:r w:rsidR="00A92527">
          <w:rPr>
            <w:noProof/>
            <w:webHidden/>
          </w:rPr>
        </w:r>
        <w:r w:rsidR="00A92527">
          <w:rPr>
            <w:noProof/>
            <w:webHidden/>
          </w:rPr>
          <w:fldChar w:fldCharType="separate"/>
        </w:r>
        <w:r w:rsidR="00DF2399">
          <w:rPr>
            <w:noProof/>
            <w:webHidden/>
          </w:rPr>
          <w:t>21</w:t>
        </w:r>
        <w:r w:rsidR="00A92527">
          <w:rPr>
            <w:noProof/>
            <w:webHidden/>
          </w:rPr>
          <w:fldChar w:fldCharType="end"/>
        </w:r>
      </w:hyperlink>
    </w:p>
    <w:p w:rsidR="00A92527" w:rsidRDefault="000003C5">
      <w:pPr>
        <w:pStyle w:val="TOC1"/>
        <w:tabs>
          <w:tab w:val="left" w:pos="660"/>
          <w:tab w:val="right" w:leader="dot" w:pos="9211"/>
        </w:tabs>
        <w:rPr>
          <w:rFonts w:asciiTheme="minorHAnsi" w:eastAsiaTheme="minorEastAsia" w:hAnsiTheme="minorHAnsi" w:cstheme="minorBidi"/>
          <w:noProof/>
          <w:szCs w:val="22"/>
        </w:rPr>
      </w:pPr>
      <w:hyperlink w:anchor="_Toc362884502" w:history="1">
        <w:r w:rsidR="00A92527" w:rsidRPr="00D9793F">
          <w:rPr>
            <w:rStyle w:val="Hyperlink"/>
            <w:noProof/>
          </w:rPr>
          <w:t>10.</w:t>
        </w:r>
        <w:r w:rsidR="00A92527">
          <w:rPr>
            <w:rFonts w:asciiTheme="minorHAnsi" w:eastAsiaTheme="minorEastAsia" w:hAnsiTheme="minorHAnsi" w:cstheme="minorBidi"/>
            <w:noProof/>
            <w:szCs w:val="22"/>
          </w:rPr>
          <w:tab/>
        </w:r>
        <w:r w:rsidR="00A92527" w:rsidRPr="00D9793F">
          <w:rPr>
            <w:rStyle w:val="Hyperlink"/>
            <w:noProof/>
          </w:rPr>
          <w:t>Информационни технологии</w:t>
        </w:r>
        <w:r w:rsidR="00A92527">
          <w:rPr>
            <w:noProof/>
            <w:webHidden/>
          </w:rPr>
          <w:tab/>
        </w:r>
        <w:r w:rsidR="00A92527">
          <w:rPr>
            <w:noProof/>
            <w:webHidden/>
          </w:rPr>
          <w:fldChar w:fldCharType="begin"/>
        </w:r>
        <w:r w:rsidR="00A92527">
          <w:rPr>
            <w:noProof/>
            <w:webHidden/>
          </w:rPr>
          <w:instrText xml:space="preserve"> PAGEREF _Toc362884502 \h </w:instrText>
        </w:r>
        <w:r w:rsidR="00A92527">
          <w:rPr>
            <w:noProof/>
            <w:webHidden/>
          </w:rPr>
        </w:r>
        <w:r w:rsidR="00A92527">
          <w:rPr>
            <w:noProof/>
            <w:webHidden/>
          </w:rPr>
          <w:fldChar w:fldCharType="separate"/>
        </w:r>
        <w:r w:rsidR="00DF2399">
          <w:rPr>
            <w:noProof/>
            <w:webHidden/>
          </w:rPr>
          <w:t>22</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03" w:history="1">
        <w:r w:rsidR="00A92527" w:rsidRPr="00D9793F">
          <w:rPr>
            <w:rStyle w:val="Hyperlink"/>
            <w:noProof/>
          </w:rPr>
          <w:t>10.1.</w:t>
        </w:r>
        <w:r w:rsidR="00A92527">
          <w:rPr>
            <w:rFonts w:asciiTheme="minorHAnsi" w:eastAsiaTheme="minorEastAsia" w:hAnsiTheme="minorHAnsi" w:cstheme="minorBidi"/>
            <w:noProof/>
            <w:szCs w:val="22"/>
          </w:rPr>
          <w:tab/>
        </w:r>
        <w:r w:rsidR="00A92527" w:rsidRPr="00D9793F">
          <w:rPr>
            <w:rStyle w:val="Hyperlink"/>
            <w:noProof/>
          </w:rPr>
          <w:t>Информационни продукти</w:t>
        </w:r>
        <w:r w:rsidR="00A92527">
          <w:rPr>
            <w:noProof/>
            <w:webHidden/>
          </w:rPr>
          <w:tab/>
        </w:r>
        <w:r w:rsidR="00A92527">
          <w:rPr>
            <w:noProof/>
            <w:webHidden/>
          </w:rPr>
          <w:fldChar w:fldCharType="begin"/>
        </w:r>
        <w:r w:rsidR="00A92527">
          <w:rPr>
            <w:noProof/>
            <w:webHidden/>
          </w:rPr>
          <w:instrText xml:space="preserve"> PAGEREF _Toc362884503 \h </w:instrText>
        </w:r>
        <w:r w:rsidR="00A92527">
          <w:rPr>
            <w:noProof/>
            <w:webHidden/>
          </w:rPr>
        </w:r>
        <w:r w:rsidR="00A92527">
          <w:rPr>
            <w:noProof/>
            <w:webHidden/>
          </w:rPr>
          <w:fldChar w:fldCharType="separate"/>
        </w:r>
        <w:r w:rsidR="00DF2399">
          <w:rPr>
            <w:noProof/>
            <w:webHidden/>
          </w:rPr>
          <w:t>22</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04" w:history="1">
        <w:r w:rsidR="00A92527" w:rsidRPr="00D9793F">
          <w:rPr>
            <w:rStyle w:val="Hyperlink"/>
            <w:noProof/>
          </w:rPr>
          <w:t>10.2.</w:t>
        </w:r>
        <w:r w:rsidR="00A92527">
          <w:rPr>
            <w:rFonts w:asciiTheme="minorHAnsi" w:eastAsiaTheme="minorEastAsia" w:hAnsiTheme="minorHAnsi" w:cstheme="minorBidi"/>
            <w:noProof/>
            <w:szCs w:val="22"/>
          </w:rPr>
          <w:tab/>
        </w:r>
        <w:r w:rsidR="00A92527" w:rsidRPr="00D9793F">
          <w:rPr>
            <w:rStyle w:val="Hyperlink"/>
            <w:noProof/>
          </w:rPr>
          <w:t>COBOS</w:t>
        </w:r>
        <w:r w:rsidR="00A92527">
          <w:rPr>
            <w:noProof/>
            <w:webHidden/>
          </w:rPr>
          <w:tab/>
        </w:r>
        <w:r w:rsidR="00A92527">
          <w:rPr>
            <w:noProof/>
            <w:webHidden/>
          </w:rPr>
          <w:fldChar w:fldCharType="begin"/>
        </w:r>
        <w:r w:rsidR="00A92527">
          <w:rPr>
            <w:noProof/>
            <w:webHidden/>
          </w:rPr>
          <w:instrText xml:space="preserve"> PAGEREF _Toc362884504 \h </w:instrText>
        </w:r>
        <w:r w:rsidR="00A92527">
          <w:rPr>
            <w:noProof/>
            <w:webHidden/>
          </w:rPr>
        </w:r>
        <w:r w:rsidR="00A92527">
          <w:rPr>
            <w:noProof/>
            <w:webHidden/>
          </w:rPr>
          <w:fldChar w:fldCharType="separate"/>
        </w:r>
        <w:r w:rsidR="00DF2399">
          <w:rPr>
            <w:noProof/>
            <w:webHidden/>
          </w:rPr>
          <w:t>22</w:t>
        </w:r>
        <w:r w:rsidR="00A92527">
          <w:rPr>
            <w:noProof/>
            <w:webHidden/>
          </w:rPr>
          <w:fldChar w:fldCharType="end"/>
        </w:r>
      </w:hyperlink>
    </w:p>
    <w:p w:rsidR="00A92527" w:rsidRDefault="000003C5">
      <w:pPr>
        <w:pStyle w:val="TOC1"/>
        <w:tabs>
          <w:tab w:val="left" w:pos="660"/>
          <w:tab w:val="right" w:leader="dot" w:pos="9211"/>
        </w:tabs>
        <w:rPr>
          <w:rFonts w:asciiTheme="minorHAnsi" w:eastAsiaTheme="minorEastAsia" w:hAnsiTheme="minorHAnsi" w:cstheme="minorBidi"/>
          <w:noProof/>
          <w:szCs w:val="22"/>
        </w:rPr>
      </w:pPr>
      <w:hyperlink w:anchor="_Toc362884505" w:history="1">
        <w:r w:rsidR="00A92527" w:rsidRPr="00D9793F">
          <w:rPr>
            <w:rStyle w:val="Hyperlink"/>
            <w:noProof/>
          </w:rPr>
          <w:t>11.</w:t>
        </w:r>
        <w:r w:rsidR="00A92527">
          <w:rPr>
            <w:rFonts w:asciiTheme="minorHAnsi" w:eastAsiaTheme="minorEastAsia" w:hAnsiTheme="minorHAnsi" w:cstheme="minorBidi"/>
            <w:noProof/>
            <w:szCs w:val="22"/>
          </w:rPr>
          <w:tab/>
        </w:r>
        <w:r w:rsidR="00A92527" w:rsidRPr="00D9793F">
          <w:rPr>
            <w:rStyle w:val="Hyperlink"/>
            <w:noProof/>
          </w:rPr>
          <w:t>Международна дейност</w:t>
        </w:r>
        <w:r w:rsidR="00A92527">
          <w:rPr>
            <w:noProof/>
            <w:webHidden/>
          </w:rPr>
          <w:tab/>
        </w:r>
        <w:r w:rsidR="00A92527">
          <w:rPr>
            <w:noProof/>
            <w:webHidden/>
          </w:rPr>
          <w:fldChar w:fldCharType="begin"/>
        </w:r>
        <w:r w:rsidR="00A92527">
          <w:rPr>
            <w:noProof/>
            <w:webHidden/>
          </w:rPr>
          <w:instrText xml:space="preserve"> PAGEREF _Toc362884505 \h </w:instrText>
        </w:r>
        <w:r w:rsidR="00A92527">
          <w:rPr>
            <w:noProof/>
            <w:webHidden/>
          </w:rPr>
        </w:r>
        <w:r w:rsidR="00A92527">
          <w:rPr>
            <w:noProof/>
            <w:webHidden/>
          </w:rPr>
          <w:fldChar w:fldCharType="separate"/>
        </w:r>
        <w:r w:rsidR="00DF2399">
          <w:rPr>
            <w:noProof/>
            <w:webHidden/>
          </w:rPr>
          <w:t>23</w:t>
        </w:r>
        <w:r w:rsidR="00A92527">
          <w:rPr>
            <w:noProof/>
            <w:webHidden/>
          </w:rPr>
          <w:fldChar w:fldCharType="end"/>
        </w:r>
      </w:hyperlink>
    </w:p>
    <w:p w:rsidR="00A92527" w:rsidRDefault="000003C5">
      <w:pPr>
        <w:pStyle w:val="TOC1"/>
        <w:tabs>
          <w:tab w:val="left" w:pos="660"/>
          <w:tab w:val="right" w:leader="dot" w:pos="9211"/>
        </w:tabs>
        <w:rPr>
          <w:rFonts w:asciiTheme="minorHAnsi" w:eastAsiaTheme="minorEastAsia" w:hAnsiTheme="minorHAnsi" w:cstheme="minorBidi"/>
          <w:noProof/>
          <w:szCs w:val="22"/>
        </w:rPr>
      </w:pPr>
      <w:hyperlink w:anchor="_Toc362884506" w:history="1">
        <w:r w:rsidR="00A92527" w:rsidRPr="00D9793F">
          <w:rPr>
            <w:rStyle w:val="Hyperlink"/>
            <w:noProof/>
          </w:rPr>
          <w:t>12.</w:t>
        </w:r>
        <w:r w:rsidR="00A92527">
          <w:rPr>
            <w:rFonts w:asciiTheme="minorHAnsi" w:eastAsiaTheme="minorEastAsia" w:hAnsiTheme="minorHAnsi" w:cstheme="minorBidi"/>
            <w:noProof/>
            <w:szCs w:val="22"/>
          </w:rPr>
          <w:tab/>
        </w:r>
        <w:r w:rsidR="00A92527" w:rsidRPr="00D9793F">
          <w:rPr>
            <w:rStyle w:val="Hyperlink"/>
            <w:noProof/>
          </w:rPr>
          <w:t>Основни рискове и несигурности, пред които е изправена БФБ-София</w:t>
        </w:r>
        <w:r w:rsidR="00A92527">
          <w:rPr>
            <w:noProof/>
            <w:webHidden/>
          </w:rPr>
          <w:tab/>
        </w:r>
        <w:r w:rsidR="00A92527">
          <w:rPr>
            <w:noProof/>
            <w:webHidden/>
          </w:rPr>
          <w:fldChar w:fldCharType="begin"/>
        </w:r>
        <w:r w:rsidR="00A92527">
          <w:rPr>
            <w:noProof/>
            <w:webHidden/>
          </w:rPr>
          <w:instrText xml:space="preserve"> PAGEREF _Toc362884506 \h </w:instrText>
        </w:r>
        <w:r w:rsidR="00A92527">
          <w:rPr>
            <w:noProof/>
            <w:webHidden/>
          </w:rPr>
        </w:r>
        <w:r w:rsidR="00A92527">
          <w:rPr>
            <w:noProof/>
            <w:webHidden/>
          </w:rPr>
          <w:fldChar w:fldCharType="separate"/>
        </w:r>
        <w:r w:rsidR="00DF2399">
          <w:rPr>
            <w:noProof/>
            <w:webHidden/>
          </w:rPr>
          <w:t>23</w:t>
        </w:r>
        <w:r w:rsidR="00A92527">
          <w:rPr>
            <w:noProof/>
            <w:webHidden/>
          </w:rPr>
          <w:fldChar w:fldCharType="end"/>
        </w:r>
      </w:hyperlink>
    </w:p>
    <w:p w:rsidR="00A92527" w:rsidRDefault="000003C5">
      <w:pPr>
        <w:pStyle w:val="TOC1"/>
        <w:tabs>
          <w:tab w:val="left" w:pos="660"/>
          <w:tab w:val="right" w:leader="dot" w:pos="9211"/>
        </w:tabs>
        <w:rPr>
          <w:rFonts w:asciiTheme="minorHAnsi" w:eastAsiaTheme="minorEastAsia" w:hAnsiTheme="minorHAnsi" w:cstheme="minorBidi"/>
          <w:noProof/>
          <w:szCs w:val="22"/>
        </w:rPr>
      </w:pPr>
      <w:hyperlink w:anchor="_Toc362884507" w:history="1">
        <w:r w:rsidR="00A92527" w:rsidRPr="00D9793F">
          <w:rPr>
            <w:rStyle w:val="Hyperlink"/>
            <w:noProof/>
          </w:rPr>
          <w:t>13.</w:t>
        </w:r>
        <w:r w:rsidR="00A92527">
          <w:rPr>
            <w:rFonts w:asciiTheme="minorHAnsi" w:eastAsiaTheme="minorEastAsia" w:hAnsiTheme="minorHAnsi" w:cstheme="minorBidi"/>
            <w:noProof/>
            <w:szCs w:val="22"/>
          </w:rPr>
          <w:tab/>
        </w:r>
        <w:r w:rsidR="00A92527" w:rsidRPr="00D9793F">
          <w:rPr>
            <w:rStyle w:val="Hyperlink"/>
            <w:noProof/>
          </w:rPr>
          <w:t>Акционерна структура на БФБ-София</w:t>
        </w:r>
        <w:r w:rsidR="00A92527">
          <w:rPr>
            <w:noProof/>
            <w:webHidden/>
          </w:rPr>
          <w:tab/>
        </w:r>
        <w:r w:rsidR="00A92527">
          <w:rPr>
            <w:noProof/>
            <w:webHidden/>
          </w:rPr>
          <w:fldChar w:fldCharType="begin"/>
        </w:r>
        <w:r w:rsidR="00A92527">
          <w:rPr>
            <w:noProof/>
            <w:webHidden/>
          </w:rPr>
          <w:instrText xml:space="preserve"> PAGEREF _Toc362884507 \h </w:instrText>
        </w:r>
        <w:r w:rsidR="00A92527">
          <w:rPr>
            <w:noProof/>
            <w:webHidden/>
          </w:rPr>
        </w:r>
        <w:r w:rsidR="00A92527">
          <w:rPr>
            <w:noProof/>
            <w:webHidden/>
          </w:rPr>
          <w:fldChar w:fldCharType="separate"/>
        </w:r>
        <w:r w:rsidR="00DF2399">
          <w:rPr>
            <w:noProof/>
            <w:webHidden/>
          </w:rPr>
          <w:t>26</w:t>
        </w:r>
        <w:r w:rsidR="00A92527">
          <w:rPr>
            <w:noProof/>
            <w:webHidden/>
          </w:rPr>
          <w:fldChar w:fldCharType="end"/>
        </w:r>
      </w:hyperlink>
    </w:p>
    <w:p w:rsidR="00A92527" w:rsidRDefault="000003C5">
      <w:pPr>
        <w:pStyle w:val="TOC1"/>
        <w:tabs>
          <w:tab w:val="left" w:pos="660"/>
          <w:tab w:val="right" w:leader="dot" w:pos="9211"/>
        </w:tabs>
        <w:rPr>
          <w:rFonts w:asciiTheme="minorHAnsi" w:eastAsiaTheme="minorEastAsia" w:hAnsiTheme="minorHAnsi" w:cstheme="minorBidi"/>
          <w:noProof/>
          <w:szCs w:val="22"/>
        </w:rPr>
      </w:pPr>
      <w:hyperlink w:anchor="_Toc362884508" w:history="1">
        <w:r w:rsidR="00A92527" w:rsidRPr="00D9793F">
          <w:rPr>
            <w:rStyle w:val="Hyperlink"/>
            <w:noProof/>
          </w:rPr>
          <w:t>14.</w:t>
        </w:r>
        <w:r w:rsidR="00A92527">
          <w:rPr>
            <w:rFonts w:asciiTheme="minorHAnsi" w:eastAsiaTheme="minorEastAsia" w:hAnsiTheme="minorHAnsi" w:cstheme="minorBidi"/>
            <w:noProof/>
            <w:szCs w:val="22"/>
          </w:rPr>
          <w:tab/>
        </w:r>
        <w:r w:rsidR="00A92527" w:rsidRPr="00D9793F">
          <w:rPr>
            <w:rStyle w:val="Hyperlink"/>
            <w:noProof/>
          </w:rPr>
          <w:t>Членове на БФБ-София</w:t>
        </w:r>
        <w:r w:rsidR="00A92527">
          <w:rPr>
            <w:noProof/>
            <w:webHidden/>
          </w:rPr>
          <w:tab/>
        </w:r>
        <w:r w:rsidR="00A92527">
          <w:rPr>
            <w:noProof/>
            <w:webHidden/>
          </w:rPr>
          <w:fldChar w:fldCharType="begin"/>
        </w:r>
        <w:r w:rsidR="00A92527">
          <w:rPr>
            <w:noProof/>
            <w:webHidden/>
          </w:rPr>
          <w:instrText xml:space="preserve"> PAGEREF _Toc362884508 \h </w:instrText>
        </w:r>
        <w:r w:rsidR="00A92527">
          <w:rPr>
            <w:noProof/>
            <w:webHidden/>
          </w:rPr>
        </w:r>
        <w:r w:rsidR="00A92527">
          <w:rPr>
            <w:noProof/>
            <w:webHidden/>
          </w:rPr>
          <w:fldChar w:fldCharType="separate"/>
        </w:r>
        <w:r w:rsidR="00DF2399">
          <w:rPr>
            <w:noProof/>
            <w:webHidden/>
          </w:rPr>
          <w:t>27</w:t>
        </w:r>
        <w:r w:rsidR="00A92527">
          <w:rPr>
            <w:noProof/>
            <w:webHidden/>
          </w:rPr>
          <w:fldChar w:fldCharType="end"/>
        </w:r>
      </w:hyperlink>
    </w:p>
    <w:p w:rsidR="00A92527" w:rsidRDefault="000003C5">
      <w:pPr>
        <w:pStyle w:val="TOC1"/>
        <w:tabs>
          <w:tab w:val="left" w:pos="660"/>
          <w:tab w:val="right" w:leader="dot" w:pos="9211"/>
        </w:tabs>
        <w:rPr>
          <w:rFonts w:asciiTheme="minorHAnsi" w:eastAsiaTheme="minorEastAsia" w:hAnsiTheme="minorHAnsi" w:cstheme="minorBidi"/>
          <w:noProof/>
          <w:szCs w:val="22"/>
        </w:rPr>
      </w:pPr>
      <w:hyperlink w:anchor="_Toc362884509" w:history="1">
        <w:r w:rsidR="00A92527" w:rsidRPr="00D9793F">
          <w:rPr>
            <w:rStyle w:val="Hyperlink"/>
            <w:noProof/>
          </w:rPr>
          <w:t>15.</w:t>
        </w:r>
        <w:r w:rsidR="00A92527">
          <w:rPr>
            <w:rFonts w:asciiTheme="minorHAnsi" w:eastAsiaTheme="minorEastAsia" w:hAnsiTheme="minorHAnsi" w:cstheme="minorBidi"/>
            <w:noProof/>
            <w:szCs w:val="22"/>
          </w:rPr>
          <w:tab/>
        </w:r>
        <w:r w:rsidR="00A92527" w:rsidRPr="00D9793F">
          <w:rPr>
            <w:rStyle w:val="Hyperlink"/>
            <w:noProof/>
          </w:rPr>
          <w:t>Финансово състояние на БФБ-София</w:t>
        </w:r>
        <w:r w:rsidR="00A92527">
          <w:rPr>
            <w:noProof/>
            <w:webHidden/>
          </w:rPr>
          <w:tab/>
        </w:r>
        <w:r w:rsidR="00A92527">
          <w:rPr>
            <w:noProof/>
            <w:webHidden/>
          </w:rPr>
          <w:fldChar w:fldCharType="begin"/>
        </w:r>
        <w:r w:rsidR="00A92527">
          <w:rPr>
            <w:noProof/>
            <w:webHidden/>
          </w:rPr>
          <w:instrText xml:space="preserve"> PAGEREF _Toc362884509 \h </w:instrText>
        </w:r>
        <w:r w:rsidR="00A92527">
          <w:rPr>
            <w:noProof/>
            <w:webHidden/>
          </w:rPr>
        </w:r>
        <w:r w:rsidR="00A92527">
          <w:rPr>
            <w:noProof/>
            <w:webHidden/>
          </w:rPr>
          <w:fldChar w:fldCharType="separate"/>
        </w:r>
        <w:r w:rsidR="00DF2399">
          <w:rPr>
            <w:noProof/>
            <w:webHidden/>
          </w:rPr>
          <w:t>28</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10" w:history="1">
        <w:r w:rsidR="00A92527" w:rsidRPr="00D9793F">
          <w:rPr>
            <w:rStyle w:val="Hyperlink"/>
            <w:noProof/>
          </w:rPr>
          <w:t>15.1.</w:t>
        </w:r>
        <w:r w:rsidR="00A92527">
          <w:rPr>
            <w:rFonts w:asciiTheme="minorHAnsi" w:eastAsiaTheme="minorEastAsia" w:hAnsiTheme="minorHAnsi" w:cstheme="minorBidi"/>
            <w:noProof/>
            <w:szCs w:val="22"/>
          </w:rPr>
          <w:tab/>
        </w:r>
        <w:r w:rsidR="00A92527" w:rsidRPr="00D9793F">
          <w:rPr>
            <w:rStyle w:val="Hyperlink"/>
            <w:noProof/>
          </w:rPr>
          <w:t>Активи/пасиви</w:t>
        </w:r>
        <w:r w:rsidR="00A92527">
          <w:rPr>
            <w:noProof/>
            <w:webHidden/>
          </w:rPr>
          <w:tab/>
        </w:r>
        <w:r w:rsidR="00A92527">
          <w:rPr>
            <w:noProof/>
            <w:webHidden/>
          </w:rPr>
          <w:fldChar w:fldCharType="begin"/>
        </w:r>
        <w:r w:rsidR="00A92527">
          <w:rPr>
            <w:noProof/>
            <w:webHidden/>
          </w:rPr>
          <w:instrText xml:space="preserve"> PAGEREF _Toc362884510 \h </w:instrText>
        </w:r>
        <w:r w:rsidR="00A92527">
          <w:rPr>
            <w:noProof/>
            <w:webHidden/>
          </w:rPr>
        </w:r>
        <w:r w:rsidR="00A92527">
          <w:rPr>
            <w:noProof/>
            <w:webHidden/>
          </w:rPr>
          <w:fldChar w:fldCharType="separate"/>
        </w:r>
        <w:r w:rsidR="00DF2399">
          <w:rPr>
            <w:noProof/>
            <w:webHidden/>
          </w:rPr>
          <w:t>28</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11" w:history="1">
        <w:r w:rsidR="00A92527" w:rsidRPr="00D9793F">
          <w:rPr>
            <w:rStyle w:val="Hyperlink"/>
            <w:noProof/>
          </w:rPr>
          <w:t>15.2.</w:t>
        </w:r>
        <w:r w:rsidR="00A92527">
          <w:rPr>
            <w:rFonts w:asciiTheme="minorHAnsi" w:eastAsiaTheme="minorEastAsia" w:hAnsiTheme="minorHAnsi" w:cstheme="minorBidi"/>
            <w:noProof/>
            <w:szCs w:val="22"/>
          </w:rPr>
          <w:tab/>
        </w:r>
        <w:r w:rsidR="00A92527" w:rsidRPr="00D9793F">
          <w:rPr>
            <w:rStyle w:val="Hyperlink"/>
            <w:noProof/>
          </w:rPr>
          <w:t>Финансов резултат</w:t>
        </w:r>
        <w:r w:rsidR="00A92527">
          <w:rPr>
            <w:noProof/>
            <w:webHidden/>
          </w:rPr>
          <w:tab/>
        </w:r>
        <w:r w:rsidR="00A92527">
          <w:rPr>
            <w:noProof/>
            <w:webHidden/>
          </w:rPr>
          <w:fldChar w:fldCharType="begin"/>
        </w:r>
        <w:r w:rsidR="00A92527">
          <w:rPr>
            <w:noProof/>
            <w:webHidden/>
          </w:rPr>
          <w:instrText xml:space="preserve"> PAGEREF _Toc362884511 \h </w:instrText>
        </w:r>
        <w:r w:rsidR="00A92527">
          <w:rPr>
            <w:noProof/>
            <w:webHidden/>
          </w:rPr>
        </w:r>
        <w:r w:rsidR="00A92527">
          <w:rPr>
            <w:noProof/>
            <w:webHidden/>
          </w:rPr>
          <w:fldChar w:fldCharType="separate"/>
        </w:r>
        <w:r w:rsidR="00DF2399">
          <w:rPr>
            <w:noProof/>
            <w:webHidden/>
          </w:rPr>
          <w:t>28</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12" w:history="1">
        <w:r w:rsidR="00A92527" w:rsidRPr="00D9793F">
          <w:rPr>
            <w:rStyle w:val="Hyperlink"/>
            <w:noProof/>
          </w:rPr>
          <w:t>15.3.</w:t>
        </w:r>
        <w:r w:rsidR="00A92527">
          <w:rPr>
            <w:rFonts w:asciiTheme="minorHAnsi" w:eastAsiaTheme="minorEastAsia" w:hAnsiTheme="minorHAnsi" w:cstheme="minorBidi"/>
            <w:noProof/>
            <w:szCs w:val="22"/>
          </w:rPr>
          <w:tab/>
        </w:r>
        <w:r w:rsidR="00A92527" w:rsidRPr="00D9793F">
          <w:rPr>
            <w:rStyle w:val="Hyperlink"/>
            <w:noProof/>
          </w:rPr>
          <w:t>Приходи/разходи</w:t>
        </w:r>
        <w:r w:rsidR="00A92527">
          <w:rPr>
            <w:noProof/>
            <w:webHidden/>
          </w:rPr>
          <w:tab/>
        </w:r>
        <w:r w:rsidR="00A92527">
          <w:rPr>
            <w:noProof/>
            <w:webHidden/>
          </w:rPr>
          <w:fldChar w:fldCharType="begin"/>
        </w:r>
        <w:r w:rsidR="00A92527">
          <w:rPr>
            <w:noProof/>
            <w:webHidden/>
          </w:rPr>
          <w:instrText xml:space="preserve"> PAGEREF _Toc362884512 \h </w:instrText>
        </w:r>
        <w:r w:rsidR="00A92527">
          <w:rPr>
            <w:noProof/>
            <w:webHidden/>
          </w:rPr>
        </w:r>
        <w:r w:rsidR="00A92527">
          <w:rPr>
            <w:noProof/>
            <w:webHidden/>
          </w:rPr>
          <w:fldChar w:fldCharType="separate"/>
        </w:r>
        <w:r w:rsidR="00DF2399">
          <w:rPr>
            <w:noProof/>
            <w:webHidden/>
          </w:rPr>
          <w:t>28</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13" w:history="1">
        <w:r w:rsidR="00A92527" w:rsidRPr="00D9793F">
          <w:rPr>
            <w:rStyle w:val="Hyperlink"/>
            <w:noProof/>
          </w:rPr>
          <w:t>15.4.</w:t>
        </w:r>
        <w:r w:rsidR="00A92527">
          <w:rPr>
            <w:rFonts w:asciiTheme="minorHAnsi" w:eastAsiaTheme="minorEastAsia" w:hAnsiTheme="minorHAnsi" w:cstheme="minorBidi"/>
            <w:noProof/>
            <w:szCs w:val="22"/>
          </w:rPr>
          <w:tab/>
        </w:r>
        <w:r w:rsidR="00A92527" w:rsidRPr="00D9793F">
          <w:rPr>
            <w:rStyle w:val="Hyperlink"/>
            <w:noProof/>
          </w:rPr>
          <w:t>Сделки със свързани лица</w:t>
        </w:r>
        <w:r w:rsidR="00A92527">
          <w:rPr>
            <w:noProof/>
            <w:webHidden/>
          </w:rPr>
          <w:tab/>
        </w:r>
        <w:r w:rsidR="00A92527">
          <w:rPr>
            <w:noProof/>
            <w:webHidden/>
          </w:rPr>
          <w:fldChar w:fldCharType="begin"/>
        </w:r>
        <w:r w:rsidR="00A92527">
          <w:rPr>
            <w:noProof/>
            <w:webHidden/>
          </w:rPr>
          <w:instrText xml:space="preserve"> PAGEREF _Toc362884513 \h </w:instrText>
        </w:r>
        <w:r w:rsidR="00A92527">
          <w:rPr>
            <w:noProof/>
            <w:webHidden/>
          </w:rPr>
        </w:r>
        <w:r w:rsidR="00A92527">
          <w:rPr>
            <w:noProof/>
            <w:webHidden/>
          </w:rPr>
          <w:fldChar w:fldCharType="separate"/>
        </w:r>
        <w:r w:rsidR="00DF2399">
          <w:rPr>
            <w:noProof/>
            <w:webHidden/>
          </w:rPr>
          <w:t>29</w:t>
        </w:r>
        <w:r w:rsidR="00A92527">
          <w:rPr>
            <w:noProof/>
            <w:webHidden/>
          </w:rPr>
          <w:fldChar w:fldCharType="end"/>
        </w:r>
      </w:hyperlink>
    </w:p>
    <w:p w:rsidR="00A92527" w:rsidRDefault="000003C5">
      <w:pPr>
        <w:pStyle w:val="TOC2"/>
        <w:tabs>
          <w:tab w:val="left" w:pos="1100"/>
          <w:tab w:val="right" w:leader="dot" w:pos="9211"/>
        </w:tabs>
        <w:rPr>
          <w:rFonts w:asciiTheme="minorHAnsi" w:eastAsiaTheme="minorEastAsia" w:hAnsiTheme="minorHAnsi" w:cstheme="minorBidi"/>
          <w:noProof/>
          <w:szCs w:val="22"/>
        </w:rPr>
      </w:pPr>
      <w:hyperlink w:anchor="_Toc362884514" w:history="1">
        <w:r w:rsidR="00A92527" w:rsidRPr="00D9793F">
          <w:rPr>
            <w:rStyle w:val="Hyperlink"/>
            <w:noProof/>
          </w:rPr>
          <w:t>15.5.</w:t>
        </w:r>
        <w:r w:rsidR="00A92527">
          <w:rPr>
            <w:rFonts w:asciiTheme="minorHAnsi" w:eastAsiaTheme="minorEastAsia" w:hAnsiTheme="minorHAnsi" w:cstheme="minorBidi"/>
            <w:noProof/>
            <w:szCs w:val="22"/>
          </w:rPr>
          <w:tab/>
        </w:r>
        <w:r w:rsidR="00A92527" w:rsidRPr="00D9793F">
          <w:rPr>
            <w:rStyle w:val="Hyperlink"/>
            <w:noProof/>
          </w:rPr>
          <w:t>Основен доход на акция</w:t>
        </w:r>
        <w:r w:rsidR="00A92527">
          <w:rPr>
            <w:noProof/>
            <w:webHidden/>
          </w:rPr>
          <w:tab/>
        </w:r>
        <w:r w:rsidR="00A92527">
          <w:rPr>
            <w:noProof/>
            <w:webHidden/>
          </w:rPr>
          <w:fldChar w:fldCharType="begin"/>
        </w:r>
        <w:r w:rsidR="00A92527">
          <w:rPr>
            <w:noProof/>
            <w:webHidden/>
          </w:rPr>
          <w:instrText xml:space="preserve"> PAGEREF _Toc362884514 \h </w:instrText>
        </w:r>
        <w:r w:rsidR="00A92527">
          <w:rPr>
            <w:noProof/>
            <w:webHidden/>
          </w:rPr>
        </w:r>
        <w:r w:rsidR="00A92527">
          <w:rPr>
            <w:noProof/>
            <w:webHidden/>
          </w:rPr>
          <w:fldChar w:fldCharType="separate"/>
        </w:r>
        <w:r w:rsidR="00DF2399">
          <w:rPr>
            <w:noProof/>
            <w:webHidden/>
          </w:rPr>
          <w:t>29</w:t>
        </w:r>
        <w:r w:rsidR="00A92527">
          <w:rPr>
            <w:noProof/>
            <w:webHidden/>
          </w:rPr>
          <w:fldChar w:fldCharType="end"/>
        </w:r>
      </w:hyperlink>
    </w:p>
    <w:p w:rsidR="00C0372F" w:rsidRPr="008E2822" w:rsidRDefault="00AD3FDE">
      <w:r w:rsidRPr="008E2822">
        <w:fldChar w:fldCharType="end"/>
      </w:r>
    </w:p>
    <w:p w:rsidR="00745FEF" w:rsidRPr="008E2822" w:rsidRDefault="00843499" w:rsidP="008D1E64">
      <w:pPr>
        <w:tabs>
          <w:tab w:val="left" w:pos="360"/>
        </w:tabs>
      </w:pPr>
      <w:r w:rsidRPr="008E2822">
        <w:br w:type="page"/>
      </w:r>
    </w:p>
    <w:p w:rsidR="00E00E9E" w:rsidRPr="008E2822" w:rsidRDefault="00E00E9E" w:rsidP="00BA4CF8">
      <w:pPr>
        <w:pStyle w:val="Mainnumbers"/>
        <w:outlineLvl w:val="0"/>
      </w:pPr>
      <w:bookmarkStart w:id="1" w:name="_Toc283112098"/>
      <w:bookmarkStart w:id="2" w:name="_Toc362884482"/>
      <w:r w:rsidRPr="008E2822">
        <w:lastRenderedPageBreak/>
        <w:t>Въведение</w:t>
      </w:r>
      <w:bookmarkEnd w:id="1"/>
      <w:bookmarkEnd w:id="2"/>
    </w:p>
    <w:p w:rsidR="0099025F" w:rsidRPr="008E2822" w:rsidRDefault="0099025F" w:rsidP="0099025F">
      <w:pPr>
        <w:tabs>
          <w:tab w:val="left" w:pos="360"/>
        </w:tabs>
        <w:rPr>
          <w:szCs w:val="22"/>
        </w:rPr>
      </w:pPr>
      <w:r w:rsidRPr="008E2822">
        <w:rPr>
          <w:szCs w:val="22"/>
        </w:rPr>
        <w:t xml:space="preserve">Настоящият доклад е изготвен съгласно изискванията на чл. 33 от Наредба 2 за проспектите при </w:t>
      </w:r>
      <w:proofErr w:type="gramStart"/>
      <w:r w:rsidRPr="008E2822">
        <w:rPr>
          <w:szCs w:val="22"/>
        </w:rPr>
        <w:t>публично предлагане на ценни книжа и за разкриването на информация от публичните</w:t>
      </w:r>
      <w:proofErr w:type="gramEnd"/>
      <w:r w:rsidRPr="008E2822">
        <w:rPr>
          <w:szCs w:val="22"/>
        </w:rPr>
        <w:t xml:space="preserve"> дружества и другите емитенти на ценни книжа и съдържа данни за дейността на БФБ-София (Борсата), за акционерния състав и членовете й, както и тримесечен финансов отчет за </w:t>
      </w:r>
      <w:r w:rsidR="00E6732F" w:rsidRPr="008E2822">
        <w:rPr>
          <w:szCs w:val="22"/>
        </w:rPr>
        <w:t xml:space="preserve">второто </w:t>
      </w:r>
      <w:r w:rsidRPr="008E2822">
        <w:rPr>
          <w:szCs w:val="22"/>
        </w:rPr>
        <w:t>тримесечие на 201</w:t>
      </w:r>
      <w:r w:rsidR="00BA4CF8" w:rsidRPr="008E2822">
        <w:rPr>
          <w:szCs w:val="22"/>
          <w:lang w:val="en-US"/>
        </w:rPr>
        <w:t>3</w:t>
      </w:r>
      <w:r w:rsidR="00791551" w:rsidRPr="008E2822">
        <w:rPr>
          <w:szCs w:val="22"/>
        </w:rPr>
        <w:t xml:space="preserve"> г.</w:t>
      </w:r>
    </w:p>
    <w:p w:rsidR="0099025F" w:rsidRPr="008E2822" w:rsidRDefault="0099025F" w:rsidP="0099025F">
      <w:pPr>
        <w:tabs>
          <w:tab w:val="left" w:pos="360"/>
        </w:tabs>
        <w:rPr>
          <w:szCs w:val="22"/>
        </w:rPr>
      </w:pPr>
      <w:r w:rsidRPr="008E2822">
        <w:rPr>
          <w:szCs w:val="22"/>
        </w:rPr>
        <w:t xml:space="preserve">Докладът дава информация за </w:t>
      </w:r>
      <w:r w:rsidR="00474FF7" w:rsidRPr="008E2822">
        <w:rPr>
          <w:szCs w:val="22"/>
        </w:rPr>
        <w:t xml:space="preserve">важните събития, настъпили през </w:t>
      </w:r>
      <w:r w:rsidR="00E6732F" w:rsidRPr="008E2822">
        <w:rPr>
          <w:szCs w:val="22"/>
        </w:rPr>
        <w:t xml:space="preserve">второто </w:t>
      </w:r>
      <w:r w:rsidRPr="008E2822">
        <w:rPr>
          <w:szCs w:val="22"/>
        </w:rPr>
        <w:t>тримесечие на 201</w:t>
      </w:r>
      <w:r w:rsidR="00BA4CF8" w:rsidRPr="008E2822">
        <w:rPr>
          <w:szCs w:val="22"/>
          <w:lang w:val="en-US"/>
        </w:rPr>
        <w:t>3</w:t>
      </w:r>
      <w:r w:rsidR="00791551" w:rsidRPr="008E2822">
        <w:rPr>
          <w:szCs w:val="22"/>
        </w:rPr>
        <w:t xml:space="preserve"> </w:t>
      </w:r>
      <w:r w:rsidRPr="008E2822">
        <w:rPr>
          <w:szCs w:val="22"/>
        </w:rPr>
        <w:t xml:space="preserve">г, като са взети под внимание основните показатели на дейността, съпроводени със съответните анализи и изводи. Очертани са основните тенденции в развитието на капиталовия пазар, </w:t>
      </w:r>
      <w:r w:rsidR="00474FF7" w:rsidRPr="008E2822">
        <w:rPr>
          <w:szCs w:val="22"/>
        </w:rPr>
        <w:t xml:space="preserve">описани са основните рискове и </w:t>
      </w:r>
      <w:proofErr w:type="spellStart"/>
      <w:r w:rsidR="00474FF7" w:rsidRPr="008E2822">
        <w:rPr>
          <w:szCs w:val="22"/>
        </w:rPr>
        <w:t>несигурности</w:t>
      </w:r>
      <w:proofErr w:type="spellEnd"/>
      <w:r w:rsidR="00474FF7" w:rsidRPr="008E2822">
        <w:rPr>
          <w:szCs w:val="22"/>
        </w:rPr>
        <w:t>, пред които е изправена Борсата</w:t>
      </w:r>
      <w:r w:rsidRPr="008E2822">
        <w:rPr>
          <w:szCs w:val="22"/>
        </w:rPr>
        <w:t>.</w:t>
      </w:r>
    </w:p>
    <w:p w:rsidR="00355B33" w:rsidRPr="008E2822" w:rsidRDefault="00A916CF" w:rsidP="00BA4CF8">
      <w:pPr>
        <w:pStyle w:val="Mainnumbers"/>
        <w:outlineLvl w:val="0"/>
      </w:pPr>
      <w:r w:rsidRPr="008E2822">
        <w:br w:type="page"/>
      </w:r>
      <w:bookmarkStart w:id="3" w:name="_Toc283112099"/>
      <w:bookmarkStart w:id="4" w:name="_Toc362884483"/>
      <w:r w:rsidR="001A0C3E" w:rsidRPr="008E2822">
        <w:lastRenderedPageBreak/>
        <w:t>Данни за търговията на БФБ-София</w:t>
      </w:r>
      <w:bookmarkEnd w:id="3"/>
      <w:bookmarkEnd w:id="4"/>
    </w:p>
    <w:p w:rsidR="00DB7B6B" w:rsidRPr="008E2822" w:rsidRDefault="00DB7B6B" w:rsidP="00BA4CF8">
      <w:pPr>
        <w:pStyle w:val="SubNumbers"/>
        <w:outlineLvl w:val="1"/>
      </w:pPr>
      <w:bookmarkStart w:id="5" w:name="_Toc283112100"/>
      <w:bookmarkStart w:id="6" w:name="_Toc362884484"/>
      <w:r w:rsidRPr="008E2822">
        <w:t>Об</w:t>
      </w:r>
      <w:r w:rsidR="00C64B7B" w:rsidRPr="008E2822">
        <w:t>орот</w:t>
      </w:r>
      <w:r w:rsidRPr="008E2822">
        <w:t>, об</w:t>
      </w:r>
      <w:r w:rsidR="00C64B7B" w:rsidRPr="008E2822">
        <w:t>ем</w:t>
      </w:r>
      <w:r w:rsidRPr="008E2822">
        <w:t>, брой сделки</w:t>
      </w:r>
      <w:bookmarkEnd w:id="5"/>
      <w:bookmarkEnd w:id="6"/>
    </w:p>
    <w:p w:rsidR="001524A4" w:rsidRPr="008E2822" w:rsidRDefault="00E6732F" w:rsidP="00F6383D">
      <w:pPr>
        <w:tabs>
          <w:tab w:val="left" w:pos="360"/>
        </w:tabs>
        <w:rPr>
          <w:szCs w:val="22"/>
        </w:rPr>
      </w:pPr>
      <w:r w:rsidRPr="008E2822">
        <w:rPr>
          <w:szCs w:val="22"/>
        </w:rPr>
        <w:t xml:space="preserve">Второто тримесечие на 2013 г. е първото, в което съществува възможност </w:t>
      </w:r>
      <w:r w:rsidR="007E40CA" w:rsidRPr="008E2822">
        <w:rPr>
          <w:szCs w:val="22"/>
        </w:rPr>
        <w:t>за сравнение на показателите по пазари и сегменти според новата пазарна сегментация.</w:t>
      </w:r>
    </w:p>
    <w:tbl>
      <w:tblPr>
        <w:tblStyle w:val="TableGrid"/>
        <w:tblpPr w:leftFromText="142" w:rightFromText="142" w:vertAnchor="text" w:horzAnchor="margin" w:tblpXSpec="right" w:tblpY="404"/>
        <w:tblOverlap w:val="never"/>
        <w:tblW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tblGrid>
      <w:tr w:rsidR="00CB1BD8" w:rsidRPr="008E2822" w:rsidTr="00EA5FBD">
        <w:tc>
          <w:tcPr>
            <w:tcW w:w="5637" w:type="dxa"/>
          </w:tcPr>
          <w:p w:rsidR="00CB1BD8" w:rsidRPr="008E2822" w:rsidRDefault="0009711E" w:rsidP="0052497A">
            <w:pPr>
              <w:tabs>
                <w:tab w:val="left" w:pos="360"/>
              </w:tabs>
              <w:jc w:val="center"/>
              <w:rPr>
                <w:b/>
                <w:sz w:val="18"/>
                <w:szCs w:val="18"/>
              </w:rPr>
            </w:pPr>
            <w:r w:rsidRPr="008E2822">
              <w:rPr>
                <w:b/>
                <w:sz w:val="18"/>
                <w:szCs w:val="18"/>
              </w:rPr>
              <w:t xml:space="preserve">Графика 1: </w:t>
            </w:r>
            <w:r w:rsidR="00CB1BD8" w:rsidRPr="008E2822">
              <w:rPr>
                <w:b/>
                <w:sz w:val="18"/>
                <w:szCs w:val="18"/>
              </w:rPr>
              <w:t xml:space="preserve">Оборот за </w:t>
            </w:r>
            <w:r w:rsidR="00F215ED" w:rsidRPr="008E2822">
              <w:rPr>
                <w:b/>
                <w:sz w:val="18"/>
                <w:szCs w:val="18"/>
              </w:rPr>
              <w:t xml:space="preserve">второто </w:t>
            </w:r>
            <w:r w:rsidR="00CB1BD8" w:rsidRPr="008E2822">
              <w:rPr>
                <w:b/>
                <w:sz w:val="18"/>
                <w:szCs w:val="18"/>
              </w:rPr>
              <w:t>тр</w:t>
            </w:r>
            <w:r w:rsidR="001E33C7" w:rsidRPr="008E2822">
              <w:rPr>
                <w:b/>
                <w:sz w:val="18"/>
                <w:szCs w:val="18"/>
              </w:rPr>
              <w:t>имесечие на 2013</w:t>
            </w:r>
            <w:r w:rsidR="00CB1BD8" w:rsidRPr="008E2822">
              <w:rPr>
                <w:b/>
                <w:sz w:val="18"/>
                <w:szCs w:val="18"/>
              </w:rPr>
              <w:t xml:space="preserve"> </w:t>
            </w:r>
            <w:r w:rsidRPr="008E2822">
              <w:rPr>
                <w:b/>
                <w:sz w:val="18"/>
                <w:szCs w:val="18"/>
              </w:rPr>
              <w:t>и</w:t>
            </w:r>
            <w:r w:rsidR="00CB1BD8" w:rsidRPr="008E2822">
              <w:rPr>
                <w:b/>
                <w:sz w:val="18"/>
                <w:szCs w:val="18"/>
              </w:rPr>
              <w:t xml:space="preserve"> сравнение</w:t>
            </w:r>
          </w:p>
        </w:tc>
      </w:tr>
      <w:tr w:rsidR="00CB1BD8" w:rsidRPr="008E2822" w:rsidTr="00EA5FBD">
        <w:tblPrEx>
          <w:tblCellMar>
            <w:left w:w="70" w:type="dxa"/>
            <w:right w:w="70" w:type="dxa"/>
          </w:tblCellMar>
        </w:tblPrEx>
        <w:trPr>
          <w:trHeight w:val="3398"/>
        </w:trPr>
        <w:tc>
          <w:tcPr>
            <w:tcW w:w="5637" w:type="dxa"/>
          </w:tcPr>
          <w:p w:rsidR="00CB1BD8" w:rsidRPr="008E2822" w:rsidRDefault="00E72E99" w:rsidP="00714856">
            <w:pPr>
              <w:tabs>
                <w:tab w:val="left" w:pos="360"/>
              </w:tabs>
              <w:rPr>
                <w:i/>
                <w:sz w:val="20"/>
                <w:szCs w:val="20"/>
                <w:u w:val="single"/>
              </w:rPr>
            </w:pPr>
            <w:r w:rsidRPr="008E2822">
              <w:rPr>
                <w:noProof/>
              </w:rPr>
              <w:drawing>
                <wp:inline distT="0" distB="0" distL="0" distR="0" wp14:anchorId="299B81C7" wp14:editId="4DCE7713">
                  <wp:extent cx="3615489" cy="266499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C64B7B" w:rsidRPr="008E2822" w:rsidRDefault="00C64B7B" w:rsidP="00BA4CF8">
      <w:pPr>
        <w:pStyle w:val="SubSubNumber"/>
        <w:outlineLvl w:val="2"/>
      </w:pPr>
      <w:bookmarkStart w:id="7" w:name="_Toc362884485"/>
      <w:r w:rsidRPr="008E2822">
        <w:t>Оборот</w:t>
      </w:r>
      <w:bookmarkEnd w:id="7"/>
    </w:p>
    <w:p w:rsidR="00774D56" w:rsidRPr="008E2822" w:rsidRDefault="00C50657" w:rsidP="00E72E99">
      <w:pPr>
        <w:rPr>
          <w:i/>
          <w:szCs w:val="22"/>
        </w:rPr>
      </w:pPr>
      <w:r w:rsidRPr="008E2822">
        <w:rPr>
          <w:i/>
          <w:szCs w:val="22"/>
        </w:rPr>
        <w:t>Оборот през в</w:t>
      </w:r>
      <w:r w:rsidR="00774D56" w:rsidRPr="008E2822">
        <w:rPr>
          <w:i/>
          <w:szCs w:val="22"/>
        </w:rPr>
        <w:t>торо</w:t>
      </w:r>
      <w:r w:rsidRPr="008E2822">
        <w:rPr>
          <w:i/>
          <w:szCs w:val="22"/>
        </w:rPr>
        <w:t>то</w:t>
      </w:r>
      <w:r w:rsidR="00774D56" w:rsidRPr="008E2822">
        <w:rPr>
          <w:i/>
          <w:szCs w:val="22"/>
        </w:rPr>
        <w:t xml:space="preserve"> </w:t>
      </w:r>
      <w:proofErr w:type="gramStart"/>
      <w:r w:rsidR="00774D56" w:rsidRPr="008E2822">
        <w:rPr>
          <w:i/>
          <w:szCs w:val="22"/>
        </w:rPr>
        <w:t>тримесечие</w:t>
      </w:r>
      <w:proofErr w:type="gramEnd"/>
    </w:p>
    <w:p w:rsidR="00774D56" w:rsidRPr="008E2822" w:rsidRDefault="00774D56" w:rsidP="00E72E99">
      <w:pPr>
        <w:rPr>
          <w:szCs w:val="22"/>
        </w:rPr>
      </w:pPr>
    </w:p>
    <w:p w:rsidR="008E2822" w:rsidRPr="008E2822" w:rsidRDefault="008E2822" w:rsidP="008E2822">
      <w:pPr>
        <w:rPr>
          <w:szCs w:val="22"/>
        </w:rPr>
      </w:pPr>
      <w:r w:rsidRPr="008E2822">
        <w:rPr>
          <w:szCs w:val="22"/>
        </w:rPr>
        <w:t xml:space="preserve">Оборотът на регулирания пазар на финансови инструменти през второто тримесечие на 2013 година достигна </w:t>
      </w:r>
      <w:r w:rsidRPr="008E2822">
        <w:rPr>
          <w:color w:val="000000"/>
          <w:szCs w:val="22"/>
        </w:rPr>
        <w:t xml:space="preserve">587 788 518 </w:t>
      </w:r>
      <w:r w:rsidRPr="008E2822">
        <w:rPr>
          <w:szCs w:val="22"/>
        </w:rPr>
        <w:t xml:space="preserve">лева. За сравнение през второто тримесечие на 2012-а година </w:t>
      </w:r>
      <w:proofErr w:type="spellStart"/>
      <w:r w:rsidRPr="008E2822">
        <w:rPr>
          <w:szCs w:val="22"/>
          <w:lang w:val="en-US"/>
        </w:rPr>
        <w:t>той</w:t>
      </w:r>
      <w:proofErr w:type="spellEnd"/>
      <w:r w:rsidRPr="008E2822">
        <w:rPr>
          <w:szCs w:val="22"/>
          <w:lang w:val="en-US"/>
        </w:rPr>
        <w:t xml:space="preserve"> </w:t>
      </w:r>
      <w:r w:rsidRPr="008E2822">
        <w:rPr>
          <w:szCs w:val="22"/>
        </w:rPr>
        <w:t xml:space="preserve">е бил </w:t>
      </w:r>
      <w:r w:rsidRPr="008E2822">
        <w:rPr>
          <w:color w:val="000000"/>
          <w:szCs w:val="22"/>
        </w:rPr>
        <w:t xml:space="preserve">144 304 324 </w:t>
      </w:r>
      <w:r w:rsidRPr="008E2822">
        <w:rPr>
          <w:szCs w:val="22"/>
        </w:rPr>
        <w:t>лева, т.е. налице е нарастване около 307%.  Както става ясно от графиката, това се дължи основно на сериозна промяна в оборотите с акции (без АДСИЦ) и с облигации. Промяната при акциите е близо пет пъти (390%) – от 97 на 476 милиона лева, а при облигациите е 341 % - от 20,8 на 91,2 милиона лева. Най-голямо е нарастването през април, от 45 милиона лева през 2012-а година до 191 милиона през 2013-а година или 322,66 процента. Най-голям в абсолютен размер е оборотът през май, възлизащ на 309,18 милиона лева.</w:t>
      </w:r>
    </w:p>
    <w:p w:rsidR="008E2822" w:rsidRPr="008E2822" w:rsidRDefault="008E2822" w:rsidP="008E2822">
      <w:pPr>
        <w:rPr>
          <w:szCs w:val="22"/>
        </w:rPr>
      </w:pPr>
    </w:p>
    <w:p w:rsidR="008E2822" w:rsidRPr="008E2822" w:rsidRDefault="008E2822" w:rsidP="008E2822">
      <w:pPr>
        <w:rPr>
          <w:b/>
          <w:i/>
          <w:szCs w:val="22"/>
        </w:rPr>
      </w:pPr>
      <w:r w:rsidRPr="008E2822">
        <w:rPr>
          <w:b/>
          <w:i/>
          <w:szCs w:val="22"/>
        </w:rPr>
        <w:t>Оборот през 2013 (с натрупване)</w:t>
      </w:r>
    </w:p>
    <w:p w:rsidR="008E2822" w:rsidRPr="008E2822" w:rsidRDefault="008E2822" w:rsidP="008E2822">
      <w:pPr>
        <w:rPr>
          <w:color w:val="000000"/>
          <w:szCs w:val="22"/>
        </w:rPr>
      </w:pPr>
    </w:p>
    <w:p w:rsidR="008E4768" w:rsidRPr="008E2822" w:rsidRDefault="008E2822" w:rsidP="008E2822">
      <w:pPr>
        <w:rPr>
          <w:color w:val="000000"/>
          <w:szCs w:val="22"/>
        </w:rPr>
      </w:pPr>
      <w:r w:rsidRPr="008E2822">
        <w:rPr>
          <w:color w:val="000000"/>
          <w:szCs w:val="22"/>
        </w:rPr>
        <w:t xml:space="preserve">През първата половина на 2013 година оборотът нараства с 265.37% спрямо този за същия период на миналата 2012 година. Най-силно е нарастването при акциите (без АДСИЦ), + 420%, следвани от облигациите със 154% . Нарастват и оборотът с компенсаторни инструменти (+27,9%) и с други финансови инструменти. Намаление е налице при акциите и дяловете на колективни инвестиционни </w:t>
      </w:r>
      <w:proofErr w:type="gramStart"/>
      <w:r w:rsidRPr="008E2822">
        <w:rPr>
          <w:color w:val="000000"/>
          <w:szCs w:val="22"/>
        </w:rPr>
        <w:t>схеми (- 96</w:t>
      </w:r>
      <w:proofErr w:type="gramEnd"/>
      <w:r w:rsidRPr="008E2822">
        <w:rPr>
          <w:color w:val="000000"/>
          <w:szCs w:val="22"/>
        </w:rPr>
        <w:t>%), както и при акциите на АДСИЦ(-3,36%) .</w:t>
      </w:r>
    </w:p>
    <w:p w:rsidR="00C50657" w:rsidRPr="008E2822" w:rsidRDefault="00C50657">
      <w:pPr>
        <w:widowControl/>
        <w:jc w:val="left"/>
        <w:rPr>
          <w:color w:val="000000"/>
          <w:szCs w:val="22"/>
        </w:rPr>
      </w:pPr>
      <w:r w:rsidRPr="008E2822">
        <w:rPr>
          <w:color w:val="000000"/>
          <w:szCs w:val="22"/>
        </w:rPr>
        <w:br w:type="page"/>
      </w:r>
    </w:p>
    <w:p w:rsidR="00774D56" w:rsidRPr="008E2822" w:rsidRDefault="00774D56" w:rsidP="00C56CCA">
      <w:pPr>
        <w:rPr>
          <w:color w:val="000000"/>
          <w:szCs w:val="22"/>
        </w:rPr>
      </w:pPr>
    </w:p>
    <w:tbl>
      <w:tblPr>
        <w:tblStyle w:val="TableGrid"/>
        <w:tblpPr w:leftFromText="142" w:rightFromText="142" w:vertAnchor="text" w:horzAnchor="margin" w:tblpY="7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tblGrid>
      <w:tr w:rsidR="00E57439" w:rsidRPr="008E2822" w:rsidTr="00EA5FBD">
        <w:trPr>
          <w:cantSplit/>
        </w:trPr>
        <w:tc>
          <w:tcPr>
            <w:tcW w:w="5637" w:type="dxa"/>
          </w:tcPr>
          <w:p w:rsidR="00E57439" w:rsidRPr="008E2822" w:rsidRDefault="0009711E" w:rsidP="0052497A">
            <w:pPr>
              <w:tabs>
                <w:tab w:val="left" w:pos="360"/>
              </w:tabs>
              <w:spacing w:before="240"/>
              <w:jc w:val="center"/>
              <w:rPr>
                <w:b/>
                <w:i/>
                <w:sz w:val="18"/>
                <w:szCs w:val="18"/>
              </w:rPr>
            </w:pPr>
            <w:r w:rsidRPr="008E2822">
              <w:rPr>
                <w:b/>
                <w:i/>
                <w:sz w:val="18"/>
                <w:szCs w:val="18"/>
              </w:rPr>
              <w:t xml:space="preserve">Графика 2: </w:t>
            </w:r>
            <w:r w:rsidR="00904396" w:rsidRPr="008E2822">
              <w:rPr>
                <w:b/>
                <w:i/>
                <w:sz w:val="18"/>
                <w:szCs w:val="18"/>
              </w:rPr>
              <w:t xml:space="preserve">Брой сделки за </w:t>
            </w:r>
            <w:r w:rsidR="00C50657" w:rsidRPr="008E2822">
              <w:rPr>
                <w:b/>
                <w:i/>
                <w:sz w:val="18"/>
                <w:szCs w:val="18"/>
              </w:rPr>
              <w:t xml:space="preserve">второто </w:t>
            </w:r>
            <w:r w:rsidR="00904396" w:rsidRPr="008E2822">
              <w:rPr>
                <w:b/>
                <w:i/>
                <w:sz w:val="18"/>
                <w:szCs w:val="18"/>
              </w:rPr>
              <w:t>тримесечие на 201</w:t>
            </w:r>
            <w:r w:rsidR="00714856" w:rsidRPr="008E2822">
              <w:rPr>
                <w:b/>
                <w:i/>
                <w:sz w:val="18"/>
                <w:szCs w:val="18"/>
              </w:rPr>
              <w:t>3</w:t>
            </w:r>
            <w:r w:rsidR="00904396" w:rsidRPr="008E2822">
              <w:rPr>
                <w:b/>
                <w:i/>
                <w:sz w:val="18"/>
                <w:szCs w:val="18"/>
              </w:rPr>
              <w:t xml:space="preserve"> г. </w:t>
            </w:r>
            <w:r w:rsidR="00ED4E24" w:rsidRPr="008E2822">
              <w:rPr>
                <w:b/>
                <w:i/>
                <w:sz w:val="18"/>
                <w:szCs w:val="18"/>
              </w:rPr>
              <w:t>и сравнение</w:t>
            </w:r>
          </w:p>
        </w:tc>
      </w:tr>
      <w:tr w:rsidR="00E57439" w:rsidRPr="008E2822" w:rsidTr="00EA5FBD">
        <w:tblPrEx>
          <w:tblCellMar>
            <w:left w:w="70" w:type="dxa"/>
            <w:right w:w="70" w:type="dxa"/>
          </w:tblCellMar>
        </w:tblPrEx>
        <w:trPr>
          <w:cantSplit/>
        </w:trPr>
        <w:tc>
          <w:tcPr>
            <w:tcW w:w="5637" w:type="dxa"/>
          </w:tcPr>
          <w:p w:rsidR="00E57439" w:rsidRPr="008E2822" w:rsidRDefault="00405090" w:rsidP="00774D56">
            <w:pPr>
              <w:tabs>
                <w:tab w:val="left" w:pos="360"/>
              </w:tabs>
              <w:rPr>
                <w:i/>
                <w:szCs w:val="22"/>
                <w:u w:val="single"/>
              </w:rPr>
            </w:pPr>
            <w:r w:rsidRPr="008E2822">
              <w:rPr>
                <w:noProof/>
              </w:rPr>
              <w:drawing>
                <wp:inline distT="0" distB="0" distL="0" distR="0" wp14:anchorId="04BAEE32" wp14:editId="1250A2EC">
                  <wp:extent cx="3435016" cy="2502568"/>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8E2822" w:rsidDel="005C14E3">
              <w:rPr>
                <w:noProof/>
              </w:rPr>
              <w:t xml:space="preserve"> </w:t>
            </w:r>
          </w:p>
        </w:tc>
      </w:tr>
    </w:tbl>
    <w:p w:rsidR="00491DEE" w:rsidRPr="008E2822" w:rsidRDefault="00491DEE" w:rsidP="00BA4CF8">
      <w:pPr>
        <w:pStyle w:val="SubSubNumber"/>
        <w:outlineLvl w:val="2"/>
      </w:pPr>
      <w:bookmarkStart w:id="8" w:name="_Toc362884486"/>
      <w:r w:rsidRPr="008E2822">
        <w:t>Брой сделки</w:t>
      </w:r>
      <w:bookmarkEnd w:id="8"/>
    </w:p>
    <w:p w:rsidR="00082FF5" w:rsidRPr="008E2822" w:rsidRDefault="00082FF5" w:rsidP="00F6383D">
      <w:pPr>
        <w:tabs>
          <w:tab w:val="left" w:pos="360"/>
        </w:tabs>
        <w:rPr>
          <w:i/>
          <w:szCs w:val="22"/>
        </w:rPr>
      </w:pPr>
      <w:r w:rsidRPr="008E2822">
        <w:rPr>
          <w:i/>
          <w:szCs w:val="22"/>
        </w:rPr>
        <w:t xml:space="preserve">Брой сделки през второто </w:t>
      </w:r>
      <w:proofErr w:type="gramStart"/>
      <w:r w:rsidRPr="008E2822">
        <w:rPr>
          <w:i/>
          <w:szCs w:val="22"/>
        </w:rPr>
        <w:t>тримесечие</w:t>
      </w:r>
      <w:proofErr w:type="gramEnd"/>
    </w:p>
    <w:p w:rsidR="00082FF5" w:rsidRPr="008E2822" w:rsidRDefault="00082FF5" w:rsidP="00F6383D">
      <w:pPr>
        <w:tabs>
          <w:tab w:val="left" w:pos="360"/>
        </w:tabs>
        <w:rPr>
          <w:szCs w:val="22"/>
        </w:rPr>
      </w:pPr>
    </w:p>
    <w:p w:rsidR="008E2822" w:rsidRPr="008E2822" w:rsidRDefault="008E2822" w:rsidP="008E2822">
      <w:pPr>
        <w:tabs>
          <w:tab w:val="left" w:pos="360"/>
        </w:tabs>
        <w:rPr>
          <w:szCs w:val="22"/>
        </w:rPr>
      </w:pPr>
      <w:r w:rsidRPr="008E2822">
        <w:rPr>
          <w:szCs w:val="22"/>
        </w:rPr>
        <w:t>Тенденцията при сделките през 2013 година е подобна, както при оборота. Общият им брой нараства с 33% спрямо същия период на 2012 г. Сделките с акции нарастват с близо 50%, с компенсаторни инструменти и облигации - съответно с 23,31% и 18,81%.</w:t>
      </w:r>
    </w:p>
    <w:p w:rsidR="008E2822" w:rsidRPr="008E2822" w:rsidRDefault="008E2822" w:rsidP="008E2822">
      <w:pPr>
        <w:tabs>
          <w:tab w:val="left" w:pos="360"/>
        </w:tabs>
        <w:rPr>
          <w:szCs w:val="22"/>
        </w:rPr>
      </w:pPr>
      <w:r w:rsidRPr="008E2822">
        <w:rPr>
          <w:szCs w:val="22"/>
        </w:rPr>
        <w:t xml:space="preserve">За останалите финансови инструменти този показател отбелязва </w:t>
      </w:r>
      <w:proofErr w:type="gramStart"/>
      <w:r w:rsidRPr="008E2822">
        <w:rPr>
          <w:szCs w:val="22"/>
        </w:rPr>
        <w:t>намаление , най</w:t>
      </w:r>
      <w:proofErr w:type="gramEnd"/>
      <w:r w:rsidRPr="008E2822">
        <w:rPr>
          <w:szCs w:val="22"/>
        </w:rPr>
        <w:t xml:space="preserve">-голямо при колективните </w:t>
      </w:r>
      <w:proofErr w:type="spellStart"/>
      <w:r w:rsidRPr="008E2822">
        <w:rPr>
          <w:szCs w:val="22"/>
        </w:rPr>
        <w:t>инвестиицонни</w:t>
      </w:r>
      <w:proofErr w:type="spellEnd"/>
      <w:r w:rsidRPr="008E2822">
        <w:rPr>
          <w:szCs w:val="22"/>
        </w:rPr>
        <w:t xml:space="preserve"> схеми (-75%), при правата с -71,79%, при структурираните продукти с  -26,67% и при акциите на АДСИЦ с -10,55%. Най-голямо е нарастването през април – от 3 274 на 5 597 сделки. През юни е реализиран най-големият брой сделки през второто тримесечие на 2013 година – 7 384.</w:t>
      </w:r>
    </w:p>
    <w:p w:rsidR="008E2822" w:rsidRPr="008E2822" w:rsidRDefault="008E2822" w:rsidP="008E2822">
      <w:pPr>
        <w:tabs>
          <w:tab w:val="left" w:pos="360"/>
        </w:tabs>
        <w:rPr>
          <w:szCs w:val="22"/>
        </w:rPr>
      </w:pPr>
    </w:p>
    <w:p w:rsidR="008E2822" w:rsidRPr="008E2822" w:rsidRDefault="008E2822" w:rsidP="008E2822">
      <w:pPr>
        <w:tabs>
          <w:tab w:val="left" w:pos="360"/>
        </w:tabs>
        <w:rPr>
          <w:i/>
          <w:szCs w:val="22"/>
        </w:rPr>
      </w:pPr>
      <w:r w:rsidRPr="008E2822">
        <w:rPr>
          <w:i/>
          <w:szCs w:val="22"/>
        </w:rPr>
        <w:t>Брой сделки през 2013 г. (с натрупване)</w:t>
      </w:r>
    </w:p>
    <w:p w:rsidR="008E2822" w:rsidRPr="008E2822" w:rsidRDefault="008E2822" w:rsidP="008E2822">
      <w:pPr>
        <w:tabs>
          <w:tab w:val="left" w:pos="360"/>
        </w:tabs>
        <w:rPr>
          <w:szCs w:val="22"/>
        </w:rPr>
      </w:pPr>
    </w:p>
    <w:p w:rsidR="005F33E8" w:rsidRPr="008E2822" w:rsidRDefault="008E2822" w:rsidP="008E2822">
      <w:pPr>
        <w:tabs>
          <w:tab w:val="left" w:pos="360"/>
        </w:tabs>
        <w:rPr>
          <w:szCs w:val="22"/>
        </w:rPr>
      </w:pPr>
      <w:r w:rsidRPr="008E2822">
        <w:rPr>
          <w:szCs w:val="22"/>
        </w:rPr>
        <w:t>През първата половина на 2013-а година броят сделки се повишава с близо 17 хиляди от 30 074 през първата половина на 2012-а до 46 949 през текущия период. Силно нараства броят сделки с компенсаторни инструменти, с акции (без АДСИЦ) и с облигации а при останалите финансови инструменти се наблюдава намаление. Най-висока стойност този показател достига през юни – 7 384 сделки, докато през 2012-а това станало през май – 5 703 . Най-голямото нарастване през първото полугодие спрямо съответния месец на 2012-а е било през януари, от 5 362 до 12 198.</w:t>
      </w:r>
    </w:p>
    <w:p w:rsidR="005F33E8" w:rsidRPr="008E2822" w:rsidRDefault="005F33E8">
      <w:pPr>
        <w:widowControl/>
        <w:jc w:val="left"/>
        <w:rPr>
          <w:szCs w:val="22"/>
        </w:rPr>
      </w:pPr>
      <w:r w:rsidRPr="008E2822">
        <w:rPr>
          <w:szCs w:val="22"/>
        </w:rPr>
        <w:br w:type="page"/>
      </w:r>
    </w:p>
    <w:p w:rsidR="00491DEE" w:rsidRPr="008E2822" w:rsidRDefault="00491DEE" w:rsidP="00BA4CF8">
      <w:pPr>
        <w:pStyle w:val="SubSubNumber"/>
        <w:outlineLvl w:val="2"/>
      </w:pPr>
      <w:bookmarkStart w:id="9" w:name="_Toc362884487"/>
      <w:r w:rsidRPr="008E2822">
        <w:lastRenderedPageBreak/>
        <w:t>Обем (лотове)</w:t>
      </w:r>
      <w:bookmarkEnd w:id="9"/>
    </w:p>
    <w:tbl>
      <w:tblPr>
        <w:tblStyle w:val="TableGrid"/>
        <w:tblpPr w:leftFromText="142" w:rightFromText="142" w:vertAnchor="text" w:horzAnchor="margin" w:tblpY="11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9"/>
      </w:tblGrid>
      <w:tr w:rsidR="00782232" w:rsidRPr="008E2822" w:rsidTr="00952357">
        <w:tc>
          <w:tcPr>
            <w:tcW w:w="5211" w:type="dxa"/>
          </w:tcPr>
          <w:p w:rsidR="00782232" w:rsidRPr="008E2822" w:rsidRDefault="0009711E" w:rsidP="0009711E">
            <w:pPr>
              <w:tabs>
                <w:tab w:val="left" w:pos="360"/>
              </w:tabs>
              <w:jc w:val="center"/>
              <w:rPr>
                <w:b/>
                <w:i/>
                <w:sz w:val="18"/>
                <w:szCs w:val="18"/>
                <w:u w:val="single"/>
              </w:rPr>
            </w:pPr>
            <w:r w:rsidRPr="008E2822">
              <w:rPr>
                <w:b/>
                <w:i/>
                <w:sz w:val="18"/>
                <w:szCs w:val="18"/>
              </w:rPr>
              <w:t xml:space="preserve">Графика 3: </w:t>
            </w:r>
            <w:r w:rsidR="00782232" w:rsidRPr="008E2822">
              <w:rPr>
                <w:b/>
                <w:sz w:val="18"/>
                <w:szCs w:val="18"/>
              </w:rPr>
              <w:t>Брой прехвърлени лото</w:t>
            </w:r>
            <w:r w:rsidRPr="008E2822">
              <w:rPr>
                <w:b/>
                <w:sz w:val="18"/>
                <w:szCs w:val="18"/>
              </w:rPr>
              <w:t>ве за първото тримесечие на 2013</w:t>
            </w:r>
            <w:r w:rsidR="00782232" w:rsidRPr="008E2822">
              <w:rPr>
                <w:b/>
                <w:sz w:val="18"/>
                <w:szCs w:val="18"/>
              </w:rPr>
              <w:t xml:space="preserve"> г. </w:t>
            </w:r>
            <w:r w:rsidRPr="008E2822">
              <w:rPr>
                <w:b/>
                <w:sz w:val="18"/>
                <w:szCs w:val="18"/>
              </w:rPr>
              <w:t>и</w:t>
            </w:r>
            <w:r w:rsidR="00782232" w:rsidRPr="008E2822">
              <w:rPr>
                <w:b/>
                <w:sz w:val="18"/>
                <w:szCs w:val="18"/>
              </w:rPr>
              <w:t xml:space="preserve"> сравнение</w:t>
            </w:r>
          </w:p>
        </w:tc>
      </w:tr>
      <w:tr w:rsidR="00782232" w:rsidRPr="008E2822" w:rsidTr="00952357">
        <w:tblPrEx>
          <w:tblCellMar>
            <w:left w:w="70" w:type="dxa"/>
            <w:right w:w="70" w:type="dxa"/>
          </w:tblCellMar>
        </w:tblPrEx>
        <w:tc>
          <w:tcPr>
            <w:tcW w:w="5211" w:type="dxa"/>
          </w:tcPr>
          <w:p w:rsidR="00782232" w:rsidRPr="008E2822" w:rsidRDefault="005C14E3" w:rsidP="00782232">
            <w:pPr>
              <w:tabs>
                <w:tab w:val="left" w:pos="360"/>
              </w:tabs>
              <w:rPr>
                <w:i/>
                <w:szCs w:val="22"/>
                <w:u w:val="single"/>
              </w:rPr>
            </w:pPr>
            <w:r w:rsidRPr="008E2822">
              <w:rPr>
                <w:noProof/>
              </w:rPr>
              <w:drawing>
                <wp:inline distT="0" distB="0" distL="0" distR="0" wp14:anchorId="3A86F866" wp14:editId="66F43187">
                  <wp:extent cx="3435016" cy="2460458"/>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2A16D3" w:rsidRPr="008E2822" w:rsidRDefault="002A16D3" w:rsidP="00B15AFD">
      <w:pPr>
        <w:rPr>
          <w:szCs w:val="22"/>
        </w:rPr>
      </w:pPr>
      <w:r w:rsidRPr="008E2822">
        <w:rPr>
          <w:szCs w:val="22"/>
        </w:rPr>
        <w:t xml:space="preserve">Прехвърлени </w:t>
      </w:r>
      <w:proofErr w:type="gramStart"/>
      <w:r w:rsidRPr="008E2822">
        <w:rPr>
          <w:szCs w:val="22"/>
        </w:rPr>
        <w:t>лотове</w:t>
      </w:r>
      <w:proofErr w:type="gramEnd"/>
    </w:p>
    <w:p w:rsidR="002A16D3" w:rsidRPr="008E2822" w:rsidRDefault="002A16D3" w:rsidP="00B15AFD">
      <w:pPr>
        <w:rPr>
          <w:szCs w:val="22"/>
        </w:rPr>
      </w:pPr>
    </w:p>
    <w:p w:rsidR="008E2822" w:rsidRPr="008E2822" w:rsidRDefault="008E2822" w:rsidP="008E2822">
      <w:pPr>
        <w:rPr>
          <w:szCs w:val="22"/>
        </w:rPr>
      </w:pPr>
      <w:r w:rsidRPr="008E2822">
        <w:rPr>
          <w:szCs w:val="22"/>
        </w:rPr>
        <w:t xml:space="preserve">Броят прехвърлени лотове през второто тримесечие на 2013 година възлиза на </w:t>
      </w:r>
      <w:r w:rsidRPr="008E2822">
        <w:rPr>
          <w:b/>
          <w:bCs/>
          <w:color w:val="000000"/>
          <w:szCs w:val="22"/>
        </w:rPr>
        <w:t xml:space="preserve">175 509 912 </w:t>
      </w:r>
      <w:r w:rsidRPr="008E2822">
        <w:rPr>
          <w:szCs w:val="22"/>
        </w:rPr>
        <w:t xml:space="preserve">лота. В сравнение с прехвърлените през същото тримесечие на 2012 година </w:t>
      </w:r>
      <w:r w:rsidRPr="008E2822">
        <w:rPr>
          <w:b/>
          <w:bCs/>
          <w:color w:val="000000"/>
          <w:szCs w:val="22"/>
        </w:rPr>
        <w:t xml:space="preserve">75 178 566 </w:t>
      </w:r>
      <w:r w:rsidRPr="008E2822">
        <w:rPr>
          <w:szCs w:val="22"/>
        </w:rPr>
        <w:t xml:space="preserve">лота, това е повишение от над 133,46%. Повишението обаче е по-малко в сравнение с нарастването  през първите тримесечия на 2012/2013 г., което бе с над 148 процента. Промените са сходни с вече описаните при предходните индикатори на търговията. Нарастване от 174,68%, има при броя прехвърлени лотове акции (без АДСИЦ както и при прехвърлените лотове </w:t>
      </w:r>
      <w:proofErr w:type="spellStart"/>
      <w:r w:rsidRPr="008E2822">
        <w:rPr>
          <w:szCs w:val="22"/>
        </w:rPr>
        <w:t>облигацииот</w:t>
      </w:r>
      <w:proofErr w:type="spellEnd"/>
      <w:r w:rsidRPr="008E2822">
        <w:rPr>
          <w:szCs w:val="22"/>
        </w:rPr>
        <w:t xml:space="preserve"> 339,65%. Спад се наблюдава при броят прехвърлени лотове акции и дялове на колективни инвестиционни </w:t>
      </w:r>
      <w:proofErr w:type="gramStart"/>
      <w:r w:rsidRPr="008E2822">
        <w:rPr>
          <w:szCs w:val="22"/>
        </w:rPr>
        <w:t>схеми (-99</w:t>
      </w:r>
      <w:proofErr w:type="gramEnd"/>
      <w:r w:rsidRPr="008E2822">
        <w:rPr>
          <w:szCs w:val="22"/>
        </w:rPr>
        <w:t xml:space="preserve">,2%),  акции на АДСИЦ (-10,54%), </w:t>
      </w:r>
      <w:proofErr w:type="spellStart"/>
      <w:r w:rsidRPr="008E2822">
        <w:rPr>
          <w:szCs w:val="22"/>
        </w:rPr>
        <w:t>какот</w:t>
      </w:r>
      <w:proofErr w:type="spellEnd"/>
      <w:r w:rsidRPr="008E2822">
        <w:rPr>
          <w:szCs w:val="22"/>
        </w:rPr>
        <w:t xml:space="preserve"> и при прехвърлените компенсаторни инструменти ( 13,62%).</w:t>
      </w:r>
    </w:p>
    <w:p w:rsidR="008E2822" w:rsidRPr="008E2822" w:rsidRDefault="008E2822" w:rsidP="008E2822">
      <w:pPr>
        <w:rPr>
          <w:szCs w:val="22"/>
        </w:rPr>
      </w:pPr>
    </w:p>
    <w:p w:rsidR="008E2822" w:rsidRPr="008E2822" w:rsidRDefault="008E2822" w:rsidP="008E2822">
      <w:pPr>
        <w:rPr>
          <w:i/>
          <w:szCs w:val="22"/>
        </w:rPr>
      </w:pPr>
      <w:r w:rsidRPr="008E2822">
        <w:rPr>
          <w:i/>
          <w:szCs w:val="22"/>
        </w:rPr>
        <w:t>Брой прехвърлени лотове за 2013 г. (с натрупване)</w:t>
      </w:r>
    </w:p>
    <w:p w:rsidR="008E2822" w:rsidRPr="008E2822" w:rsidRDefault="008E2822" w:rsidP="008E2822">
      <w:pPr>
        <w:rPr>
          <w:szCs w:val="22"/>
        </w:rPr>
      </w:pPr>
    </w:p>
    <w:p w:rsidR="00C84B30" w:rsidRPr="008E2822" w:rsidRDefault="008E2822" w:rsidP="008E2822">
      <w:pPr>
        <w:rPr>
          <w:b/>
          <w:szCs w:val="22"/>
        </w:rPr>
      </w:pPr>
      <w:r w:rsidRPr="008E2822">
        <w:rPr>
          <w:szCs w:val="22"/>
        </w:rPr>
        <w:t xml:space="preserve">Броят прехвърлени лотове в първата половина на 2013 година спрямо същия период на 2012 г. нараства близо два пъти и половина от 124,15 милиона до 298,52 </w:t>
      </w:r>
      <w:proofErr w:type="gramStart"/>
      <w:r w:rsidRPr="008E2822">
        <w:rPr>
          <w:szCs w:val="22"/>
        </w:rPr>
        <w:t xml:space="preserve">милиона . </w:t>
      </w:r>
      <w:proofErr w:type="gramEnd"/>
      <w:r w:rsidRPr="008E2822">
        <w:rPr>
          <w:szCs w:val="22"/>
        </w:rPr>
        <w:t xml:space="preserve">Най-голямото нарастване на месечна база е през март спрямо февруари от 17 до 60,84 милиона или със 129,42%. Забелязва се известна връзка между вътрешнополитическата криза от февруари и антиправителствените протести, започнали през юни 2012 г. и резкият спад на прехвърлените финансови инструменти през тези два месеца – </w:t>
      </w:r>
      <w:proofErr w:type="gramStart"/>
      <w:r w:rsidRPr="008E2822">
        <w:rPr>
          <w:szCs w:val="22"/>
        </w:rPr>
        <w:t>съответно -25</w:t>
      </w:r>
      <w:proofErr w:type="gramEnd"/>
      <w:r w:rsidRPr="008E2822">
        <w:rPr>
          <w:szCs w:val="22"/>
        </w:rPr>
        <w:t>,60% и -80,86%.</w:t>
      </w:r>
    </w:p>
    <w:p w:rsidR="00E76AAF" w:rsidRPr="008E2822" w:rsidRDefault="00E76AAF">
      <w:pPr>
        <w:widowControl/>
        <w:jc w:val="left"/>
        <w:rPr>
          <w:sz w:val="20"/>
          <w:szCs w:val="20"/>
        </w:rPr>
      </w:pPr>
      <w:r w:rsidRPr="008E2822">
        <w:rPr>
          <w:sz w:val="20"/>
          <w:szCs w:val="20"/>
        </w:rPr>
        <w:br w:type="page"/>
      </w:r>
    </w:p>
    <w:p w:rsidR="00D93706" w:rsidRPr="008E2822" w:rsidRDefault="00F73386" w:rsidP="00D93706">
      <w:pPr>
        <w:pStyle w:val="a2"/>
        <w:tabs>
          <w:tab w:val="left" w:pos="360"/>
        </w:tabs>
        <w:jc w:val="left"/>
        <w:rPr>
          <w:b/>
          <w:i w:val="0"/>
          <w:szCs w:val="20"/>
        </w:rPr>
      </w:pPr>
      <w:r w:rsidRPr="008E2822">
        <w:rPr>
          <w:b/>
          <w:i w:val="0"/>
          <w:szCs w:val="20"/>
        </w:rPr>
        <w:lastRenderedPageBreak/>
        <w:t xml:space="preserve">Таблица 1. </w:t>
      </w:r>
      <w:r w:rsidR="00D93706" w:rsidRPr="008E2822">
        <w:rPr>
          <w:b/>
          <w:i w:val="0"/>
          <w:szCs w:val="20"/>
        </w:rPr>
        <w:t xml:space="preserve">Структура на търговията по пазари за </w:t>
      </w:r>
      <w:r w:rsidR="002E2014" w:rsidRPr="008E2822">
        <w:rPr>
          <w:b/>
          <w:i w:val="0"/>
          <w:szCs w:val="20"/>
        </w:rPr>
        <w:t xml:space="preserve">второто </w:t>
      </w:r>
      <w:r w:rsidR="00911171" w:rsidRPr="008E2822">
        <w:rPr>
          <w:b/>
          <w:i w:val="0"/>
          <w:szCs w:val="20"/>
        </w:rPr>
        <w:t xml:space="preserve">тримесечие на </w:t>
      </w:r>
      <w:r w:rsidR="00D93706" w:rsidRPr="008E2822">
        <w:rPr>
          <w:b/>
          <w:i w:val="0"/>
          <w:szCs w:val="20"/>
        </w:rPr>
        <w:t>201</w:t>
      </w:r>
      <w:r w:rsidR="003F24A5" w:rsidRPr="008E2822">
        <w:rPr>
          <w:b/>
          <w:i w:val="0"/>
          <w:szCs w:val="20"/>
        </w:rPr>
        <w:t>3</w:t>
      </w:r>
      <w:r w:rsidR="00911171" w:rsidRPr="008E2822">
        <w:rPr>
          <w:b/>
          <w:i w:val="0"/>
          <w:szCs w:val="20"/>
        </w:rPr>
        <w:t xml:space="preserve"> </w:t>
      </w:r>
      <w:r w:rsidR="00D93706" w:rsidRPr="008E2822">
        <w:rPr>
          <w:b/>
          <w:i w:val="0"/>
          <w:szCs w:val="20"/>
        </w:rPr>
        <w:t>г. (оборот в лв.)</w:t>
      </w:r>
    </w:p>
    <w:tbl>
      <w:tblPr>
        <w:tblW w:w="6869" w:type="dxa"/>
        <w:jc w:val="center"/>
        <w:tblCellMar>
          <w:left w:w="70" w:type="dxa"/>
          <w:right w:w="70" w:type="dxa"/>
        </w:tblCellMar>
        <w:tblLook w:val="04A0" w:firstRow="1" w:lastRow="0" w:firstColumn="1" w:lastColumn="0" w:noHBand="0" w:noVBand="1"/>
      </w:tblPr>
      <w:tblGrid>
        <w:gridCol w:w="552"/>
        <w:gridCol w:w="4547"/>
        <w:gridCol w:w="1770"/>
      </w:tblGrid>
      <w:tr w:rsidR="002E2014" w:rsidRPr="008E2822" w:rsidTr="00EA5FBD">
        <w:trPr>
          <w:trHeight w:val="170"/>
          <w:jc w:val="center"/>
        </w:trPr>
        <w:tc>
          <w:tcPr>
            <w:tcW w:w="552" w:type="dxa"/>
            <w:tcBorders>
              <w:top w:val="single" w:sz="4" w:space="0" w:color="auto"/>
              <w:left w:val="single" w:sz="4" w:space="0" w:color="auto"/>
              <w:bottom w:val="single" w:sz="4" w:space="0" w:color="auto"/>
              <w:right w:val="single" w:sz="4" w:space="0" w:color="auto"/>
            </w:tcBorders>
            <w:shd w:val="clear" w:color="auto" w:fill="4F81BD" w:themeFill="accent1"/>
            <w:noWrap/>
            <w:vAlign w:val="center"/>
            <w:hideMark/>
          </w:tcPr>
          <w:p w:rsidR="002E2014" w:rsidRPr="008E2822" w:rsidRDefault="002E2014" w:rsidP="002E2014">
            <w:pPr>
              <w:widowControl/>
              <w:jc w:val="center"/>
              <w:rPr>
                <w:color w:val="FFFFFF"/>
                <w:sz w:val="20"/>
                <w:szCs w:val="20"/>
              </w:rPr>
            </w:pPr>
            <w:r w:rsidRPr="008E2822">
              <w:rPr>
                <w:color w:val="FFFFFF" w:themeColor="background1"/>
                <w:sz w:val="20"/>
                <w:szCs w:val="20"/>
              </w:rPr>
              <w:t>№</w:t>
            </w:r>
          </w:p>
        </w:tc>
        <w:tc>
          <w:tcPr>
            <w:tcW w:w="4547" w:type="dxa"/>
            <w:tcBorders>
              <w:top w:val="single" w:sz="4" w:space="0" w:color="auto"/>
              <w:left w:val="nil"/>
              <w:bottom w:val="single" w:sz="4" w:space="0" w:color="auto"/>
              <w:right w:val="single" w:sz="4" w:space="0" w:color="auto"/>
            </w:tcBorders>
            <w:shd w:val="clear" w:color="auto" w:fill="4F81BD" w:themeFill="accent1"/>
            <w:noWrap/>
            <w:vAlign w:val="center"/>
            <w:hideMark/>
          </w:tcPr>
          <w:p w:rsidR="002E2014" w:rsidRPr="008E2822" w:rsidRDefault="002E2014" w:rsidP="002E2014">
            <w:pPr>
              <w:widowControl/>
              <w:jc w:val="left"/>
              <w:rPr>
                <w:b/>
                <w:bCs/>
                <w:color w:val="FFFFFF"/>
                <w:sz w:val="20"/>
                <w:szCs w:val="20"/>
              </w:rPr>
            </w:pPr>
            <w:r w:rsidRPr="008E2822">
              <w:rPr>
                <w:rFonts w:cs="Arial"/>
                <w:b/>
                <w:bCs/>
                <w:color w:val="FFFFFF" w:themeColor="background1"/>
                <w:sz w:val="20"/>
                <w:szCs w:val="20"/>
              </w:rPr>
              <w:t>Пазарен сегмент</w:t>
            </w:r>
          </w:p>
        </w:tc>
        <w:tc>
          <w:tcPr>
            <w:tcW w:w="1770" w:type="dxa"/>
            <w:tcBorders>
              <w:top w:val="single" w:sz="4" w:space="0" w:color="auto"/>
              <w:left w:val="nil"/>
              <w:bottom w:val="single" w:sz="4" w:space="0" w:color="auto"/>
              <w:right w:val="single" w:sz="4" w:space="0" w:color="auto"/>
            </w:tcBorders>
            <w:shd w:val="clear" w:color="auto" w:fill="4F81BD" w:themeFill="accent1"/>
            <w:noWrap/>
            <w:vAlign w:val="center"/>
            <w:hideMark/>
          </w:tcPr>
          <w:p w:rsidR="002E2014" w:rsidRPr="008E2822" w:rsidRDefault="002E2014" w:rsidP="002E2014">
            <w:pPr>
              <w:widowControl/>
              <w:jc w:val="center"/>
              <w:rPr>
                <w:b/>
                <w:bCs/>
                <w:color w:val="FFFFFF"/>
                <w:sz w:val="20"/>
                <w:szCs w:val="20"/>
              </w:rPr>
            </w:pPr>
            <w:r w:rsidRPr="008E2822">
              <w:rPr>
                <w:rFonts w:cs="Arial"/>
                <w:b/>
                <w:bCs/>
                <w:color w:val="FFFFFF" w:themeColor="background1"/>
                <w:sz w:val="20"/>
                <w:szCs w:val="20"/>
              </w:rPr>
              <w:t>Оборот</w:t>
            </w:r>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rPr>
                <w:b/>
                <w:bCs/>
                <w:color w:val="000000"/>
                <w:sz w:val="20"/>
                <w:szCs w:val="20"/>
              </w:rPr>
            </w:pPr>
            <w:r w:rsidRPr="008E2822">
              <w:rPr>
                <w:b/>
                <w:bCs/>
                <w:color w:val="000000"/>
                <w:sz w:val="20"/>
                <w:szCs w:val="20"/>
              </w:rPr>
              <w:t>1</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b/>
                <w:bCs/>
                <w:color w:val="000000"/>
                <w:sz w:val="20"/>
                <w:szCs w:val="20"/>
              </w:rPr>
            </w:pPr>
            <w:r w:rsidRPr="008E2822">
              <w:rPr>
                <w:b/>
                <w:bCs/>
                <w:color w:val="000000"/>
                <w:sz w:val="20"/>
                <w:szCs w:val="20"/>
              </w:rPr>
              <w:t>Основен пазар BSE</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b/>
                <w:bCs/>
                <w:color w:val="000000"/>
                <w:sz w:val="20"/>
                <w:szCs w:val="20"/>
              </w:rPr>
            </w:pPr>
            <w:r w:rsidRPr="008E2822">
              <w:rPr>
                <w:b/>
                <w:bCs/>
                <w:color w:val="000000"/>
                <w:sz w:val="20"/>
                <w:szCs w:val="20"/>
              </w:rPr>
              <w:t>571 099 749.</w:t>
            </w:r>
            <w:proofErr w:type="gramStart"/>
            <w:r w:rsidRPr="008E2822">
              <w:rPr>
                <w:b/>
                <w:bCs/>
                <w:color w:val="000000"/>
                <w:sz w:val="20"/>
                <w:szCs w:val="20"/>
              </w:rPr>
              <w:t>65</w:t>
            </w:r>
            <w:r w:rsidR="00E060B3" w:rsidRPr="008E2822">
              <w:rPr>
                <w:b/>
                <w:bCs/>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a</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акции Premium</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91 911 626.</w:t>
            </w:r>
            <w:proofErr w:type="gramStart"/>
            <w:r w:rsidRPr="008E2822">
              <w:rPr>
                <w:color w:val="000000"/>
                <w:sz w:val="20"/>
                <w:szCs w:val="20"/>
              </w:rPr>
              <w:t>80</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b</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акции Standard</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27 377 952.</w:t>
            </w:r>
            <w:proofErr w:type="gramStart"/>
            <w:r w:rsidRPr="008E2822">
              <w:rPr>
                <w:color w:val="000000"/>
                <w:sz w:val="20"/>
                <w:szCs w:val="20"/>
              </w:rPr>
              <w:t>39</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c</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АДСИЦ</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98.</w:t>
            </w:r>
            <w:proofErr w:type="gramStart"/>
            <w:r w:rsidRPr="008E2822">
              <w:rPr>
                <w:color w:val="000000"/>
                <w:sz w:val="20"/>
                <w:szCs w:val="20"/>
              </w:rPr>
              <w:t>00</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d</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облигации</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22 089.</w:t>
            </w:r>
            <w:proofErr w:type="gramStart"/>
            <w:r w:rsidRPr="008E2822">
              <w:rPr>
                <w:color w:val="000000"/>
                <w:sz w:val="20"/>
                <w:szCs w:val="20"/>
              </w:rPr>
              <w:t>27</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e</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колективни инвестиционни схеми</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3 137 388.</w:t>
            </w:r>
            <w:proofErr w:type="gramStart"/>
            <w:r w:rsidRPr="008E2822">
              <w:rPr>
                <w:color w:val="000000"/>
                <w:sz w:val="20"/>
                <w:szCs w:val="20"/>
              </w:rPr>
              <w:t>09</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f</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компенсаторни инструменти</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880.</w:t>
            </w:r>
            <w:proofErr w:type="gramStart"/>
            <w:r w:rsidRPr="008E2822">
              <w:rPr>
                <w:color w:val="000000"/>
                <w:sz w:val="20"/>
                <w:szCs w:val="20"/>
              </w:rPr>
              <w:t>47</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g</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структурирани продукти</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322 368 552.</w:t>
            </w:r>
            <w:proofErr w:type="gramStart"/>
            <w:r w:rsidRPr="008E2822">
              <w:rPr>
                <w:color w:val="000000"/>
                <w:sz w:val="20"/>
                <w:szCs w:val="20"/>
              </w:rPr>
              <w:t>75</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h</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права</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126 281 161.</w:t>
            </w:r>
            <w:proofErr w:type="gramStart"/>
            <w:r w:rsidRPr="008E2822">
              <w:rPr>
                <w:color w:val="000000"/>
                <w:sz w:val="20"/>
                <w:szCs w:val="20"/>
              </w:rPr>
              <w:t>90</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rPr>
                <w:b/>
                <w:bCs/>
                <w:color w:val="000000"/>
                <w:sz w:val="20"/>
                <w:szCs w:val="20"/>
              </w:rPr>
            </w:pPr>
            <w:r w:rsidRPr="008E2822">
              <w:rPr>
                <w:b/>
                <w:bCs/>
                <w:color w:val="000000"/>
                <w:sz w:val="20"/>
                <w:szCs w:val="20"/>
              </w:rPr>
              <w:t>2</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b/>
                <w:bCs/>
                <w:color w:val="000000"/>
                <w:sz w:val="20"/>
                <w:szCs w:val="20"/>
              </w:rPr>
            </w:pPr>
            <w:r w:rsidRPr="008E2822">
              <w:rPr>
                <w:b/>
                <w:bCs/>
                <w:color w:val="000000"/>
                <w:sz w:val="20"/>
                <w:szCs w:val="20"/>
              </w:rPr>
              <w:t>Алтернативен пазар BaSE</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b/>
                <w:bCs/>
                <w:color w:val="000000"/>
                <w:sz w:val="20"/>
                <w:szCs w:val="20"/>
              </w:rPr>
            </w:pPr>
            <w:r w:rsidRPr="008E2822">
              <w:rPr>
                <w:b/>
                <w:bCs/>
                <w:color w:val="000000"/>
                <w:sz w:val="20"/>
                <w:szCs w:val="20"/>
              </w:rPr>
              <w:t>16 688 768.</w:t>
            </w:r>
            <w:proofErr w:type="gramStart"/>
            <w:r w:rsidRPr="008E2822">
              <w:rPr>
                <w:b/>
                <w:bCs/>
                <w:color w:val="000000"/>
                <w:sz w:val="20"/>
                <w:szCs w:val="20"/>
              </w:rPr>
              <w:t>10</w:t>
            </w:r>
            <w:r w:rsidR="00E060B3" w:rsidRPr="008E2822">
              <w:rPr>
                <w:b/>
                <w:bCs/>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a</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акции</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1 048 002.</w:t>
            </w:r>
            <w:proofErr w:type="gramStart"/>
            <w:r w:rsidRPr="008E2822">
              <w:rPr>
                <w:color w:val="000000"/>
                <w:sz w:val="20"/>
                <w:szCs w:val="20"/>
              </w:rPr>
              <w:t>93</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b</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АДСИЦ</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 w:val="20"/>
                <w:szCs w:val="20"/>
              </w:rPr>
            </w:pPr>
            <w:r w:rsidRPr="008E2822">
              <w:rPr>
                <w:color w:val="000000"/>
                <w:sz w:val="20"/>
                <w:szCs w:val="20"/>
              </w:rPr>
              <w:t>15 640 765.</w:t>
            </w:r>
            <w:proofErr w:type="gramStart"/>
            <w:r w:rsidRPr="008E2822">
              <w:rPr>
                <w:color w:val="000000"/>
                <w:sz w:val="20"/>
                <w:szCs w:val="20"/>
              </w:rPr>
              <w:t>17</w:t>
            </w:r>
            <w:r w:rsidR="00E060B3" w:rsidRPr="008E2822">
              <w:rPr>
                <w:color w:val="000000"/>
                <w:sz w:val="20"/>
                <w:szCs w:val="20"/>
              </w:rPr>
              <w:t xml:space="preserve"> </w:t>
            </w:r>
            <w:proofErr w:type="gramEnd"/>
          </w:p>
        </w:tc>
      </w:tr>
      <w:tr w:rsidR="002E2014" w:rsidRPr="008E2822" w:rsidTr="00EA5FBD">
        <w:trPr>
          <w:trHeight w:val="170"/>
          <w:jc w:val="center"/>
        </w:trPr>
        <w:tc>
          <w:tcPr>
            <w:tcW w:w="552" w:type="dxa"/>
            <w:tcBorders>
              <w:top w:val="nil"/>
              <w:left w:val="single" w:sz="4" w:space="0" w:color="auto"/>
              <w:bottom w:val="single" w:sz="4" w:space="0" w:color="auto"/>
              <w:right w:val="single" w:sz="4" w:space="0" w:color="auto"/>
            </w:tcBorders>
            <w:shd w:val="clear" w:color="auto" w:fill="auto"/>
            <w:noWrap/>
            <w:vAlign w:val="bottom"/>
            <w:hideMark/>
          </w:tcPr>
          <w:p w:rsidR="002E2014" w:rsidRPr="008E2822" w:rsidRDefault="002E2014" w:rsidP="002E2014">
            <w:pPr>
              <w:widowControl/>
              <w:jc w:val="left"/>
              <w:rPr>
                <w:color w:val="000000"/>
                <w:sz w:val="20"/>
                <w:szCs w:val="20"/>
              </w:rPr>
            </w:pPr>
            <w:r w:rsidRPr="008E2822">
              <w:rPr>
                <w:color w:val="000000"/>
                <w:sz w:val="20"/>
                <w:szCs w:val="20"/>
              </w:rPr>
              <w:t> </w:t>
            </w:r>
          </w:p>
        </w:tc>
        <w:tc>
          <w:tcPr>
            <w:tcW w:w="4547"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Общо</w:t>
            </w:r>
          </w:p>
        </w:tc>
        <w:tc>
          <w:tcPr>
            <w:tcW w:w="177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b/>
                <w:bCs/>
                <w:color w:val="000000"/>
                <w:sz w:val="20"/>
                <w:szCs w:val="20"/>
              </w:rPr>
            </w:pPr>
            <w:r w:rsidRPr="008E2822">
              <w:rPr>
                <w:b/>
                <w:bCs/>
                <w:color w:val="000000"/>
                <w:sz w:val="20"/>
                <w:szCs w:val="20"/>
              </w:rPr>
              <w:t>587 788 517.</w:t>
            </w:r>
            <w:proofErr w:type="gramStart"/>
            <w:r w:rsidRPr="008E2822">
              <w:rPr>
                <w:b/>
                <w:bCs/>
                <w:color w:val="000000"/>
                <w:sz w:val="20"/>
                <w:szCs w:val="20"/>
              </w:rPr>
              <w:t>76</w:t>
            </w:r>
            <w:r w:rsidR="00E060B3" w:rsidRPr="008E2822">
              <w:rPr>
                <w:b/>
                <w:bCs/>
                <w:color w:val="000000"/>
                <w:sz w:val="20"/>
                <w:szCs w:val="20"/>
              </w:rPr>
              <w:t xml:space="preserve"> </w:t>
            </w:r>
            <w:proofErr w:type="gramEnd"/>
          </w:p>
        </w:tc>
      </w:tr>
    </w:tbl>
    <w:p w:rsidR="001C23F0" w:rsidRPr="008E2822" w:rsidRDefault="001C23F0" w:rsidP="00F73386">
      <w:pPr>
        <w:pStyle w:val="a2"/>
        <w:tabs>
          <w:tab w:val="left" w:pos="360"/>
        </w:tabs>
        <w:jc w:val="left"/>
        <w:rPr>
          <w:b/>
          <w:i w:val="0"/>
          <w:szCs w:val="20"/>
        </w:rPr>
      </w:pPr>
    </w:p>
    <w:p w:rsidR="009C5CE2" w:rsidRPr="008E2822" w:rsidRDefault="00F73386" w:rsidP="00F73386">
      <w:pPr>
        <w:pStyle w:val="a2"/>
        <w:tabs>
          <w:tab w:val="left" w:pos="360"/>
        </w:tabs>
        <w:jc w:val="left"/>
        <w:rPr>
          <w:b/>
          <w:i w:val="0"/>
          <w:szCs w:val="20"/>
        </w:rPr>
      </w:pPr>
      <w:r w:rsidRPr="008E2822">
        <w:rPr>
          <w:b/>
          <w:i w:val="0"/>
          <w:szCs w:val="20"/>
        </w:rPr>
        <w:t xml:space="preserve">Таблица </w:t>
      </w:r>
      <w:r w:rsidR="00911171" w:rsidRPr="008E2822">
        <w:rPr>
          <w:b/>
          <w:i w:val="0"/>
          <w:szCs w:val="20"/>
        </w:rPr>
        <w:t>2</w:t>
      </w:r>
      <w:r w:rsidRPr="008E2822">
        <w:rPr>
          <w:b/>
          <w:i w:val="0"/>
          <w:szCs w:val="20"/>
        </w:rPr>
        <w:t xml:space="preserve">. </w:t>
      </w:r>
      <w:r w:rsidR="009C5CE2" w:rsidRPr="008E2822">
        <w:rPr>
          <w:b/>
          <w:i w:val="0"/>
          <w:szCs w:val="20"/>
        </w:rPr>
        <w:t>Структура на търговията по пазари за 201</w:t>
      </w:r>
      <w:r w:rsidR="003F24A5" w:rsidRPr="008E2822">
        <w:rPr>
          <w:b/>
          <w:i w:val="0"/>
          <w:szCs w:val="20"/>
        </w:rPr>
        <w:t>3</w:t>
      </w:r>
      <w:r w:rsidR="009C5CE2" w:rsidRPr="008E2822">
        <w:rPr>
          <w:b/>
          <w:i w:val="0"/>
          <w:szCs w:val="20"/>
        </w:rPr>
        <w:t xml:space="preserve"> г. (брой сделки)</w:t>
      </w:r>
    </w:p>
    <w:tbl>
      <w:tblPr>
        <w:tblW w:w="6837" w:type="dxa"/>
        <w:jc w:val="center"/>
        <w:tblCellMar>
          <w:left w:w="70" w:type="dxa"/>
          <w:right w:w="70" w:type="dxa"/>
        </w:tblCellMar>
        <w:tblLook w:val="04A0" w:firstRow="1" w:lastRow="0" w:firstColumn="1" w:lastColumn="0" w:noHBand="0" w:noVBand="1"/>
      </w:tblPr>
      <w:tblGrid>
        <w:gridCol w:w="497"/>
        <w:gridCol w:w="4620"/>
        <w:gridCol w:w="1720"/>
      </w:tblGrid>
      <w:tr w:rsidR="00EA5FBD" w:rsidRPr="008E2822" w:rsidTr="00EA5FBD">
        <w:trPr>
          <w:trHeight w:val="170"/>
          <w:jc w:val="center"/>
        </w:trPr>
        <w:tc>
          <w:tcPr>
            <w:tcW w:w="497" w:type="dxa"/>
            <w:tcBorders>
              <w:top w:val="single" w:sz="4" w:space="0" w:color="auto"/>
              <w:left w:val="single" w:sz="4" w:space="0" w:color="auto"/>
              <w:bottom w:val="single" w:sz="4" w:space="0" w:color="auto"/>
              <w:right w:val="single" w:sz="4" w:space="0" w:color="auto"/>
            </w:tcBorders>
            <w:shd w:val="clear" w:color="auto" w:fill="4F81BD" w:themeFill="accent1"/>
            <w:noWrap/>
            <w:vAlign w:val="bottom"/>
            <w:hideMark/>
          </w:tcPr>
          <w:p w:rsidR="00EA5FBD" w:rsidRPr="008E2822" w:rsidRDefault="00EA5FBD" w:rsidP="00EA5FBD">
            <w:pPr>
              <w:widowControl/>
              <w:jc w:val="left"/>
              <w:rPr>
                <w:color w:val="FFFFFF" w:themeColor="background1"/>
                <w:sz w:val="20"/>
                <w:szCs w:val="20"/>
              </w:rPr>
            </w:pPr>
            <w:r w:rsidRPr="008E2822">
              <w:rPr>
                <w:color w:val="FFFFFF" w:themeColor="background1"/>
                <w:sz w:val="20"/>
                <w:szCs w:val="20"/>
              </w:rPr>
              <w:t>№</w:t>
            </w:r>
          </w:p>
        </w:tc>
        <w:tc>
          <w:tcPr>
            <w:tcW w:w="4620" w:type="dxa"/>
            <w:tcBorders>
              <w:top w:val="single" w:sz="4" w:space="0" w:color="auto"/>
              <w:left w:val="nil"/>
              <w:bottom w:val="single" w:sz="4" w:space="0" w:color="auto"/>
              <w:right w:val="single" w:sz="4" w:space="0" w:color="auto"/>
            </w:tcBorders>
            <w:shd w:val="clear" w:color="auto" w:fill="4F81BD" w:themeFill="accent1"/>
            <w:noWrap/>
            <w:vAlign w:val="bottom"/>
            <w:hideMark/>
          </w:tcPr>
          <w:p w:rsidR="00EA5FBD" w:rsidRPr="008E2822" w:rsidRDefault="00EA5FBD" w:rsidP="00EA5FBD">
            <w:pPr>
              <w:widowControl/>
              <w:jc w:val="left"/>
              <w:rPr>
                <w:b/>
                <w:color w:val="FFFFFF" w:themeColor="background1"/>
                <w:sz w:val="20"/>
                <w:szCs w:val="20"/>
              </w:rPr>
            </w:pPr>
            <w:r w:rsidRPr="008E2822">
              <w:rPr>
                <w:b/>
                <w:color w:val="FFFFFF" w:themeColor="background1"/>
                <w:sz w:val="20"/>
                <w:szCs w:val="20"/>
              </w:rPr>
              <w:t>Пазарен сегмент</w:t>
            </w:r>
          </w:p>
        </w:tc>
        <w:tc>
          <w:tcPr>
            <w:tcW w:w="1720" w:type="dxa"/>
            <w:tcBorders>
              <w:top w:val="single" w:sz="4" w:space="0" w:color="auto"/>
              <w:left w:val="nil"/>
              <w:bottom w:val="single" w:sz="4" w:space="0" w:color="auto"/>
              <w:right w:val="single" w:sz="4" w:space="0" w:color="auto"/>
            </w:tcBorders>
            <w:shd w:val="clear" w:color="auto" w:fill="4F81BD" w:themeFill="accent1"/>
            <w:noWrap/>
            <w:vAlign w:val="bottom"/>
            <w:hideMark/>
          </w:tcPr>
          <w:p w:rsidR="00EA5FBD" w:rsidRPr="008E2822" w:rsidRDefault="00EA5FBD" w:rsidP="00EA5FBD">
            <w:pPr>
              <w:widowControl/>
              <w:jc w:val="center"/>
              <w:rPr>
                <w:b/>
                <w:color w:val="FFFFFF" w:themeColor="background1"/>
                <w:sz w:val="20"/>
                <w:szCs w:val="20"/>
              </w:rPr>
            </w:pPr>
            <w:r w:rsidRPr="008E2822">
              <w:rPr>
                <w:b/>
                <w:color w:val="FFFFFF" w:themeColor="background1"/>
                <w:sz w:val="20"/>
                <w:szCs w:val="20"/>
              </w:rPr>
              <w:t>Брой сделки</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1</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Основен пазар BSE</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16 141</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a</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акции Premium</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120</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b</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акции Standard</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4 981</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c</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за АДСИЦ</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2</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d</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за облигации</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11</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e</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ind w:right="-180"/>
              <w:jc w:val="left"/>
              <w:rPr>
                <w:color w:val="000000"/>
                <w:sz w:val="20"/>
                <w:szCs w:val="20"/>
              </w:rPr>
            </w:pPr>
            <w:r w:rsidRPr="008E2822">
              <w:rPr>
                <w:color w:val="000000"/>
                <w:sz w:val="20"/>
                <w:szCs w:val="20"/>
              </w:rPr>
              <w:t>Сегмент за колективни инвестиционни схеми</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1 333</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f</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за компенсаторни инструменти</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11</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g</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за структурирани продукти</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8 472</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h</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за права</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1 211</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b/>
                <w:color w:val="000000"/>
                <w:sz w:val="20"/>
                <w:szCs w:val="20"/>
              </w:rPr>
            </w:pPr>
            <w:r w:rsidRPr="008E2822">
              <w:rPr>
                <w:b/>
                <w:color w:val="000000"/>
                <w:sz w:val="20"/>
                <w:szCs w:val="20"/>
              </w:rPr>
              <w:t>2</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Алтернативен пазар BaSE</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2 985</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a</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акции</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89</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center"/>
              <w:rPr>
                <w:color w:val="000000"/>
                <w:sz w:val="20"/>
                <w:szCs w:val="20"/>
              </w:rPr>
            </w:pPr>
            <w:r w:rsidRPr="008E2822">
              <w:rPr>
                <w:color w:val="000000"/>
                <w:sz w:val="20"/>
                <w:szCs w:val="20"/>
              </w:rPr>
              <w:t>b</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Сегмент за АДСИЦ</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2 896</w:t>
            </w:r>
          </w:p>
        </w:tc>
      </w:tr>
      <w:tr w:rsidR="00EA5FBD" w:rsidRPr="008E2822" w:rsidTr="00EA5FBD">
        <w:trPr>
          <w:trHeight w:val="170"/>
          <w:jc w:val="center"/>
        </w:trPr>
        <w:tc>
          <w:tcPr>
            <w:tcW w:w="497" w:type="dxa"/>
            <w:tcBorders>
              <w:top w:val="nil"/>
              <w:left w:val="single" w:sz="4" w:space="0" w:color="auto"/>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 </w:t>
            </w:r>
          </w:p>
        </w:tc>
        <w:tc>
          <w:tcPr>
            <w:tcW w:w="46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left"/>
              <w:rPr>
                <w:color w:val="000000"/>
                <w:sz w:val="20"/>
                <w:szCs w:val="20"/>
              </w:rPr>
            </w:pPr>
            <w:r w:rsidRPr="008E2822">
              <w:rPr>
                <w:color w:val="000000"/>
                <w:sz w:val="20"/>
                <w:szCs w:val="20"/>
              </w:rPr>
              <w:t>Общо</w:t>
            </w:r>
          </w:p>
        </w:tc>
        <w:tc>
          <w:tcPr>
            <w:tcW w:w="1720" w:type="dxa"/>
            <w:tcBorders>
              <w:top w:val="nil"/>
              <w:left w:val="nil"/>
              <w:bottom w:val="single" w:sz="4" w:space="0" w:color="auto"/>
              <w:right w:val="single" w:sz="4" w:space="0" w:color="auto"/>
            </w:tcBorders>
            <w:shd w:val="clear" w:color="auto" w:fill="auto"/>
            <w:noWrap/>
            <w:vAlign w:val="bottom"/>
            <w:hideMark/>
          </w:tcPr>
          <w:p w:rsidR="00EA5FBD" w:rsidRPr="008E2822" w:rsidRDefault="00EA5FBD" w:rsidP="00EA5FBD">
            <w:pPr>
              <w:widowControl/>
              <w:jc w:val="right"/>
              <w:rPr>
                <w:color w:val="000000"/>
                <w:sz w:val="20"/>
                <w:szCs w:val="20"/>
              </w:rPr>
            </w:pPr>
            <w:r w:rsidRPr="008E2822">
              <w:rPr>
                <w:color w:val="000000"/>
                <w:sz w:val="20"/>
                <w:szCs w:val="20"/>
              </w:rPr>
              <w:t>19 126</w:t>
            </w:r>
          </w:p>
        </w:tc>
      </w:tr>
    </w:tbl>
    <w:p w:rsidR="00EA5FBD" w:rsidRPr="008E2822" w:rsidRDefault="00EA5FBD" w:rsidP="00F73386">
      <w:pPr>
        <w:pStyle w:val="a2"/>
        <w:tabs>
          <w:tab w:val="left" w:pos="360"/>
        </w:tabs>
        <w:jc w:val="left"/>
        <w:rPr>
          <w:b/>
          <w:i w:val="0"/>
          <w:szCs w:val="20"/>
        </w:rPr>
      </w:pPr>
    </w:p>
    <w:p w:rsidR="00EA5FBD" w:rsidRPr="008E2822" w:rsidRDefault="00EA5FBD" w:rsidP="00EA5FBD"/>
    <w:p w:rsidR="00F33CA6" w:rsidRPr="008E2822" w:rsidRDefault="00513658" w:rsidP="00F33CA6">
      <w:pPr>
        <w:pStyle w:val="a1"/>
        <w:tabs>
          <w:tab w:val="left" w:pos="360"/>
        </w:tabs>
        <w:jc w:val="left"/>
        <w:rPr>
          <w:sz w:val="20"/>
          <w:szCs w:val="20"/>
        </w:rPr>
      </w:pPr>
      <w:r w:rsidRPr="008E2822">
        <w:rPr>
          <w:sz w:val="20"/>
          <w:szCs w:val="20"/>
        </w:rPr>
        <w:t>Таблица 3</w:t>
      </w:r>
      <w:r w:rsidR="00F33CA6" w:rsidRPr="008E2822">
        <w:rPr>
          <w:sz w:val="20"/>
          <w:szCs w:val="20"/>
        </w:rPr>
        <w:t xml:space="preserve">. Структура на търговията по пазари </w:t>
      </w:r>
      <w:r w:rsidRPr="008E2822">
        <w:rPr>
          <w:sz w:val="20"/>
          <w:szCs w:val="20"/>
        </w:rPr>
        <w:t xml:space="preserve">за първото тримесечие на 2012 година </w:t>
      </w:r>
      <w:r w:rsidR="00F33CA6" w:rsidRPr="008E2822">
        <w:rPr>
          <w:sz w:val="20"/>
          <w:szCs w:val="20"/>
        </w:rPr>
        <w:t>(</w:t>
      </w:r>
      <w:r w:rsidRPr="008E2822">
        <w:rPr>
          <w:sz w:val="20"/>
          <w:szCs w:val="20"/>
        </w:rPr>
        <w:t>брой лотове</w:t>
      </w:r>
      <w:r w:rsidR="00F33CA6" w:rsidRPr="008E2822">
        <w:rPr>
          <w:sz w:val="20"/>
          <w:szCs w:val="20"/>
        </w:rPr>
        <w:t>)</w:t>
      </w:r>
    </w:p>
    <w:tbl>
      <w:tblPr>
        <w:tblW w:w="7022" w:type="dxa"/>
        <w:jc w:val="center"/>
        <w:tblCellMar>
          <w:left w:w="70" w:type="dxa"/>
          <w:right w:w="70" w:type="dxa"/>
        </w:tblCellMar>
        <w:tblLook w:val="04A0" w:firstRow="1" w:lastRow="0" w:firstColumn="1" w:lastColumn="0" w:noHBand="0" w:noVBand="1"/>
      </w:tblPr>
      <w:tblGrid>
        <w:gridCol w:w="582"/>
        <w:gridCol w:w="4720"/>
        <w:gridCol w:w="1720"/>
      </w:tblGrid>
      <w:tr w:rsidR="00EA5FBD" w:rsidRPr="008E2822" w:rsidTr="00EA5FBD">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2E2014" w:rsidRPr="008E2822" w:rsidRDefault="002E2014" w:rsidP="002E2014">
            <w:pPr>
              <w:widowControl/>
              <w:jc w:val="center"/>
              <w:rPr>
                <w:color w:val="FFFFFF"/>
                <w:sz w:val="20"/>
                <w:szCs w:val="20"/>
              </w:rPr>
            </w:pPr>
            <w:r w:rsidRPr="008E2822">
              <w:rPr>
                <w:color w:val="FFFFFF" w:themeColor="background1"/>
                <w:sz w:val="20"/>
                <w:szCs w:val="20"/>
              </w:rPr>
              <w:t>№</w:t>
            </w:r>
          </w:p>
        </w:tc>
        <w:tc>
          <w:tcPr>
            <w:tcW w:w="4720" w:type="dxa"/>
            <w:tcBorders>
              <w:top w:val="single" w:sz="4" w:space="0" w:color="auto"/>
              <w:left w:val="nil"/>
              <w:bottom w:val="single" w:sz="4" w:space="0" w:color="auto"/>
              <w:right w:val="single" w:sz="4" w:space="0" w:color="auto"/>
            </w:tcBorders>
            <w:shd w:val="clear" w:color="000000" w:fill="4F81BD"/>
            <w:noWrap/>
            <w:vAlign w:val="center"/>
            <w:hideMark/>
          </w:tcPr>
          <w:p w:rsidR="002E2014" w:rsidRPr="008E2822" w:rsidRDefault="002E2014" w:rsidP="002E2014">
            <w:pPr>
              <w:widowControl/>
              <w:jc w:val="left"/>
              <w:rPr>
                <w:b/>
                <w:bCs/>
                <w:color w:val="FFFFFF"/>
                <w:sz w:val="20"/>
                <w:szCs w:val="20"/>
              </w:rPr>
            </w:pPr>
            <w:r w:rsidRPr="008E2822">
              <w:rPr>
                <w:rFonts w:cs="Arial"/>
                <w:b/>
                <w:bCs/>
                <w:color w:val="FFFFFF" w:themeColor="background1"/>
                <w:sz w:val="20"/>
                <w:szCs w:val="20"/>
              </w:rPr>
              <w:t>Пазарен сегмент</w:t>
            </w:r>
          </w:p>
        </w:tc>
        <w:tc>
          <w:tcPr>
            <w:tcW w:w="1720" w:type="dxa"/>
            <w:tcBorders>
              <w:top w:val="single" w:sz="4" w:space="0" w:color="auto"/>
              <w:left w:val="nil"/>
              <w:bottom w:val="single" w:sz="4" w:space="0" w:color="auto"/>
              <w:right w:val="single" w:sz="4" w:space="0" w:color="auto"/>
            </w:tcBorders>
            <w:shd w:val="clear" w:color="000000" w:fill="4F81BD"/>
            <w:noWrap/>
            <w:vAlign w:val="center"/>
            <w:hideMark/>
          </w:tcPr>
          <w:p w:rsidR="002E2014" w:rsidRPr="008E2822" w:rsidRDefault="002E2014" w:rsidP="002E2014">
            <w:pPr>
              <w:widowControl/>
              <w:jc w:val="center"/>
              <w:rPr>
                <w:b/>
                <w:bCs/>
                <w:color w:val="FFFFFF"/>
                <w:sz w:val="20"/>
                <w:szCs w:val="20"/>
              </w:rPr>
            </w:pPr>
            <w:r w:rsidRPr="008E2822">
              <w:rPr>
                <w:rFonts w:cs="Arial"/>
                <w:b/>
                <w:bCs/>
                <w:color w:val="FFFFFF" w:themeColor="background1"/>
                <w:sz w:val="20"/>
                <w:szCs w:val="20"/>
              </w:rPr>
              <w:t>Обем (лотове)</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rPr>
                <w:b/>
                <w:bCs/>
                <w:color w:val="000000"/>
                <w:sz w:val="20"/>
                <w:szCs w:val="20"/>
              </w:rPr>
            </w:pPr>
            <w:r w:rsidRPr="008E2822">
              <w:rPr>
                <w:b/>
                <w:bCs/>
                <w:color w:val="000000"/>
                <w:sz w:val="20"/>
                <w:szCs w:val="20"/>
              </w:rPr>
              <w:t>1</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b/>
                <w:bCs/>
                <w:color w:val="000000"/>
                <w:sz w:val="20"/>
                <w:szCs w:val="20"/>
              </w:rPr>
            </w:pPr>
            <w:r w:rsidRPr="008E2822">
              <w:rPr>
                <w:b/>
                <w:bCs/>
                <w:color w:val="000000"/>
                <w:sz w:val="20"/>
                <w:szCs w:val="20"/>
              </w:rPr>
              <w:t>Основен пазар BSE</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b/>
                <w:bCs/>
                <w:color w:val="000000"/>
                <w:szCs w:val="22"/>
              </w:rPr>
            </w:pPr>
            <w:r w:rsidRPr="008E2822">
              <w:rPr>
                <w:b/>
                <w:bCs/>
                <w:color w:val="000000"/>
                <w:szCs w:val="22"/>
              </w:rPr>
              <w:t>162 378 421</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a</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акции Premium</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48 401</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b</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акции Standard</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12 427 922</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c</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АДСИЦ</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245</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d</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облигации</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21 314 127</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e</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колективни инвестиционни схеми</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9 285 162</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f</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компенсаторни инструменти</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6 713</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g</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структурирани продукти</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68122698</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h</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права</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51 173 153</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rPr>
                <w:b/>
                <w:bCs/>
                <w:color w:val="000000"/>
                <w:sz w:val="20"/>
                <w:szCs w:val="20"/>
              </w:rPr>
            </w:pPr>
            <w:r w:rsidRPr="008E2822">
              <w:rPr>
                <w:b/>
                <w:bCs/>
                <w:color w:val="000000"/>
                <w:sz w:val="20"/>
                <w:szCs w:val="20"/>
              </w:rPr>
              <w:t>2</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b/>
                <w:bCs/>
                <w:color w:val="000000"/>
                <w:sz w:val="20"/>
                <w:szCs w:val="20"/>
              </w:rPr>
            </w:pPr>
            <w:r w:rsidRPr="008E2822">
              <w:rPr>
                <w:b/>
                <w:bCs/>
                <w:color w:val="000000"/>
                <w:sz w:val="20"/>
                <w:szCs w:val="20"/>
              </w:rPr>
              <w:t>Алтернативен пазар BaSE</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b/>
                <w:bCs/>
                <w:color w:val="000000"/>
                <w:szCs w:val="22"/>
              </w:rPr>
            </w:pPr>
            <w:r w:rsidRPr="008E2822">
              <w:rPr>
                <w:b/>
                <w:bCs/>
                <w:color w:val="000000"/>
                <w:szCs w:val="22"/>
              </w:rPr>
              <w:t>13 131 491</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a</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акции</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561 966</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E2014" w:rsidRPr="008E2822" w:rsidRDefault="002E2014" w:rsidP="002E2014">
            <w:pPr>
              <w:widowControl/>
              <w:jc w:val="center"/>
              <w:rPr>
                <w:color w:val="000000"/>
                <w:sz w:val="20"/>
                <w:szCs w:val="20"/>
              </w:rPr>
            </w:pPr>
            <w:r w:rsidRPr="008E2822">
              <w:rPr>
                <w:color w:val="000000"/>
                <w:sz w:val="20"/>
                <w:szCs w:val="20"/>
              </w:rPr>
              <w:t>b</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Сегмент за АДСИЦ</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color w:val="000000"/>
                <w:szCs w:val="22"/>
              </w:rPr>
            </w:pPr>
            <w:r w:rsidRPr="008E2822">
              <w:rPr>
                <w:color w:val="000000"/>
                <w:szCs w:val="22"/>
              </w:rPr>
              <w:t>12 569 525</w:t>
            </w:r>
          </w:p>
        </w:tc>
      </w:tr>
      <w:tr w:rsidR="002E2014" w:rsidRPr="008E2822" w:rsidTr="00EA5FBD">
        <w:trPr>
          <w:trHeight w:val="170"/>
          <w:jc w:val="center"/>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2E2014" w:rsidRPr="008E2822" w:rsidRDefault="002E2014" w:rsidP="002E2014">
            <w:pPr>
              <w:widowControl/>
              <w:jc w:val="left"/>
              <w:rPr>
                <w:color w:val="000000"/>
                <w:sz w:val="20"/>
                <w:szCs w:val="20"/>
              </w:rPr>
            </w:pPr>
            <w:r w:rsidRPr="008E2822">
              <w:rPr>
                <w:color w:val="000000"/>
                <w:sz w:val="20"/>
                <w:szCs w:val="20"/>
              </w:rPr>
              <w:t> </w:t>
            </w:r>
          </w:p>
        </w:tc>
        <w:tc>
          <w:tcPr>
            <w:tcW w:w="4720" w:type="dxa"/>
            <w:tcBorders>
              <w:top w:val="nil"/>
              <w:left w:val="nil"/>
              <w:bottom w:val="single" w:sz="4" w:space="0" w:color="auto"/>
              <w:right w:val="single" w:sz="4" w:space="0" w:color="auto"/>
            </w:tcBorders>
            <w:shd w:val="clear" w:color="auto" w:fill="auto"/>
            <w:noWrap/>
            <w:vAlign w:val="center"/>
            <w:hideMark/>
          </w:tcPr>
          <w:p w:rsidR="002E2014" w:rsidRPr="008E2822" w:rsidRDefault="002E2014" w:rsidP="002E2014">
            <w:pPr>
              <w:widowControl/>
              <w:jc w:val="left"/>
              <w:rPr>
                <w:color w:val="000000"/>
                <w:sz w:val="20"/>
                <w:szCs w:val="20"/>
              </w:rPr>
            </w:pPr>
            <w:r w:rsidRPr="008E2822">
              <w:rPr>
                <w:color w:val="000000"/>
                <w:sz w:val="20"/>
                <w:szCs w:val="20"/>
              </w:rPr>
              <w:t>Общо</w:t>
            </w:r>
          </w:p>
        </w:tc>
        <w:tc>
          <w:tcPr>
            <w:tcW w:w="1720" w:type="dxa"/>
            <w:tcBorders>
              <w:top w:val="nil"/>
              <w:left w:val="nil"/>
              <w:bottom w:val="single" w:sz="4" w:space="0" w:color="auto"/>
              <w:right w:val="single" w:sz="4" w:space="0" w:color="auto"/>
            </w:tcBorders>
            <w:shd w:val="clear" w:color="auto" w:fill="auto"/>
            <w:noWrap/>
            <w:vAlign w:val="bottom"/>
            <w:hideMark/>
          </w:tcPr>
          <w:p w:rsidR="002E2014" w:rsidRPr="008E2822" w:rsidRDefault="002E2014" w:rsidP="002E2014">
            <w:pPr>
              <w:widowControl/>
              <w:jc w:val="right"/>
              <w:rPr>
                <w:b/>
                <w:bCs/>
                <w:color w:val="000000"/>
                <w:szCs w:val="22"/>
              </w:rPr>
            </w:pPr>
            <w:r w:rsidRPr="008E2822">
              <w:rPr>
                <w:b/>
                <w:bCs/>
                <w:color w:val="000000"/>
                <w:szCs w:val="22"/>
              </w:rPr>
              <w:t>175 509 912</w:t>
            </w:r>
          </w:p>
        </w:tc>
      </w:tr>
    </w:tbl>
    <w:p w:rsidR="00F767F2" w:rsidRPr="008E2822" w:rsidRDefault="00F767F2">
      <w:pPr>
        <w:widowControl/>
        <w:jc w:val="left"/>
        <w:rPr>
          <w:szCs w:val="22"/>
        </w:rPr>
      </w:pPr>
      <w:r w:rsidRPr="008E2822">
        <w:rPr>
          <w:szCs w:val="22"/>
        </w:rPr>
        <w:br w:type="page"/>
      </w:r>
    </w:p>
    <w:p w:rsidR="00207015" w:rsidRPr="008E2822" w:rsidRDefault="00D069BF" w:rsidP="00CB2BE3">
      <w:pPr>
        <w:rPr>
          <w:b/>
          <w:sz w:val="20"/>
          <w:szCs w:val="20"/>
        </w:rPr>
      </w:pPr>
      <w:r w:rsidRPr="008E2822">
        <w:rPr>
          <w:b/>
          <w:sz w:val="20"/>
          <w:szCs w:val="20"/>
        </w:rPr>
        <w:lastRenderedPageBreak/>
        <w:t>Таблица 4</w:t>
      </w:r>
      <w:r w:rsidR="00207015" w:rsidRPr="008E2822">
        <w:rPr>
          <w:b/>
          <w:sz w:val="20"/>
          <w:szCs w:val="20"/>
        </w:rPr>
        <w:t xml:space="preserve">. Търговия по видове ценни книжа на регулиран </w:t>
      </w:r>
      <w:proofErr w:type="gramStart"/>
      <w:r w:rsidR="00207015" w:rsidRPr="008E2822">
        <w:rPr>
          <w:b/>
          <w:sz w:val="20"/>
          <w:szCs w:val="20"/>
        </w:rPr>
        <w:t>пазар</w:t>
      </w:r>
      <w:proofErr w:type="gramEnd"/>
    </w:p>
    <w:tbl>
      <w:tblPr>
        <w:tblW w:w="8879" w:type="dxa"/>
        <w:jc w:val="center"/>
        <w:tblInd w:w="55" w:type="dxa"/>
        <w:tblCellMar>
          <w:left w:w="70" w:type="dxa"/>
          <w:right w:w="70" w:type="dxa"/>
        </w:tblCellMar>
        <w:tblLook w:val="04A0" w:firstRow="1" w:lastRow="0" w:firstColumn="1" w:lastColumn="0" w:noHBand="0" w:noVBand="1"/>
      </w:tblPr>
      <w:tblGrid>
        <w:gridCol w:w="582"/>
        <w:gridCol w:w="2864"/>
        <w:gridCol w:w="1891"/>
        <w:gridCol w:w="2103"/>
        <w:gridCol w:w="1439"/>
      </w:tblGrid>
      <w:tr w:rsidR="00D1727B" w:rsidRPr="008E2822" w:rsidTr="00D1727B">
        <w:trPr>
          <w:trHeight w:val="170"/>
          <w:jc w:val="center"/>
        </w:trPr>
        <w:tc>
          <w:tcPr>
            <w:tcW w:w="7440" w:type="dxa"/>
            <w:gridSpan w:val="4"/>
            <w:tcBorders>
              <w:top w:val="single" w:sz="4" w:space="0" w:color="auto"/>
              <w:left w:val="single" w:sz="4" w:space="0" w:color="auto"/>
              <w:bottom w:val="single" w:sz="4" w:space="0" w:color="auto"/>
            </w:tcBorders>
            <w:shd w:val="clear" w:color="000000" w:fill="8DB3E2"/>
            <w:vAlign w:val="center"/>
            <w:hideMark/>
          </w:tcPr>
          <w:p w:rsidR="00D1727B" w:rsidRPr="008E2822" w:rsidRDefault="00D1727B" w:rsidP="00D1727B">
            <w:pPr>
              <w:widowControl/>
              <w:jc w:val="left"/>
              <w:rPr>
                <w:b/>
                <w:bCs/>
                <w:color w:val="FFFFFF"/>
                <w:sz w:val="20"/>
                <w:szCs w:val="20"/>
              </w:rPr>
            </w:pPr>
            <w:bookmarkStart w:id="10" w:name="_Toc283112101"/>
            <w:bookmarkStart w:id="11" w:name="_Toc142469780"/>
            <w:bookmarkStart w:id="12" w:name="_Toc142469778"/>
            <w:r w:rsidRPr="008E2822">
              <w:rPr>
                <w:rFonts w:cs="Calibri"/>
                <w:b/>
                <w:bCs/>
                <w:color w:val="FFFFFF"/>
                <w:sz w:val="20"/>
                <w:szCs w:val="20"/>
              </w:rPr>
              <w:t>Търговия по видове ценни книжа (регулиран пазар)</w:t>
            </w:r>
          </w:p>
        </w:tc>
        <w:tc>
          <w:tcPr>
            <w:tcW w:w="1439" w:type="dxa"/>
            <w:tcBorders>
              <w:top w:val="single" w:sz="4" w:space="0" w:color="auto"/>
              <w:bottom w:val="single" w:sz="4" w:space="0" w:color="auto"/>
              <w:right w:val="single" w:sz="4" w:space="0" w:color="auto"/>
            </w:tcBorders>
            <w:shd w:val="clear" w:color="000000" w:fill="8DB3E2"/>
            <w:vAlign w:val="center"/>
            <w:hideMark/>
          </w:tcPr>
          <w:p w:rsidR="00D1727B" w:rsidRPr="008E2822" w:rsidRDefault="00D1727B" w:rsidP="007A75AA">
            <w:pPr>
              <w:widowControl/>
              <w:jc w:val="center"/>
              <w:rPr>
                <w:b/>
                <w:bCs/>
                <w:color w:val="FFFFFF"/>
                <w:sz w:val="20"/>
                <w:szCs w:val="20"/>
              </w:rPr>
            </w:pPr>
            <w:r w:rsidRPr="008E2822">
              <w:rPr>
                <w:rFonts w:cs="Calibri"/>
                <w:b/>
                <w:bCs/>
                <w:color w:val="FFFFFF"/>
                <w:sz w:val="20"/>
                <w:szCs w:val="20"/>
              </w:rPr>
              <w:t>Изменение</w:t>
            </w:r>
          </w:p>
        </w:tc>
      </w:tr>
      <w:tr w:rsidR="007A75AA" w:rsidRPr="008E2822" w:rsidTr="00D1727B">
        <w:trPr>
          <w:trHeight w:val="170"/>
          <w:jc w:val="center"/>
        </w:trPr>
        <w:tc>
          <w:tcPr>
            <w:tcW w:w="582" w:type="dxa"/>
            <w:tcBorders>
              <w:top w:val="single" w:sz="4" w:space="0" w:color="auto"/>
              <w:left w:val="single" w:sz="8" w:space="0" w:color="auto"/>
              <w:bottom w:val="single" w:sz="4" w:space="0" w:color="auto"/>
              <w:right w:val="single" w:sz="8" w:space="0" w:color="auto"/>
            </w:tcBorders>
            <w:shd w:val="clear" w:color="000000" w:fill="8DB3E2"/>
            <w:vAlign w:val="center"/>
            <w:hideMark/>
          </w:tcPr>
          <w:p w:rsidR="007A75AA" w:rsidRPr="008E2822" w:rsidRDefault="007A75AA" w:rsidP="007A75AA">
            <w:pPr>
              <w:widowControl/>
              <w:jc w:val="center"/>
              <w:rPr>
                <w:b/>
                <w:bCs/>
                <w:color w:val="FFFFFF"/>
                <w:sz w:val="20"/>
                <w:szCs w:val="20"/>
              </w:rPr>
            </w:pPr>
            <w:r w:rsidRPr="008E2822">
              <w:rPr>
                <w:rFonts w:cs="Calibri"/>
                <w:b/>
                <w:bCs/>
                <w:color w:val="FFFFFF"/>
                <w:sz w:val="20"/>
                <w:szCs w:val="20"/>
              </w:rPr>
              <w:t> </w:t>
            </w:r>
          </w:p>
        </w:tc>
        <w:tc>
          <w:tcPr>
            <w:tcW w:w="2864" w:type="dxa"/>
            <w:tcBorders>
              <w:top w:val="single" w:sz="4" w:space="0" w:color="auto"/>
              <w:left w:val="nil"/>
              <w:bottom w:val="single" w:sz="4" w:space="0" w:color="auto"/>
              <w:right w:val="single" w:sz="8" w:space="0" w:color="auto"/>
            </w:tcBorders>
            <w:shd w:val="clear" w:color="000000" w:fill="8DB3E2"/>
            <w:vAlign w:val="center"/>
            <w:hideMark/>
          </w:tcPr>
          <w:p w:rsidR="007A75AA" w:rsidRPr="008E2822" w:rsidRDefault="007A75AA" w:rsidP="007A75AA">
            <w:pPr>
              <w:widowControl/>
              <w:jc w:val="center"/>
              <w:rPr>
                <w:b/>
                <w:bCs/>
                <w:color w:val="FFFFFF"/>
                <w:sz w:val="20"/>
                <w:szCs w:val="20"/>
              </w:rPr>
            </w:pPr>
            <w:r w:rsidRPr="008E2822">
              <w:rPr>
                <w:rFonts w:cs="Calibri"/>
                <w:b/>
                <w:bCs/>
                <w:color w:val="FFFFFF"/>
                <w:sz w:val="20"/>
                <w:szCs w:val="20"/>
              </w:rPr>
              <w:t>Пазар / пазарен сегмент</w:t>
            </w:r>
          </w:p>
        </w:tc>
        <w:tc>
          <w:tcPr>
            <w:tcW w:w="1891" w:type="dxa"/>
            <w:tcBorders>
              <w:top w:val="single" w:sz="4" w:space="0" w:color="auto"/>
              <w:left w:val="nil"/>
              <w:bottom w:val="single" w:sz="4" w:space="0" w:color="auto"/>
              <w:right w:val="single" w:sz="8" w:space="0" w:color="auto"/>
            </w:tcBorders>
            <w:shd w:val="clear" w:color="000000" w:fill="8DB3E2"/>
            <w:vAlign w:val="center"/>
            <w:hideMark/>
          </w:tcPr>
          <w:p w:rsidR="007A75AA" w:rsidRPr="008E2822" w:rsidRDefault="007A75AA" w:rsidP="007A75AA">
            <w:pPr>
              <w:widowControl/>
              <w:jc w:val="center"/>
              <w:rPr>
                <w:b/>
                <w:bCs/>
                <w:color w:val="FFFFFF"/>
                <w:sz w:val="20"/>
                <w:szCs w:val="20"/>
              </w:rPr>
            </w:pPr>
            <w:r w:rsidRPr="008E2822">
              <w:rPr>
                <w:rFonts w:cs="Calibri"/>
                <w:b/>
                <w:bCs/>
                <w:color w:val="FFFFFF"/>
                <w:sz w:val="20"/>
                <w:szCs w:val="20"/>
              </w:rPr>
              <w:t>Q2 ’12</w:t>
            </w:r>
          </w:p>
        </w:tc>
        <w:tc>
          <w:tcPr>
            <w:tcW w:w="2103" w:type="dxa"/>
            <w:tcBorders>
              <w:top w:val="single" w:sz="4" w:space="0" w:color="auto"/>
              <w:left w:val="nil"/>
              <w:bottom w:val="single" w:sz="4" w:space="0" w:color="auto"/>
              <w:right w:val="single" w:sz="8" w:space="0" w:color="auto"/>
            </w:tcBorders>
            <w:shd w:val="clear" w:color="000000" w:fill="8DB3E2"/>
            <w:vAlign w:val="center"/>
            <w:hideMark/>
          </w:tcPr>
          <w:p w:rsidR="007A75AA" w:rsidRPr="008E2822" w:rsidRDefault="007A75AA" w:rsidP="007A75AA">
            <w:pPr>
              <w:widowControl/>
              <w:jc w:val="center"/>
              <w:rPr>
                <w:b/>
                <w:bCs/>
                <w:color w:val="FFFFFF"/>
                <w:sz w:val="20"/>
                <w:szCs w:val="20"/>
              </w:rPr>
            </w:pPr>
            <w:r w:rsidRPr="008E2822">
              <w:rPr>
                <w:rFonts w:cs="Calibri"/>
                <w:b/>
                <w:bCs/>
                <w:color w:val="FFFFFF"/>
                <w:sz w:val="20"/>
                <w:szCs w:val="20"/>
              </w:rPr>
              <w:t>Q2 '13</w:t>
            </w:r>
          </w:p>
        </w:tc>
        <w:tc>
          <w:tcPr>
            <w:tcW w:w="1439" w:type="dxa"/>
            <w:tcBorders>
              <w:top w:val="single" w:sz="4" w:space="0" w:color="auto"/>
              <w:left w:val="nil"/>
              <w:bottom w:val="single" w:sz="4" w:space="0" w:color="auto"/>
              <w:right w:val="single" w:sz="8" w:space="0" w:color="auto"/>
            </w:tcBorders>
            <w:shd w:val="clear" w:color="000000" w:fill="8DB3E2"/>
            <w:vAlign w:val="center"/>
            <w:hideMark/>
          </w:tcPr>
          <w:p w:rsidR="007A75AA" w:rsidRPr="008E2822" w:rsidRDefault="007A75AA" w:rsidP="007A75AA">
            <w:pPr>
              <w:widowControl/>
              <w:jc w:val="center"/>
              <w:rPr>
                <w:b/>
                <w:bCs/>
                <w:color w:val="FFFFFF"/>
                <w:sz w:val="20"/>
                <w:szCs w:val="20"/>
              </w:rPr>
            </w:pPr>
            <w:r w:rsidRPr="008E2822">
              <w:rPr>
                <w:rFonts w:cs="Calibri"/>
                <w:b/>
                <w:bCs/>
                <w:color w:val="FFFFFF"/>
                <w:sz w:val="20"/>
                <w:szCs w:val="20"/>
              </w:rPr>
              <w:t>%</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b/>
                <w:bCs/>
                <w:color w:val="000000"/>
                <w:sz w:val="20"/>
                <w:szCs w:val="20"/>
              </w:rPr>
            </w:pPr>
            <w:r w:rsidRPr="008E2822">
              <w:rPr>
                <w:b/>
                <w:bCs/>
                <w:color w:val="000000"/>
                <w:sz w:val="20"/>
                <w:szCs w:val="20"/>
              </w:rPr>
              <w:t>1</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b/>
                <w:bCs/>
                <w:color w:val="000000"/>
                <w:sz w:val="20"/>
                <w:szCs w:val="20"/>
              </w:rPr>
            </w:pPr>
            <w:r w:rsidRPr="008E2822">
              <w:rPr>
                <w:b/>
                <w:bCs/>
                <w:color w:val="000000"/>
                <w:sz w:val="20"/>
                <w:szCs w:val="20"/>
              </w:rPr>
              <w:t>Оборот (лв.)</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144 304 324</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587 788 518</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307.33%</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a</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акции</w:t>
            </w:r>
            <w:proofErr w:type="gramEnd"/>
            <w:r w:rsidRPr="008E2822">
              <w:rPr>
                <w:color w:val="000000"/>
                <w:sz w:val="20"/>
                <w:szCs w:val="20"/>
              </w:rPr>
              <w:t xml:space="preserve"> без АДСИЦ</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97 107 778.71 лв.</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476 027 667.04 лв.</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390.21%</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b</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АДСИЦ</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22 200 571.94 лв.</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16 688 768.10 лв.</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-24</w:t>
            </w:r>
            <w:proofErr w:type="gramEnd"/>
            <w:r w:rsidRPr="008E2822">
              <w:rPr>
                <w:color w:val="000000"/>
                <w:sz w:val="20"/>
                <w:szCs w:val="20"/>
              </w:rPr>
              <w:t>.83%</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c</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облигации</w:t>
            </w:r>
            <w:proofErr w:type="gramEnd"/>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20 838 568.48 лв.</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91 911 626.80 лв.</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341.06%</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d</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КИС</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401 826.51 лв.</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98.00 лв.</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-99</w:t>
            </w:r>
            <w:proofErr w:type="gramEnd"/>
            <w:r w:rsidRPr="008E2822">
              <w:rPr>
                <w:color w:val="000000"/>
                <w:sz w:val="20"/>
                <w:szCs w:val="20"/>
              </w:rPr>
              <w:t>.98%</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e</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КИ</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3 727 968.37 лв.</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3 137 388.09 лв.</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-15</w:t>
            </w:r>
            <w:proofErr w:type="gramEnd"/>
            <w:r w:rsidRPr="008E2822">
              <w:rPr>
                <w:color w:val="000000"/>
                <w:sz w:val="20"/>
                <w:szCs w:val="20"/>
              </w:rPr>
              <w:t>.84%</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f</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други</w:t>
            </w:r>
            <w:proofErr w:type="gramEnd"/>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27 610.00 лв.</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22 970.00 лв.</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-16</w:t>
            </w:r>
            <w:proofErr w:type="gramEnd"/>
            <w:r w:rsidRPr="008E2822">
              <w:rPr>
                <w:color w:val="000000"/>
                <w:sz w:val="20"/>
                <w:szCs w:val="20"/>
              </w:rPr>
              <w:t>.81%</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b/>
                <w:bCs/>
                <w:color w:val="000000"/>
                <w:sz w:val="20"/>
                <w:szCs w:val="20"/>
              </w:rPr>
            </w:pPr>
            <w:r w:rsidRPr="008E2822">
              <w:rPr>
                <w:b/>
                <w:bCs/>
                <w:color w:val="000000"/>
                <w:sz w:val="20"/>
                <w:szCs w:val="20"/>
              </w:rPr>
              <w:t>2</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b/>
                <w:bCs/>
                <w:color w:val="000000"/>
                <w:sz w:val="20"/>
                <w:szCs w:val="20"/>
              </w:rPr>
            </w:pPr>
            <w:r w:rsidRPr="008E2822">
              <w:rPr>
                <w:b/>
                <w:bCs/>
                <w:color w:val="000000"/>
                <w:sz w:val="20"/>
                <w:szCs w:val="20"/>
              </w:rPr>
              <w:t>Брой сделки</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14 381</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19 126</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32.99%</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a</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акции</w:t>
            </w:r>
            <w:proofErr w:type="gramEnd"/>
            <w:r w:rsidRPr="008E2822">
              <w:rPr>
                <w:color w:val="000000"/>
                <w:sz w:val="20"/>
                <w:szCs w:val="20"/>
              </w:rPr>
              <w:t xml:space="preserve"> без АДСИЦ</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9 800</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14 664</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49.63%</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b</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АДСИЦ</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3 337</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2 985</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-10</w:t>
            </w:r>
            <w:proofErr w:type="gramEnd"/>
            <w:r w:rsidRPr="008E2822">
              <w:rPr>
                <w:color w:val="000000"/>
                <w:sz w:val="20"/>
                <w:szCs w:val="20"/>
              </w:rPr>
              <w:t>.55%</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c</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облигации</w:t>
            </w:r>
            <w:proofErr w:type="gramEnd"/>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101</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120</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18.81%</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d</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КИС</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8</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-75</w:t>
            </w:r>
            <w:proofErr w:type="gramEnd"/>
            <w:r w:rsidRPr="008E2822">
              <w:rPr>
                <w:color w:val="000000"/>
                <w:sz w:val="20"/>
                <w:szCs w:val="20"/>
              </w:rPr>
              <w:t>.00%</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e</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КИ</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1 081</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1 333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23.31%</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f</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други</w:t>
            </w:r>
            <w:proofErr w:type="gramEnd"/>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54</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22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-59</w:t>
            </w:r>
            <w:proofErr w:type="gramEnd"/>
            <w:r w:rsidRPr="008E2822">
              <w:rPr>
                <w:color w:val="000000"/>
                <w:sz w:val="20"/>
                <w:szCs w:val="20"/>
              </w:rPr>
              <w:t>.26%</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b/>
                <w:bCs/>
                <w:color w:val="000000"/>
                <w:sz w:val="20"/>
                <w:szCs w:val="20"/>
              </w:rPr>
            </w:pPr>
            <w:r w:rsidRPr="008E2822">
              <w:rPr>
                <w:b/>
                <w:bCs/>
                <w:color w:val="000000"/>
                <w:sz w:val="20"/>
                <w:szCs w:val="20"/>
              </w:rPr>
              <w:t>3</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b/>
                <w:bCs/>
                <w:color w:val="000000"/>
                <w:sz w:val="20"/>
                <w:szCs w:val="20"/>
              </w:rPr>
            </w:pPr>
            <w:r w:rsidRPr="008E2822">
              <w:rPr>
                <w:b/>
                <w:bCs/>
                <w:color w:val="000000"/>
                <w:sz w:val="20"/>
                <w:szCs w:val="20"/>
              </w:rPr>
              <w:t>Лотове</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73 559 566</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175 509 912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b/>
                <w:bCs/>
                <w:color w:val="000000"/>
                <w:sz w:val="20"/>
                <w:szCs w:val="20"/>
              </w:rPr>
            </w:pPr>
            <w:r w:rsidRPr="008E2822">
              <w:rPr>
                <w:b/>
                <w:bCs/>
                <w:color w:val="000000"/>
                <w:sz w:val="20"/>
                <w:szCs w:val="20"/>
              </w:rPr>
              <w:t>138.60%</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a</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акции</w:t>
            </w:r>
            <w:proofErr w:type="gramEnd"/>
            <w:r w:rsidRPr="008E2822">
              <w:rPr>
                <w:color w:val="000000"/>
                <w:sz w:val="20"/>
                <w:szCs w:val="20"/>
              </w:rPr>
              <w:t xml:space="preserve"> без АДСИЦ</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47 954 956</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131 723 773</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174.68%</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b</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АДСИЦ</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14 678 555</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13 131 491</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-10</w:t>
            </w:r>
            <w:proofErr w:type="gramEnd"/>
            <w:r w:rsidRPr="008E2822">
              <w:rPr>
                <w:color w:val="000000"/>
                <w:sz w:val="20"/>
                <w:szCs w:val="20"/>
              </w:rPr>
              <w:t>.54%</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c</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proofErr w:type="gramStart"/>
            <w:r w:rsidRPr="008E2822">
              <w:rPr>
                <w:color w:val="000000"/>
                <w:sz w:val="20"/>
                <w:szCs w:val="20"/>
              </w:rPr>
              <w:t>облигации</w:t>
            </w:r>
            <w:proofErr w:type="gramEnd"/>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11 009</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48 401</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339.65%</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d</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КИС</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31 402</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245</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-99</w:t>
            </w:r>
            <w:proofErr w:type="gramEnd"/>
            <w:r w:rsidRPr="008E2822">
              <w:rPr>
                <w:color w:val="000000"/>
                <w:sz w:val="20"/>
                <w:szCs w:val="20"/>
              </w:rPr>
              <w:t>.22%</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e</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КИ</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10 704 074</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75AA" w:rsidRPr="008E2822" w:rsidRDefault="007A75AA" w:rsidP="007A75AA">
            <w:pPr>
              <w:widowControl/>
              <w:jc w:val="right"/>
              <w:rPr>
                <w:color w:val="000000"/>
                <w:sz w:val="20"/>
                <w:szCs w:val="20"/>
              </w:rPr>
            </w:pPr>
            <w:r w:rsidRPr="008E2822">
              <w:rPr>
                <w:color w:val="000000"/>
                <w:sz w:val="20"/>
                <w:szCs w:val="20"/>
              </w:rPr>
              <w:t>9 285 162</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proofErr w:type="gramStart"/>
            <w:r w:rsidRPr="008E2822">
              <w:rPr>
                <w:color w:val="000000"/>
                <w:sz w:val="20"/>
                <w:szCs w:val="20"/>
              </w:rPr>
              <w:t>-13</w:t>
            </w:r>
            <w:proofErr w:type="gramEnd"/>
            <w:r w:rsidRPr="008E2822">
              <w:rPr>
                <w:color w:val="000000"/>
                <w:sz w:val="20"/>
                <w:szCs w:val="20"/>
              </w:rPr>
              <w:t>.26%</w:t>
            </w:r>
          </w:p>
        </w:tc>
      </w:tr>
      <w:tr w:rsidR="007A75AA" w:rsidRPr="008E2822" w:rsidTr="00D1727B">
        <w:trPr>
          <w:trHeight w:val="17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center"/>
              <w:rPr>
                <w:color w:val="000000"/>
                <w:sz w:val="20"/>
                <w:szCs w:val="20"/>
              </w:rPr>
            </w:pPr>
            <w:r w:rsidRPr="008E2822">
              <w:rPr>
                <w:color w:val="000000"/>
                <w:sz w:val="20"/>
                <w:szCs w:val="20"/>
              </w:rPr>
              <w:t>f</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left"/>
              <w:rPr>
                <w:color w:val="000000"/>
                <w:sz w:val="20"/>
                <w:szCs w:val="20"/>
              </w:rPr>
            </w:pPr>
            <w:r w:rsidRPr="008E2822">
              <w:rPr>
                <w:color w:val="000000"/>
                <w:sz w:val="20"/>
                <w:szCs w:val="20"/>
              </w:rPr>
              <w:t>Други</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179 570</w:t>
            </w:r>
          </w:p>
        </w:tc>
        <w:tc>
          <w:tcPr>
            <w:tcW w:w="2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21 320 840</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5AA" w:rsidRPr="008E2822" w:rsidRDefault="007A75AA" w:rsidP="007A75AA">
            <w:pPr>
              <w:widowControl/>
              <w:jc w:val="right"/>
              <w:rPr>
                <w:color w:val="000000"/>
                <w:sz w:val="20"/>
                <w:szCs w:val="20"/>
              </w:rPr>
            </w:pPr>
            <w:r w:rsidRPr="008E2822">
              <w:rPr>
                <w:color w:val="000000"/>
                <w:sz w:val="20"/>
                <w:szCs w:val="20"/>
              </w:rPr>
              <w:t>11</w:t>
            </w:r>
            <w:r w:rsidR="00D1727B" w:rsidRPr="008E2822">
              <w:rPr>
                <w:color w:val="000000"/>
                <w:sz w:val="20"/>
                <w:szCs w:val="20"/>
              </w:rPr>
              <w:t xml:space="preserve"> </w:t>
            </w:r>
            <w:r w:rsidRPr="008E2822">
              <w:rPr>
                <w:color w:val="000000"/>
                <w:sz w:val="20"/>
                <w:szCs w:val="20"/>
              </w:rPr>
              <w:t>773.28%</w:t>
            </w:r>
          </w:p>
        </w:tc>
      </w:tr>
    </w:tbl>
    <w:p w:rsidR="00D1727B" w:rsidRPr="008E2822" w:rsidRDefault="00D1727B" w:rsidP="00D1727B"/>
    <w:tbl>
      <w:tblPr>
        <w:tblStyle w:val="TableGrid"/>
        <w:tblW w:w="950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7"/>
      </w:tblGrid>
      <w:tr w:rsidR="00D1727B" w:rsidRPr="008E2822" w:rsidTr="007D005B">
        <w:trPr>
          <w:jc w:val="center"/>
        </w:trPr>
        <w:tc>
          <w:tcPr>
            <w:tcW w:w="9507" w:type="dxa"/>
          </w:tcPr>
          <w:p w:rsidR="00D1727B" w:rsidRPr="008E2822" w:rsidRDefault="00D1727B" w:rsidP="007D005B">
            <w:pPr>
              <w:tabs>
                <w:tab w:val="left" w:pos="360"/>
              </w:tabs>
              <w:jc w:val="center"/>
              <w:rPr>
                <w:b/>
                <w:sz w:val="20"/>
                <w:szCs w:val="20"/>
              </w:rPr>
            </w:pPr>
            <w:r w:rsidRPr="008E2822">
              <w:rPr>
                <w:b/>
                <w:sz w:val="20"/>
                <w:szCs w:val="20"/>
              </w:rPr>
              <w:t xml:space="preserve">Графика 4: Десетте дружества с най-висок оборот през </w:t>
            </w:r>
            <w:r w:rsidR="007D005B" w:rsidRPr="008E2822">
              <w:rPr>
                <w:b/>
                <w:sz w:val="20"/>
                <w:szCs w:val="20"/>
              </w:rPr>
              <w:t>второто</w:t>
            </w:r>
            <w:r w:rsidRPr="008E2822">
              <w:rPr>
                <w:b/>
                <w:sz w:val="20"/>
                <w:szCs w:val="20"/>
              </w:rPr>
              <w:t xml:space="preserve"> тримесечие на 2013 година</w:t>
            </w:r>
          </w:p>
        </w:tc>
      </w:tr>
      <w:tr w:rsidR="00D1727B" w:rsidRPr="008E2822" w:rsidTr="007D005B">
        <w:tblPrEx>
          <w:tblCellMar>
            <w:left w:w="70" w:type="dxa"/>
            <w:right w:w="70" w:type="dxa"/>
          </w:tblCellMar>
        </w:tblPrEx>
        <w:trPr>
          <w:trHeight w:hRule="exact" w:val="5670"/>
          <w:jc w:val="center"/>
        </w:trPr>
        <w:tc>
          <w:tcPr>
            <w:tcW w:w="9507" w:type="dxa"/>
            <w:shd w:val="clear" w:color="auto" w:fill="FFFFFF" w:themeFill="background1"/>
          </w:tcPr>
          <w:p w:rsidR="00D1727B" w:rsidRPr="008E2822" w:rsidRDefault="008024EE" w:rsidP="00B533E7">
            <w:pPr>
              <w:tabs>
                <w:tab w:val="left" w:pos="360"/>
              </w:tabs>
              <w:rPr>
                <w:szCs w:val="22"/>
              </w:rPr>
            </w:pPr>
            <w:r w:rsidRPr="008E2822">
              <w:rPr>
                <w:noProof/>
              </w:rPr>
              <w:drawing>
                <wp:inline distT="0" distB="0" distL="0" distR="0" wp14:anchorId="411CE507" wp14:editId="0C8B2758">
                  <wp:extent cx="5777345" cy="3512127"/>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D1727B" w:rsidRPr="008E2822" w:rsidRDefault="00D1727B" w:rsidP="00D1727B"/>
    <w:p w:rsidR="00D1727B" w:rsidRPr="008E2822" w:rsidRDefault="00D1727B">
      <w:pPr>
        <w:widowControl/>
        <w:jc w:val="left"/>
      </w:pPr>
      <w:r w:rsidRPr="008E2822">
        <w:br w:type="page"/>
      </w:r>
    </w:p>
    <w:p w:rsidR="00316218" w:rsidRPr="008E2822" w:rsidRDefault="000432F0" w:rsidP="00BA4CF8">
      <w:pPr>
        <w:pStyle w:val="SubNumbers"/>
        <w:outlineLvl w:val="1"/>
      </w:pPr>
      <w:bookmarkStart w:id="13" w:name="_Toc362884488"/>
      <w:r w:rsidRPr="008E2822">
        <w:lastRenderedPageBreak/>
        <w:t>Отраслова структура на търговията</w:t>
      </w:r>
      <w:bookmarkEnd w:id="10"/>
      <w:bookmarkEnd w:id="13"/>
    </w:p>
    <w:p w:rsidR="005603B4" w:rsidRPr="008E2822" w:rsidRDefault="005603B4" w:rsidP="001C23F0">
      <w:pPr>
        <w:tabs>
          <w:tab w:val="left" w:pos="360"/>
        </w:tabs>
        <w:rPr>
          <w:szCs w:val="22"/>
        </w:rPr>
      </w:pPr>
      <w:r w:rsidRPr="008E2822">
        <w:rPr>
          <w:szCs w:val="22"/>
        </w:rPr>
        <w:t xml:space="preserve">През второто тримесечие на 2013 година „Преработваща промишленост“ излезе на първо място по оборот с 235,34 милион лева заради големи сделки с акции на дружество от този сектор на икономиката. Секторът измести традиционно доминиращият “Финансови и застрахователни дейности”, който през второто тримесечие е на второ място с оборот от 219,7 милиона лева. “Финансови и застрахователни дейности” държи първенството по брой сделки и прехвърлени лотове, което е съвсем закономерно, предвид стандартно високите обороти и брой лотове в сектора, през второто тримесечие съответно 9 066 сделки и 76,5 милиона прехвърлени </w:t>
      </w:r>
      <w:proofErr w:type="gramStart"/>
      <w:r w:rsidRPr="008E2822">
        <w:rPr>
          <w:szCs w:val="22"/>
        </w:rPr>
        <w:t xml:space="preserve">лота. </w:t>
      </w:r>
      <w:proofErr w:type="gramEnd"/>
    </w:p>
    <w:p w:rsidR="007F4BB0" w:rsidRPr="008E2822" w:rsidRDefault="007F4BB0" w:rsidP="001C23F0">
      <w:pPr>
        <w:tabs>
          <w:tab w:val="left" w:pos="360"/>
        </w:tabs>
        <w:rPr>
          <w:sz w:val="20"/>
          <w:szCs w:val="20"/>
        </w:rPr>
      </w:pPr>
    </w:p>
    <w:p w:rsidR="0035517E" w:rsidRPr="008E2822" w:rsidRDefault="0035517E" w:rsidP="0035517E">
      <w:pPr>
        <w:tabs>
          <w:tab w:val="left" w:pos="360"/>
        </w:tabs>
        <w:jc w:val="left"/>
        <w:rPr>
          <w:b/>
          <w:sz w:val="20"/>
          <w:szCs w:val="20"/>
        </w:rPr>
      </w:pPr>
      <w:r w:rsidRPr="008E2822">
        <w:rPr>
          <w:b/>
          <w:sz w:val="20"/>
          <w:szCs w:val="20"/>
        </w:rPr>
        <w:t>Таблица 5. Структура на търговията по 10-те водещи сектора през І</w:t>
      </w:r>
      <w:r w:rsidR="006777FB" w:rsidRPr="008E2822">
        <w:rPr>
          <w:b/>
          <w:sz w:val="20"/>
          <w:szCs w:val="20"/>
        </w:rPr>
        <w:t>І</w:t>
      </w:r>
      <w:r w:rsidRPr="008E2822">
        <w:rPr>
          <w:b/>
          <w:sz w:val="20"/>
          <w:szCs w:val="20"/>
        </w:rPr>
        <w:t xml:space="preserve"> тримесечие на 201</w:t>
      </w:r>
      <w:r w:rsidR="00A13C0D" w:rsidRPr="008E2822">
        <w:rPr>
          <w:b/>
          <w:sz w:val="20"/>
          <w:szCs w:val="20"/>
        </w:rPr>
        <w:t>3</w:t>
      </w:r>
    </w:p>
    <w:tbl>
      <w:tblPr>
        <w:tblW w:w="9894" w:type="dxa"/>
        <w:jc w:val="center"/>
        <w:tblInd w:w="55" w:type="dxa"/>
        <w:tblCellMar>
          <w:left w:w="70" w:type="dxa"/>
          <w:right w:w="70" w:type="dxa"/>
        </w:tblCellMar>
        <w:tblLook w:val="04A0" w:firstRow="1" w:lastRow="0" w:firstColumn="1" w:lastColumn="0" w:noHBand="0" w:noVBand="1"/>
      </w:tblPr>
      <w:tblGrid>
        <w:gridCol w:w="4835"/>
        <w:gridCol w:w="1620"/>
        <w:gridCol w:w="1480"/>
        <w:gridCol w:w="1959"/>
      </w:tblGrid>
      <w:tr w:rsidR="006777FB" w:rsidRPr="008E2822" w:rsidTr="00B533E7">
        <w:trPr>
          <w:trHeight w:val="170"/>
          <w:jc w:val="center"/>
        </w:trPr>
        <w:tc>
          <w:tcPr>
            <w:tcW w:w="4835"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6777FB" w:rsidRPr="008E2822" w:rsidRDefault="006777FB" w:rsidP="00B533E7">
            <w:pPr>
              <w:widowControl/>
              <w:jc w:val="left"/>
              <w:rPr>
                <w:b/>
                <w:bCs/>
                <w:color w:val="FFFFFF"/>
                <w:sz w:val="18"/>
                <w:szCs w:val="18"/>
              </w:rPr>
            </w:pPr>
            <w:r w:rsidRPr="008E2822">
              <w:rPr>
                <w:rFonts w:cs="Calibri"/>
                <w:b/>
                <w:bCs/>
                <w:color w:val="FFFFFF"/>
                <w:sz w:val="18"/>
                <w:szCs w:val="18"/>
              </w:rPr>
              <w:t>Сектор</w:t>
            </w:r>
          </w:p>
        </w:tc>
        <w:tc>
          <w:tcPr>
            <w:tcW w:w="1620" w:type="dxa"/>
            <w:tcBorders>
              <w:top w:val="single" w:sz="4" w:space="0" w:color="auto"/>
              <w:left w:val="nil"/>
              <w:bottom w:val="single" w:sz="4" w:space="0" w:color="auto"/>
              <w:right w:val="single" w:sz="4" w:space="0" w:color="auto"/>
            </w:tcBorders>
            <w:shd w:val="clear" w:color="000000" w:fill="4F81BD"/>
            <w:noWrap/>
            <w:vAlign w:val="center"/>
            <w:hideMark/>
          </w:tcPr>
          <w:p w:rsidR="006777FB" w:rsidRPr="008E2822" w:rsidRDefault="006777FB" w:rsidP="00B533E7">
            <w:pPr>
              <w:widowControl/>
              <w:jc w:val="center"/>
              <w:rPr>
                <w:b/>
                <w:bCs/>
                <w:color w:val="FFFFFF"/>
                <w:sz w:val="18"/>
                <w:szCs w:val="18"/>
              </w:rPr>
            </w:pPr>
            <w:r w:rsidRPr="008E2822">
              <w:rPr>
                <w:rFonts w:cs="Calibri"/>
                <w:b/>
                <w:bCs/>
                <w:color w:val="FFFFFF"/>
                <w:sz w:val="18"/>
                <w:szCs w:val="18"/>
              </w:rPr>
              <w:t>Брой сделки</w:t>
            </w:r>
          </w:p>
        </w:tc>
        <w:tc>
          <w:tcPr>
            <w:tcW w:w="1480" w:type="dxa"/>
            <w:tcBorders>
              <w:top w:val="single" w:sz="4" w:space="0" w:color="auto"/>
              <w:left w:val="nil"/>
              <w:bottom w:val="single" w:sz="4" w:space="0" w:color="auto"/>
              <w:right w:val="single" w:sz="4" w:space="0" w:color="auto"/>
            </w:tcBorders>
            <w:shd w:val="clear" w:color="000000" w:fill="4F81BD"/>
            <w:noWrap/>
            <w:vAlign w:val="center"/>
            <w:hideMark/>
          </w:tcPr>
          <w:p w:rsidR="006777FB" w:rsidRPr="008E2822" w:rsidRDefault="006777FB" w:rsidP="00B533E7">
            <w:pPr>
              <w:widowControl/>
              <w:jc w:val="center"/>
              <w:rPr>
                <w:b/>
                <w:bCs/>
                <w:color w:val="FFFFFF"/>
                <w:sz w:val="18"/>
                <w:szCs w:val="18"/>
              </w:rPr>
            </w:pPr>
            <w:r w:rsidRPr="008E2822">
              <w:rPr>
                <w:rFonts w:cs="Calibri"/>
                <w:b/>
                <w:bCs/>
                <w:color w:val="FFFFFF"/>
                <w:sz w:val="18"/>
                <w:szCs w:val="18"/>
              </w:rPr>
              <w:t>Изтъргувани лотове</w:t>
            </w:r>
          </w:p>
        </w:tc>
        <w:tc>
          <w:tcPr>
            <w:tcW w:w="1959" w:type="dxa"/>
            <w:tcBorders>
              <w:top w:val="single" w:sz="4" w:space="0" w:color="auto"/>
              <w:left w:val="nil"/>
              <w:bottom w:val="single" w:sz="4" w:space="0" w:color="auto"/>
              <w:right w:val="single" w:sz="4" w:space="0" w:color="auto"/>
            </w:tcBorders>
            <w:shd w:val="clear" w:color="000000" w:fill="4F81BD"/>
            <w:noWrap/>
            <w:vAlign w:val="center"/>
            <w:hideMark/>
          </w:tcPr>
          <w:p w:rsidR="006777FB" w:rsidRPr="008E2822" w:rsidRDefault="006777FB" w:rsidP="00B533E7">
            <w:pPr>
              <w:widowControl/>
              <w:jc w:val="center"/>
              <w:rPr>
                <w:b/>
                <w:bCs/>
                <w:color w:val="FFFFFF"/>
                <w:sz w:val="18"/>
                <w:szCs w:val="18"/>
              </w:rPr>
            </w:pPr>
            <w:r w:rsidRPr="008E2822">
              <w:rPr>
                <w:rFonts w:cs="Calibri"/>
                <w:b/>
                <w:bCs/>
                <w:color w:val="FFFFFF"/>
                <w:sz w:val="18"/>
                <w:szCs w:val="18"/>
              </w:rPr>
              <w:t>Оборот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Преработваща промишленост</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4 904</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56 897 090</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235 338 674.30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Финансови и застрахователни дейности</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9 066</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76 469 782</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219 701 395.87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Професионални дейности и научни изследвания</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277</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2 252 825</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20 313 196.55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Операции с недвижими имоти</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184</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556 158</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4 566 089.06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Търговия; ремонт на автомобили и мотоциклети</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1 070</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2 399 768</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3 230 501.45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Производство и разпределение на електрическа и топлинна енергия и на газообразни горива</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551</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3 966 308</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3 162 664.07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Транспорт, складиране и пощи</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132</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58 573</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2 327 092.69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Създаване и разпространение на информация и творчески продукти; далекосъобщения</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128</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1 383 088</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1 757 755.60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r w:rsidRPr="008E2822">
              <w:rPr>
                <w:color w:val="000000"/>
                <w:sz w:val="18"/>
                <w:szCs w:val="18"/>
              </w:rPr>
              <w:t>Строителство</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961</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737 938</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1 593 928.03 лв.</w:t>
            </w:r>
          </w:p>
        </w:tc>
      </w:tr>
      <w:tr w:rsidR="006777FB" w:rsidRPr="008E2822" w:rsidTr="00B533E7">
        <w:trPr>
          <w:trHeight w:val="170"/>
          <w:jc w:val="center"/>
        </w:trPr>
        <w:tc>
          <w:tcPr>
            <w:tcW w:w="4835" w:type="dxa"/>
            <w:tcBorders>
              <w:top w:val="nil"/>
              <w:left w:val="single" w:sz="4" w:space="0" w:color="auto"/>
              <w:bottom w:val="single" w:sz="4" w:space="0" w:color="auto"/>
              <w:right w:val="single" w:sz="4" w:space="0" w:color="auto"/>
            </w:tcBorders>
            <w:shd w:val="clear" w:color="auto" w:fill="auto"/>
            <w:noWrap/>
            <w:vAlign w:val="bottom"/>
            <w:hideMark/>
          </w:tcPr>
          <w:p w:rsidR="006777FB" w:rsidRPr="008E2822" w:rsidRDefault="006777FB" w:rsidP="00B533E7">
            <w:pPr>
              <w:widowControl/>
              <w:jc w:val="left"/>
              <w:rPr>
                <w:color w:val="000000"/>
                <w:sz w:val="18"/>
                <w:szCs w:val="18"/>
              </w:rPr>
            </w:pPr>
            <w:proofErr w:type="spellStart"/>
            <w:r w:rsidRPr="008E2822">
              <w:rPr>
                <w:color w:val="000000"/>
                <w:sz w:val="18"/>
                <w:szCs w:val="18"/>
              </w:rPr>
              <w:t>Добивна</w:t>
            </w:r>
            <w:proofErr w:type="spellEnd"/>
            <w:r w:rsidRPr="008E2822">
              <w:rPr>
                <w:color w:val="000000"/>
                <w:sz w:val="18"/>
                <w:szCs w:val="18"/>
              </w:rPr>
              <w:t xml:space="preserve"> промишленост</w:t>
            </w:r>
          </w:p>
        </w:tc>
        <w:tc>
          <w:tcPr>
            <w:tcW w:w="162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265</w:t>
            </w:r>
          </w:p>
        </w:tc>
        <w:tc>
          <w:tcPr>
            <w:tcW w:w="1480"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124 541</w:t>
            </w:r>
          </w:p>
        </w:tc>
        <w:tc>
          <w:tcPr>
            <w:tcW w:w="1959" w:type="dxa"/>
            <w:tcBorders>
              <w:top w:val="nil"/>
              <w:left w:val="nil"/>
              <w:bottom w:val="single" w:sz="4" w:space="0" w:color="auto"/>
              <w:right w:val="single" w:sz="4" w:space="0" w:color="auto"/>
            </w:tcBorders>
            <w:shd w:val="clear" w:color="auto" w:fill="auto"/>
            <w:noWrap/>
            <w:vAlign w:val="bottom"/>
            <w:hideMark/>
          </w:tcPr>
          <w:p w:rsidR="006777FB" w:rsidRPr="008E2822" w:rsidRDefault="006777FB" w:rsidP="00B533E7">
            <w:pPr>
              <w:widowControl/>
              <w:jc w:val="right"/>
              <w:rPr>
                <w:color w:val="000000"/>
                <w:sz w:val="18"/>
                <w:szCs w:val="18"/>
              </w:rPr>
            </w:pPr>
            <w:r w:rsidRPr="008E2822">
              <w:rPr>
                <w:color w:val="000000"/>
                <w:sz w:val="18"/>
                <w:szCs w:val="18"/>
              </w:rPr>
              <w:t>557 044.09 лв.</w:t>
            </w:r>
          </w:p>
        </w:tc>
      </w:tr>
    </w:tbl>
    <w:p w:rsidR="006777FB" w:rsidRPr="008E2822" w:rsidRDefault="006777FB" w:rsidP="0035517E">
      <w:pPr>
        <w:tabs>
          <w:tab w:val="left" w:pos="360"/>
        </w:tabs>
        <w:jc w:val="left"/>
        <w:rPr>
          <w:sz w:val="20"/>
          <w:szCs w:val="20"/>
        </w:rPr>
      </w:pPr>
    </w:p>
    <w:tbl>
      <w:tblPr>
        <w:tblStyle w:val="TableGrid"/>
        <w:tblW w:w="98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6"/>
      </w:tblGrid>
      <w:tr w:rsidR="007C1898" w:rsidRPr="008E2822" w:rsidTr="006777FB">
        <w:trPr>
          <w:jc w:val="center"/>
        </w:trPr>
        <w:tc>
          <w:tcPr>
            <w:tcW w:w="9816" w:type="dxa"/>
          </w:tcPr>
          <w:p w:rsidR="007C1898" w:rsidRPr="008E2822" w:rsidRDefault="00A13C0D" w:rsidP="00A13C0D">
            <w:pPr>
              <w:tabs>
                <w:tab w:val="left" w:pos="360"/>
              </w:tabs>
              <w:rPr>
                <w:b/>
                <w:sz w:val="20"/>
                <w:szCs w:val="20"/>
              </w:rPr>
            </w:pPr>
            <w:bookmarkStart w:id="14" w:name="_Toc283112102"/>
            <w:r w:rsidRPr="008E2822">
              <w:rPr>
                <w:b/>
                <w:sz w:val="20"/>
                <w:szCs w:val="20"/>
              </w:rPr>
              <w:t xml:space="preserve">Графика 5: </w:t>
            </w:r>
            <w:r w:rsidR="007C1898" w:rsidRPr="008E2822">
              <w:rPr>
                <w:b/>
                <w:sz w:val="20"/>
                <w:szCs w:val="20"/>
              </w:rPr>
              <w:t xml:space="preserve">Разпределение на оборота в </w:t>
            </w:r>
            <w:r w:rsidRPr="008E2822">
              <w:rPr>
                <w:b/>
                <w:sz w:val="20"/>
                <w:szCs w:val="20"/>
              </w:rPr>
              <w:t>10-те</w:t>
            </w:r>
            <w:r w:rsidR="007C1898" w:rsidRPr="008E2822">
              <w:rPr>
                <w:b/>
                <w:sz w:val="20"/>
                <w:szCs w:val="20"/>
              </w:rPr>
              <w:t xml:space="preserve"> водещи сектора през </w:t>
            </w:r>
            <w:r w:rsidRPr="008E2822">
              <w:rPr>
                <w:b/>
                <w:sz w:val="20"/>
                <w:szCs w:val="20"/>
                <w:lang w:val="en-US"/>
              </w:rPr>
              <w:t>I</w:t>
            </w:r>
            <w:r w:rsidR="006777FB" w:rsidRPr="008E2822">
              <w:rPr>
                <w:b/>
                <w:sz w:val="20"/>
                <w:szCs w:val="20"/>
              </w:rPr>
              <w:t>І</w:t>
            </w:r>
            <w:r w:rsidR="007C1898" w:rsidRPr="008E2822">
              <w:rPr>
                <w:b/>
                <w:sz w:val="20"/>
                <w:szCs w:val="20"/>
              </w:rPr>
              <w:t xml:space="preserve"> тримесечие на 201</w:t>
            </w:r>
            <w:r w:rsidRPr="008E2822">
              <w:rPr>
                <w:b/>
                <w:sz w:val="20"/>
                <w:szCs w:val="20"/>
              </w:rPr>
              <w:t>3</w:t>
            </w:r>
            <w:r w:rsidR="007C1898" w:rsidRPr="008E2822">
              <w:rPr>
                <w:b/>
                <w:sz w:val="20"/>
                <w:szCs w:val="20"/>
              </w:rPr>
              <w:t xml:space="preserve"> г.</w:t>
            </w:r>
          </w:p>
        </w:tc>
      </w:tr>
      <w:tr w:rsidR="007C1898" w:rsidRPr="008E2822" w:rsidTr="006777FB">
        <w:tblPrEx>
          <w:tblCellMar>
            <w:left w:w="70" w:type="dxa"/>
            <w:right w:w="70" w:type="dxa"/>
          </w:tblCellMar>
        </w:tblPrEx>
        <w:trPr>
          <w:jc w:val="center"/>
        </w:trPr>
        <w:tc>
          <w:tcPr>
            <w:tcW w:w="9816" w:type="dxa"/>
          </w:tcPr>
          <w:p w:rsidR="007C1898" w:rsidRPr="008E2822" w:rsidRDefault="0045586C" w:rsidP="00A959F0">
            <w:pPr>
              <w:tabs>
                <w:tab w:val="left" w:pos="360"/>
              </w:tabs>
              <w:rPr>
                <w:highlight w:val="green"/>
              </w:rPr>
            </w:pPr>
            <w:r w:rsidRPr="008E2822">
              <w:rPr>
                <w:noProof/>
              </w:rPr>
              <w:drawing>
                <wp:inline distT="0" distB="0" distL="0" distR="0" wp14:anchorId="517120BA" wp14:editId="7C015D87">
                  <wp:extent cx="614449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772A63" w:rsidRPr="008E2822" w:rsidRDefault="00656AAC" w:rsidP="00656AAC">
      <w:pPr>
        <w:widowControl/>
        <w:jc w:val="left"/>
        <w:rPr>
          <w:rFonts w:cs="Arial"/>
          <w:b/>
          <w:bCs/>
          <w:kern w:val="32"/>
          <w:sz w:val="24"/>
          <w:szCs w:val="32"/>
        </w:rPr>
      </w:pPr>
      <w:r w:rsidRPr="008E2822">
        <w:rPr>
          <w:rFonts w:cs="Arial"/>
          <w:b/>
          <w:bCs/>
          <w:kern w:val="32"/>
          <w:sz w:val="24"/>
          <w:szCs w:val="32"/>
        </w:rPr>
        <w:br w:type="page"/>
      </w:r>
    </w:p>
    <w:p w:rsidR="004B006C" w:rsidRPr="008E2822" w:rsidRDefault="00241ABE" w:rsidP="00BA4CF8">
      <w:pPr>
        <w:pStyle w:val="Mainnumbers"/>
        <w:outlineLvl w:val="0"/>
      </w:pPr>
      <w:bookmarkStart w:id="15" w:name="_Toc362884489"/>
      <w:r w:rsidRPr="008E2822">
        <w:lastRenderedPageBreak/>
        <w:t>Регистрирани е</w:t>
      </w:r>
      <w:r w:rsidR="00266E75" w:rsidRPr="008E2822">
        <w:t xml:space="preserve">мисии </w:t>
      </w:r>
      <w:r w:rsidR="00D06C89" w:rsidRPr="008E2822">
        <w:t>финансови инструменти</w:t>
      </w:r>
      <w:r w:rsidRPr="008E2822">
        <w:t xml:space="preserve"> на </w:t>
      </w:r>
      <w:r w:rsidR="004B006C" w:rsidRPr="008E2822">
        <w:t>БФБ-София</w:t>
      </w:r>
      <w:bookmarkEnd w:id="14"/>
      <w:bookmarkEnd w:id="15"/>
    </w:p>
    <w:p w:rsidR="004C4CBB" w:rsidRPr="008E2822" w:rsidRDefault="00933AFB" w:rsidP="008D1E64">
      <w:pPr>
        <w:tabs>
          <w:tab w:val="left" w:pos="360"/>
        </w:tabs>
        <w:rPr>
          <w:szCs w:val="22"/>
          <w:lang w:val="en-US"/>
        </w:rPr>
      </w:pPr>
      <w:r w:rsidRPr="008E2822">
        <w:rPr>
          <w:szCs w:val="22"/>
        </w:rPr>
        <w:t>Както се вижда от следващата таблица, броят на регистрираните емисии по пазарни сегменти е относително постоянен.</w:t>
      </w:r>
      <w:r w:rsidR="00816D0A" w:rsidRPr="008E2822">
        <w:rPr>
          <w:szCs w:val="22"/>
        </w:rPr>
        <w:t xml:space="preserve"> В сравнение с предходното тримесечие на 2013 година, </w:t>
      </w:r>
      <w:r w:rsidR="00B533E7" w:rsidRPr="008E2822">
        <w:rPr>
          <w:szCs w:val="22"/>
        </w:rPr>
        <w:t xml:space="preserve">има нарастване на броят емисии на основния пазар, сегмент </w:t>
      </w:r>
      <w:r w:rsidR="00B533E7" w:rsidRPr="008E2822">
        <w:rPr>
          <w:szCs w:val="22"/>
          <w:lang w:val="en-US"/>
        </w:rPr>
        <w:t>Standard</w:t>
      </w:r>
      <w:r w:rsidR="00B533E7" w:rsidRPr="008E2822">
        <w:rPr>
          <w:szCs w:val="22"/>
        </w:rPr>
        <w:t xml:space="preserve"> и сегмент за колективни инвестиционни схеми, а при </w:t>
      </w:r>
      <w:proofErr w:type="spellStart"/>
      <w:r w:rsidR="00B533E7" w:rsidRPr="008E2822">
        <w:rPr>
          <w:szCs w:val="22"/>
          <w:lang w:val="en-US"/>
        </w:rPr>
        <w:t>BaSE</w:t>
      </w:r>
      <w:proofErr w:type="spellEnd"/>
      <w:r w:rsidR="00B533E7" w:rsidRPr="008E2822">
        <w:rPr>
          <w:szCs w:val="22"/>
          <w:lang w:val="en-US"/>
        </w:rPr>
        <w:t xml:space="preserve"> </w:t>
      </w:r>
      <w:r w:rsidR="008E2822" w:rsidRPr="008E2822">
        <w:rPr>
          <w:szCs w:val="22"/>
        </w:rPr>
        <w:t>е налице</w:t>
      </w:r>
      <w:r w:rsidR="00B533E7" w:rsidRPr="008E2822">
        <w:rPr>
          <w:szCs w:val="22"/>
        </w:rPr>
        <w:t xml:space="preserve"> намаление и в </w:t>
      </w:r>
      <w:r w:rsidR="008E2822" w:rsidRPr="008E2822">
        <w:rPr>
          <w:szCs w:val="22"/>
        </w:rPr>
        <w:t xml:space="preserve">двата му </w:t>
      </w:r>
      <w:r w:rsidR="00B533E7" w:rsidRPr="008E2822">
        <w:rPr>
          <w:szCs w:val="22"/>
        </w:rPr>
        <w:t>сегмента за акции.</w:t>
      </w:r>
    </w:p>
    <w:p w:rsidR="003A12C9" w:rsidRPr="008E2822" w:rsidRDefault="003A12C9" w:rsidP="008D1E64">
      <w:pPr>
        <w:tabs>
          <w:tab w:val="left" w:pos="360"/>
        </w:tabs>
        <w:rPr>
          <w:szCs w:val="22"/>
          <w:lang w:val="en-US"/>
        </w:rPr>
      </w:pPr>
    </w:p>
    <w:p w:rsidR="00E7254D" w:rsidRPr="008E2822" w:rsidRDefault="006045D2" w:rsidP="008D1E64">
      <w:pPr>
        <w:tabs>
          <w:tab w:val="left" w:pos="360"/>
        </w:tabs>
        <w:rPr>
          <w:b/>
          <w:sz w:val="20"/>
          <w:szCs w:val="20"/>
        </w:rPr>
      </w:pPr>
      <w:r w:rsidRPr="008E2822">
        <w:rPr>
          <w:b/>
          <w:sz w:val="20"/>
          <w:szCs w:val="20"/>
        </w:rPr>
        <w:t xml:space="preserve">Таблица 6: Регистрирани емисии по </w:t>
      </w:r>
      <w:proofErr w:type="gramStart"/>
      <w:r w:rsidRPr="008E2822">
        <w:rPr>
          <w:b/>
          <w:sz w:val="20"/>
          <w:szCs w:val="20"/>
        </w:rPr>
        <w:t>сегменти</w:t>
      </w:r>
      <w:proofErr w:type="gramEnd"/>
    </w:p>
    <w:tbl>
      <w:tblPr>
        <w:tblW w:w="9490" w:type="dxa"/>
        <w:jc w:val="center"/>
        <w:tblInd w:w="55" w:type="dxa"/>
        <w:tblCellMar>
          <w:left w:w="70" w:type="dxa"/>
          <w:right w:w="70" w:type="dxa"/>
        </w:tblCellMar>
        <w:tblLook w:val="04A0" w:firstRow="1" w:lastRow="0" w:firstColumn="1" w:lastColumn="0" w:noHBand="0" w:noVBand="1"/>
      </w:tblPr>
      <w:tblGrid>
        <w:gridCol w:w="6247"/>
        <w:gridCol w:w="1160"/>
        <w:gridCol w:w="1160"/>
        <w:gridCol w:w="923"/>
      </w:tblGrid>
      <w:tr w:rsidR="00933AFB" w:rsidRPr="008E2822" w:rsidTr="00933AFB">
        <w:trPr>
          <w:trHeight w:val="170"/>
          <w:jc w:val="center"/>
        </w:trPr>
        <w:tc>
          <w:tcPr>
            <w:tcW w:w="6247" w:type="dxa"/>
            <w:tcBorders>
              <w:top w:val="single" w:sz="4" w:space="0" w:color="auto"/>
              <w:left w:val="single" w:sz="4" w:space="0" w:color="auto"/>
              <w:bottom w:val="single" w:sz="4" w:space="0" w:color="auto"/>
              <w:right w:val="single" w:sz="4" w:space="0" w:color="auto"/>
            </w:tcBorders>
            <w:shd w:val="clear" w:color="000000" w:fill="8DB3E2"/>
            <w:noWrap/>
            <w:vAlign w:val="center"/>
            <w:hideMark/>
          </w:tcPr>
          <w:p w:rsidR="00933AFB" w:rsidRPr="008E2822" w:rsidRDefault="00933AFB" w:rsidP="00933AFB">
            <w:pPr>
              <w:widowControl/>
              <w:jc w:val="center"/>
              <w:rPr>
                <w:b/>
                <w:bCs/>
                <w:color w:val="FFFFFF"/>
                <w:sz w:val="18"/>
                <w:szCs w:val="18"/>
              </w:rPr>
            </w:pPr>
            <w:r w:rsidRPr="008E2822">
              <w:rPr>
                <w:b/>
                <w:bCs/>
                <w:color w:val="FFFFFF"/>
                <w:sz w:val="18"/>
                <w:szCs w:val="18"/>
              </w:rPr>
              <w:t>Пазарен сегмент \ Регистрирани емисии</w:t>
            </w:r>
          </w:p>
        </w:tc>
        <w:tc>
          <w:tcPr>
            <w:tcW w:w="1160" w:type="dxa"/>
            <w:tcBorders>
              <w:top w:val="single" w:sz="4" w:space="0" w:color="auto"/>
              <w:left w:val="nil"/>
              <w:bottom w:val="single" w:sz="4" w:space="0" w:color="auto"/>
              <w:right w:val="single" w:sz="4" w:space="0" w:color="auto"/>
            </w:tcBorders>
            <w:shd w:val="clear" w:color="000000" w:fill="8DB3E2"/>
            <w:noWrap/>
            <w:vAlign w:val="center"/>
            <w:hideMark/>
          </w:tcPr>
          <w:p w:rsidR="00933AFB" w:rsidRPr="008E2822" w:rsidRDefault="00933AFB" w:rsidP="00933AFB">
            <w:pPr>
              <w:widowControl/>
              <w:jc w:val="center"/>
              <w:rPr>
                <w:b/>
                <w:bCs/>
                <w:color w:val="FFFFFF"/>
                <w:sz w:val="18"/>
                <w:szCs w:val="18"/>
              </w:rPr>
            </w:pPr>
            <w:r w:rsidRPr="008E2822">
              <w:rPr>
                <w:b/>
                <w:bCs/>
                <w:color w:val="FFFFFF"/>
                <w:sz w:val="18"/>
                <w:szCs w:val="18"/>
              </w:rPr>
              <w:t>31.03.2013</w:t>
            </w:r>
          </w:p>
        </w:tc>
        <w:tc>
          <w:tcPr>
            <w:tcW w:w="1160" w:type="dxa"/>
            <w:tcBorders>
              <w:top w:val="single" w:sz="4" w:space="0" w:color="auto"/>
              <w:left w:val="nil"/>
              <w:bottom w:val="single" w:sz="4" w:space="0" w:color="auto"/>
              <w:right w:val="single" w:sz="4" w:space="0" w:color="auto"/>
            </w:tcBorders>
            <w:shd w:val="clear" w:color="000000" w:fill="8DB3E2"/>
            <w:noWrap/>
            <w:vAlign w:val="center"/>
            <w:hideMark/>
          </w:tcPr>
          <w:p w:rsidR="00933AFB" w:rsidRPr="008E2822" w:rsidRDefault="00933AFB" w:rsidP="00933AFB">
            <w:pPr>
              <w:widowControl/>
              <w:jc w:val="center"/>
              <w:rPr>
                <w:b/>
                <w:bCs/>
                <w:color w:val="FFFFFF"/>
                <w:sz w:val="18"/>
                <w:szCs w:val="18"/>
              </w:rPr>
            </w:pPr>
            <w:r w:rsidRPr="008E2822">
              <w:rPr>
                <w:b/>
                <w:bCs/>
                <w:color w:val="FFFFFF"/>
                <w:sz w:val="18"/>
                <w:szCs w:val="18"/>
              </w:rPr>
              <w:t>30.06.2013</w:t>
            </w:r>
          </w:p>
        </w:tc>
        <w:tc>
          <w:tcPr>
            <w:tcW w:w="923" w:type="dxa"/>
            <w:tcBorders>
              <w:top w:val="single" w:sz="4" w:space="0" w:color="auto"/>
              <w:left w:val="nil"/>
              <w:bottom w:val="single" w:sz="4" w:space="0" w:color="auto"/>
              <w:right w:val="single" w:sz="4" w:space="0" w:color="auto"/>
            </w:tcBorders>
            <w:shd w:val="clear" w:color="000000" w:fill="8DB3E2"/>
            <w:noWrap/>
            <w:vAlign w:val="center"/>
            <w:hideMark/>
          </w:tcPr>
          <w:p w:rsidR="00933AFB" w:rsidRPr="008E2822" w:rsidRDefault="00933AFB" w:rsidP="00933AFB">
            <w:pPr>
              <w:widowControl/>
              <w:jc w:val="center"/>
              <w:rPr>
                <w:b/>
                <w:bCs/>
                <w:color w:val="FFFFFF"/>
                <w:sz w:val="18"/>
                <w:szCs w:val="18"/>
              </w:rPr>
            </w:pPr>
            <w:proofErr w:type="gramStart"/>
            <w:r w:rsidRPr="008E2822">
              <w:rPr>
                <w:b/>
                <w:bCs/>
                <w:color w:val="FFFFFF"/>
                <w:sz w:val="18"/>
                <w:szCs w:val="18"/>
              </w:rPr>
              <w:t>промяна</w:t>
            </w:r>
            <w:proofErr w:type="gramEnd"/>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акции Premium,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7</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7</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0</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акции Standard,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90</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91</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1</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за дружества със специална инвестиционна цел,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13</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13</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0</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за колективни инвестиционни схеми,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41</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43</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2</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за компенсаторни инструменти,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3</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3</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0</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за облигации,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57</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57</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0</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за структурирани продукти, пазар BSE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2</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2</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0</w:t>
            </w:r>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 xml:space="preserve">Сегмент акции, пазар </w:t>
            </w:r>
            <w:proofErr w:type="gramStart"/>
            <w:r w:rsidRPr="008E2822">
              <w:rPr>
                <w:color w:val="000000"/>
                <w:sz w:val="18"/>
                <w:szCs w:val="18"/>
              </w:rPr>
              <w:t xml:space="preserve">BaSE </w:t>
            </w:r>
            <w:proofErr w:type="gramEnd"/>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229</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226</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proofErr w:type="gramStart"/>
            <w:r w:rsidRPr="008E2822">
              <w:rPr>
                <w:color w:val="000000"/>
                <w:sz w:val="18"/>
                <w:szCs w:val="18"/>
              </w:rPr>
              <w:t>-3</w:t>
            </w:r>
            <w:proofErr w:type="gramEnd"/>
          </w:p>
        </w:tc>
      </w:tr>
      <w:tr w:rsidR="00933AFB" w:rsidRPr="008E2822" w:rsidTr="00933AFB">
        <w:trPr>
          <w:trHeight w:val="170"/>
          <w:jc w:val="center"/>
        </w:trPr>
        <w:tc>
          <w:tcPr>
            <w:tcW w:w="6247" w:type="dxa"/>
            <w:tcBorders>
              <w:top w:val="nil"/>
              <w:left w:val="single" w:sz="4" w:space="0" w:color="auto"/>
              <w:bottom w:val="single" w:sz="4" w:space="0" w:color="auto"/>
              <w:right w:val="single" w:sz="4" w:space="0" w:color="auto"/>
            </w:tcBorders>
            <w:shd w:val="clear" w:color="auto" w:fill="auto"/>
            <w:noWrap/>
            <w:vAlign w:val="center"/>
            <w:hideMark/>
          </w:tcPr>
          <w:p w:rsidR="00933AFB" w:rsidRPr="008E2822" w:rsidRDefault="00933AFB" w:rsidP="00933AFB">
            <w:pPr>
              <w:widowControl/>
              <w:jc w:val="left"/>
              <w:rPr>
                <w:color w:val="000000"/>
                <w:sz w:val="18"/>
                <w:szCs w:val="18"/>
              </w:rPr>
            </w:pPr>
            <w:r w:rsidRPr="008E2822">
              <w:rPr>
                <w:color w:val="000000"/>
                <w:sz w:val="18"/>
                <w:szCs w:val="18"/>
              </w:rPr>
              <w:t>Сегмент за дружества със специална инвестиционна цел, пазар BaSE</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52</w:t>
            </w:r>
          </w:p>
        </w:tc>
        <w:tc>
          <w:tcPr>
            <w:tcW w:w="1160"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r w:rsidRPr="008E2822">
              <w:rPr>
                <w:color w:val="000000"/>
                <w:sz w:val="18"/>
                <w:szCs w:val="18"/>
              </w:rPr>
              <w:t>51</w:t>
            </w:r>
          </w:p>
        </w:tc>
        <w:tc>
          <w:tcPr>
            <w:tcW w:w="923" w:type="dxa"/>
            <w:tcBorders>
              <w:top w:val="nil"/>
              <w:left w:val="nil"/>
              <w:bottom w:val="single" w:sz="4" w:space="0" w:color="auto"/>
              <w:right w:val="single" w:sz="4" w:space="0" w:color="auto"/>
            </w:tcBorders>
            <w:shd w:val="clear" w:color="auto" w:fill="auto"/>
            <w:noWrap/>
            <w:vAlign w:val="center"/>
            <w:hideMark/>
          </w:tcPr>
          <w:p w:rsidR="00933AFB" w:rsidRPr="008E2822" w:rsidRDefault="00933AFB" w:rsidP="00933AFB">
            <w:pPr>
              <w:widowControl/>
              <w:jc w:val="right"/>
              <w:rPr>
                <w:color w:val="000000"/>
                <w:sz w:val="18"/>
                <w:szCs w:val="18"/>
              </w:rPr>
            </w:pPr>
            <w:proofErr w:type="gramStart"/>
            <w:r w:rsidRPr="008E2822">
              <w:rPr>
                <w:color w:val="000000"/>
                <w:sz w:val="18"/>
                <w:szCs w:val="18"/>
              </w:rPr>
              <w:t>-1</w:t>
            </w:r>
            <w:proofErr w:type="gramEnd"/>
          </w:p>
        </w:tc>
      </w:tr>
    </w:tbl>
    <w:p w:rsidR="00E7254D" w:rsidRPr="008E2822" w:rsidRDefault="00E7254D" w:rsidP="008D1E64">
      <w:pPr>
        <w:tabs>
          <w:tab w:val="left" w:pos="360"/>
        </w:tabs>
        <w:rPr>
          <w:sz w:val="20"/>
          <w:szCs w:val="20"/>
        </w:rPr>
      </w:pPr>
    </w:p>
    <w:p w:rsidR="00C85FE0" w:rsidRPr="008E2822" w:rsidRDefault="00AC7CFA" w:rsidP="008D1E64">
      <w:pPr>
        <w:tabs>
          <w:tab w:val="left" w:pos="360"/>
        </w:tabs>
        <w:rPr>
          <w:szCs w:val="22"/>
          <w:lang w:val="en-US"/>
        </w:rPr>
      </w:pPr>
      <w:r w:rsidRPr="008E2822">
        <w:rPr>
          <w:szCs w:val="22"/>
        </w:rPr>
        <w:t xml:space="preserve">Броят на емисиите </w:t>
      </w:r>
      <w:r w:rsidR="00D06C89" w:rsidRPr="008E2822">
        <w:rPr>
          <w:szCs w:val="22"/>
        </w:rPr>
        <w:t>финансови инструменти</w:t>
      </w:r>
      <w:r w:rsidRPr="008E2822">
        <w:rPr>
          <w:szCs w:val="22"/>
        </w:rPr>
        <w:t xml:space="preserve">, допуснати до търговия на пазарите </w:t>
      </w:r>
      <w:r w:rsidR="008E2822" w:rsidRPr="008E2822">
        <w:rPr>
          <w:szCs w:val="22"/>
        </w:rPr>
        <w:t xml:space="preserve">на </w:t>
      </w:r>
      <w:r w:rsidRPr="008E2822">
        <w:rPr>
          <w:szCs w:val="22"/>
        </w:rPr>
        <w:t>БФБ-София</w:t>
      </w:r>
      <w:r w:rsidR="00423E0E" w:rsidRPr="008E2822">
        <w:rPr>
          <w:szCs w:val="22"/>
        </w:rPr>
        <w:t>,</w:t>
      </w:r>
      <w:r w:rsidRPr="008E2822">
        <w:rPr>
          <w:szCs w:val="22"/>
        </w:rPr>
        <w:t xml:space="preserve"> </w:t>
      </w:r>
      <w:r w:rsidR="00761F87" w:rsidRPr="008E2822">
        <w:rPr>
          <w:szCs w:val="22"/>
        </w:rPr>
        <w:t>бе</w:t>
      </w:r>
      <w:r w:rsidRPr="008E2822">
        <w:rPr>
          <w:szCs w:val="22"/>
        </w:rPr>
        <w:t xml:space="preserve"> </w:t>
      </w:r>
      <w:r w:rsidR="00B533E7" w:rsidRPr="008E2822">
        <w:rPr>
          <w:szCs w:val="22"/>
        </w:rPr>
        <w:t>494</w:t>
      </w:r>
      <w:r w:rsidR="00761F87" w:rsidRPr="008E2822">
        <w:rPr>
          <w:szCs w:val="22"/>
        </w:rPr>
        <w:t xml:space="preserve"> </w:t>
      </w:r>
      <w:r w:rsidRPr="008E2822">
        <w:rPr>
          <w:szCs w:val="22"/>
        </w:rPr>
        <w:t>към 3</w:t>
      </w:r>
      <w:r w:rsidR="00820176" w:rsidRPr="008E2822">
        <w:rPr>
          <w:szCs w:val="22"/>
        </w:rPr>
        <w:t>1</w:t>
      </w:r>
      <w:r w:rsidRPr="008E2822">
        <w:rPr>
          <w:szCs w:val="22"/>
        </w:rPr>
        <w:t xml:space="preserve"> </w:t>
      </w:r>
      <w:r w:rsidR="00AB664A" w:rsidRPr="008E2822">
        <w:rPr>
          <w:szCs w:val="22"/>
        </w:rPr>
        <w:t>март</w:t>
      </w:r>
      <w:r w:rsidR="00F024D6" w:rsidRPr="008E2822">
        <w:rPr>
          <w:szCs w:val="22"/>
        </w:rPr>
        <w:t xml:space="preserve"> </w:t>
      </w:r>
      <w:r w:rsidRPr="008E2822">
        <w:rPr>
          <w:szCs w:val="22"/>
        </w:rPr>
        <w:t>20</w:t>
      </w:r>
      <w:r w:rsidR="00761F87" w:rsidRPr="008E2822">
        <w:rPr>
          <w:szCs w:val="22"/>
        </w:rPr>
        <w:t>1</w:t>
      </w:r>
      <w:r w:rsidR="00B533E7" w:rsidRPr="008E2822">
        <w:rPr>
          <w:szCs w:val="22"/>
        </w:rPr>
        <w:t>3</w:t>
      </w:r>
      <w:r w:rsidR="00AB664A" w:rsidRPr="008E2822">
        <w:rPr>
          <w:szCs w:val="22"/>
        </w:rPr>
        <w:t xml:space="preserve"> </w:t>
      </w:r>
      <w:r w:rsidRPr="008E2822">
        <w:rPr>
          <w:szCs w:val="22"/>
        </w:rPr>
        <w:t>г.</w:t>
      </w:r>
      <w:r w:rsidR="00C85FE0" w:rsidRPr="008E2822">
        <w:rPr>
          <w:szCs w:val="22"/>
        </w:rPr>
        <w:t xml:space="preserve">, а към края на </w:t>
      </w:r>
      <w:r w:rsidR="00AB664A" w:rsidRPr="008E2822">
        <w:rPr>
          <w:szCs w:val="22"/>
        </w:rPr>
        <w:t xml:space="preserve">текущия период </w:t>
      </w:r>
      <w:r w:rsidR="00C85FE0" w:rsidRPr="008E2822">
        <w:rPr>
          <w:szCs w:val="22"/>
        </w:rPr>
        <w:t xml:space="preserve">е </w:t>
      </w:r>
      <w:r w:rsidR="00441331" w:rsidRPr="008E2822">
        <w:rPr>
          <w:szCs w:val="22"/>
        </w:rPr>
        <w:t>493</w:t>
      </w:r>
      <w:r w:rsidR="00C85FE0" w:rsidRPr="008E2822">
        <w:rPr>
          <w:szCs w:val="22"/>
        </w:rPr>
        <w:t>.</w:t>
      </w:r>
    </w:p>
    <w:p w:rsidR="003A12C9" w:rsidRPr="008E2822" w:rsidRDefault="003A12C9" w:rsidP="008D1E64">
      <w:pPr>
        <w:tabs>
          <w:tab w:val="left" w:pos="360"/>
        </w:tabs>
        <w:rPr>
          <w:szCs w:val="22"/>
          <w:lang w:val="en-US"/>
        </w:rPr>
      </w:pPr>
    </w:p>
    <w:p w:rsidR="000657C1" w:rsidRPr="008E2822" w:rsidRDefault="00A13C0D" w:rsidP="008D1E64">
      <w:pPr>
        <w:tabs>
          <w:tab w:val="left" w:pos="360"/>
        </w:tabs>
        <w:rPr>
          <w:sz w:val="20"/>
          <w:szCs w:val="20"/>
        </w:rPr>
      </w:pPr>
      <w:r w:rsidRPr="008E2822">
        <w:rPr>
          <w:b/>
          <w:sz w:val="20"/>
          <w:szCs w:val="20"/>
        </w:rPr>
        <w:t>Графика 6:</w:t>
      </w:r>
      <w:r w:rsidRPr="008E2822">
        <w:rPr>
          <w:b/>
          <w:sz w:val="20"/>
          <w:szCs w:val="20"/>
          <w:lang w:val="en-US"/>
        </w:rPr>
        <w:t xml:space="preserve"> </w:t>
      </w:r>
      <w:r w:rsidRPr="008E2822">
        <w:rPr>
          <w:b/>
          <w:sz w:val="20"/>
          <w:szCs w:val="20"/>
        </w:rPr>
        <w:t>Регистрирани емисии по сегменти за І</w:t>
      </w:r>
      <w:r w:rsidR="00441331" w:rsidRPr="008E2822">
        <w:rPr>
          <w:b/>
          <w:sz w:val="20"/>
          <w:szCs w:val="20"/>
        </w:rPr>
        <w:t>І</w:t>
      </w:r>
      <w:r w:rsidRPr="008E2822">
        <w:rPr>
          <w:b/>
          <w:sz w:val="20"/>
          <w:szCs w:val="20"/>
        </w:rPr>
        <w:t xml:space="preserve"> тримесечие на 2013 и </w:t>
      </w:r>
      <w:proofErr w:type="gramStart"/>
      <w:r w:rsidRPr="008E2822">
        <w:rPr>
          <w:b/>
          <w:sz w:val="20"/>
          <w:szCs w:val="20"/>
        </w:rPr>
        <w:t>сравнение</w:t>
      </w:r>
      <w:proofErr w:type="gramEnd"/>
    </w:p>
    <w:p w:rsidR="000657C1" w:rsidRPr="008E2822" w:rsidRDefault="00441331" w:rsidP="008D1E64">
      <w:pPr>
        <w:tabs>
          <w:tab w:val="left" w:pos="360"/>
        </w:tabs>
        <w:rPr>
          <w:sz w:val="20"/>
          <w:szCs w:val="20"/>
        </w:rPr>
      </w:pPr>
      <w:r w:rsidRPr="008E2822">
        <w:rPr>
          <w:noProof/>
        </w:rPr>
        <w:drawing>
          <wp:inline distT="0" distB="0" distL="0" distR="0" wp14:anchorId="5B6DFBB4" wp14:editId="255E0561">
            <wp:extent cx="5855335" cy="2633842"/>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57E1" w:rsidRPr="008E2822" w:rsidRDefault="00FE57E1">
      <w:pPr>
        <w:widowControl/>
        <w:jc w:val="left"/>
        <w:rPr>
          <w:sz w:val="20"/>
          <w:szCs w:val="20"/>
        </w:rPr>
      </w:pPr>
      <w:r w:rsidRPr="008E2822">
        <w:rPr>
          <w:sz w:val="20"/>
          <w:szCs w:val="20"/>
        </w:rPr>
        <w:br w:type="page"/>
      </w:r>
    </w:p>
    <w:p w:rsidR="00A22320" w:rsidRPr="008E2822" w:rsidRDefault="00A22320" w:rsidP="00BA4CF8">
      <w:pPr>
        <w:pStyle w:val="Mainnumbers"/>
        <w:outlineLvl w:val="0"/>
      </w:pPr>
      <w:bookmarkStart w:id="16" w:name="_Toc283112103"/>
      <w:bookmarkStart w:id="17" w:name="_Toc362884490"/>
      <w:r w:rsidRPr="008E2822">
        <w:lastRenderedPageBreak/>
        <w:t>Нови емитенти, отписани емисии и увеличения на капита</w:t>
      </w:r>
      <w:bookmarkEnd w:id="16"/>
      <w:r w:rsidR="001E6C9F" w:rsidRPr="008E2822">
        <w:t>л</w:t>
      </w:r>
      <w:bookmarkEnd w:id="17"/>
    </w:p>
    <w:p w:rsidR="00FE57E1" w:rsidRPr="008E2822" w:rsidRDefault="00B66212" w:rsidP="00B66212">
      <w:pPr>
        <w:tabs>
          <w:tab w:val="left" w:pos="360"/>
        </w:tabs>
        <w:rPr>
          <w:szCs w:val="22"/>
        </w:rPr>
      </w:pPr>
      <w:bookmarkStart w:id="18" w:name="_Toc142469786"/>
      <w:bookmarkStart w:id="19" w:name="_Toc283112104"/>
      <w:bookmarkEnd w:id="11"/>
      <w:bookmarkEnd w:id="12"/>
      <w:r w:rsidRPr="008E2822">
        <w:rPr>
          <w:szCs w:val="22"/>
        </w:rPr>
        <w:t>Пр</w:t>
      </w:r>
      <w:r w:rsidR="000016E2" w:rsidRPr="008E2822">
        <w:rPr>
          <w:szCs w:val="22"/>
        </w:rPr>
        <w:t xml:space="preserve">ез </w:t>
      </w:r>
      <w:r w:rsidR="00060636" w:rsidRPr="008E2822">
        <w:rPr>
          <w:szCs w:val="22"/>
        </w:rPr>
        <w:t>второто</w:t>
      </w:r>
      <w:r w:rsidR="00FE57E1" w:rsidRPr="008E2822">
        <w:rPr>
          <w:szCs w:val="22"/>
        </w:rPr>
        <w:t xml:space="preserve"> тримесечие на </w:t>
      </w:r>
      <w:r w:rsidR="002E18E3" w:rsidRPr="008E2822">
        <w:rPr>
          <w:szCs w:val="22"/>
        </w:rPr>
        <w:t>2013</w:t>
      </w:r>
      <w:r w:rsidR="00A13C0D" w:rsidRPr="008E2822">
        <w:rPr>
          <w:szCs w:val="22"/>
        </w:rPr>
        <w:t xml:space="preserve"> г.</w:t>
      </w:r>
      <w:r w:rsidR="002E18E3" w:rsidRPr="008E2822">
        <w:rPr>
          <w:szCs w:val="22"/>
        </w:rPr>
        <w:t xml:space="preserve"> </w:t>
      </w:r>
      <w:r w:rsidR="00060636" w:rsidRPr="008E2822">
        <w:rPr>
          <w:szCs w:val="22"/>
        </w:rPr>
        <w:t>6</w:t>
      </w:r>
      <w:r w:rsidR="002E18E3" w:rsidRPr="008E2822">
        <w:rPr>
          <w:szCs w:val="22"/>
        </w:rPr>
        <w:t xml:space="preserve"> емисии финансови инструменти бяха регистрирани за търговия на пазарите, организирани от „БФБ-София“ АД, а през </w:t>
      </w:r>
      <w:r w:rsidR="00060636" w:rsidRPr="008E2822">
        <w:rPr>
          <w:szCs w:val="22"/>
        </w:rPr>
        <w:t xml:space="preserve">предходния </w:t>
      </w:r>
      <w:r w:rsidR="002E18E3" w:rsidRPr="008E2822">
        <w:rPr>
          <w:szCs w:val="22"/>
        </w:rPr>
        <w:t xml:space="preserve">период те бяха </w:t>
      </w:r>
      <w:r w:rsidR="00060636" w:rsidRPr="008E2822">
        <w:rPr>
          <w:szCs w:val="22"/>
        </w:rPr>
        <w:t>9</w:t>
      </w:r>
      <w:r w:rsidR="00FE57E1" w:rsidRPr="008E2822">
        <w:rPr>
          <w:szCs w:val="22"/>
        </w:rPr>
        <w:t xml:space="preserve">. Прекратена бе регистрацията на </w:t>
      </w:r>
      <w:r w:rsidR="00060636" w:rsidRPr="008E2822">
        <w:rPr>
          <w:szCs w:val="22"/>
        </w:rPr>
        <w:t>7</w:t>
      </w:r>
      <w:r w:rsidR="00FE57E1" w:rsidRPr="008E2822">
        <w:rPr>
          <w:szCs w:val="22"/>
        </w:rPr>
        <w:t xml:space="preserve"> емисии финансови инструменти, за сравнение през </w:t>
      </w:r>
      <w:r w:rsidR="00060636" w:rsidRPr="008E2822">
        <w:rPr>
          <w:szCs w:val="22"/>
        </w:rPr>
        <w:t xml:space="preserve">предходния </w:t>
      </w:r>
      <w:r w:rsidR="00FE57E1" w:rsidRPr="008E2822">
        <w:rPr>
          <w:szCs w:val="22"/>
        </w:rPr>
        <w:t xml:space="preserve">период е прекратена регистрацията на </w:t>
      </w:r>
      <w:r w:rsidR="00060636" w:rsidRPr="008E2822">
        <w:rPr>
          <w:szCs w:val="22"/>
        </w:rPr>
        <w:t>9</w:t>
      </w:r>
      <w:r w:rsidR="00FE57E1" w:rsidRPr="008E2822">
        <w:rPr>
          <w:szCs w:val="22"/>
        </w:rPr>
        <w:t xml:space="preserve"> емисии.</w:t>
      </w:r>
    </w:p>
    <w:p w:rsidR="00FE57E1" w:rsidRPr="008E2822" w:rsidRDefault="00FE57E1" w:rsidP="00B66212">
      <w:pPr>
        <w:tabs>
          <w:tab w:val="left" w:pos="360"/>
        </w:tabs>
        <w:rPr>
          <w:szCs w:val="22"/>
        </w:rPr>
      </w:pPr>
    </w:p>
    <w:p w:rsidR="00B66212" w:rsidRPr="008E2822" w:rsidRDefault="00060636" w:rsidP="00B66212">
      <w:pPr>
        <w:tabs>
          <w:tab w:val="left" w:pos="360"/>
        </w:tabs>
        <w:rPr>
          <w:szCs w:val="22"/>
        </w:rPr>
      </w:pPr>
      <w:r w:rsidRPr="008E2822">
        <w:rPr>
          <w:szCs w:val="22"/>
        </w:rPr>
        <w:t xml:space="preserve">Две </w:t>
      </w:r>
      <w:proofErr w:type="gramStart"/>
      <w:r w:rsidRPr="008E2822">
        <w:rPr>
          <w:szCs w:val="22"/>
        </w:rPr>
        <w:t>дружества</w:t>
      </w:r>
      <w:r w:rsidR="002E18E3" w:rsidRPr="008E2822">
        <w:rPr>
          <w:szCs w:val="22"/>
        </w:rPr>
        <w:t xml:space="preserve"> осъществи</w:t>
      </w:r>
      <w:r w:rsidRPr="008E2822">
        <w:rPr>
          <w:szCs w:val="22"/>
        </w:rPr>
        <w:t>ха</w:t>
      </w:r>
      <w:r w:rsidR="00026072" w:rsidRPr="008E2822">
        <w:rPr>
          <w:szCs w:val="22"/>
        </w:rPr>
        <w:t xml:space="preserve"> увеличение на капитала си</w:t>
      </w:r>
      <w:r w:rsidR="002E18E3" w:rsidRPr="008E2822">
        <w:rPr>
          <w:szCs w:val="22"/>
        </w:rPr>
        <w:t xml:space="preserve"> през текущото тримесечие, а през първото тримесечие на </w:t>
      </w:r>
      <w:r w:rsidR="00D56DE2" w:rsidRPr="008E2822">
        <w:rPr>
          <w:szCs w:val="22"/>
        </w:rPr>
        <w:t>2013 година това направи само едно дружество</w:t>
      </w:r>
      <w:proofErr w:type="gramEnd"/>
      <w:r w:rsidR="00B37D37" w:rsidRPr="008E2822">
        <w:rPr>
          <w:szCs w:val="22"/>
        </w:rPr>
        <w:t>.</w:t>
      </w:r>
    </w:p>
    <w:p w:rsidR="00B66212" w:rsidRPr="008E2822" w:rsidRDefault="00B66212" w:rsidP="00B66212">
      <w:pPr>
        <w:tabs>
          <w:tab w:val="left" w:pos="360"/>
        </w:tabs>
        <w:rPr>
          <w:szCs w:val="22"/>
        </w:rPr>
      </w:pPr>
    </w:p>
    <w:p w:rsidR="00B66212" w:rsidRPr="008E2822" w:rsidRDefault="00B66212" w:rsidP="00B7629C">
      <w:pPr>
        <w:pStyle w:val="a2"/>
        <w:tabs>
          <w:tab w:val="left" w:pos="360"/>
        </w:tabs>
        <w:jc w:val="left"/>
        <w:rPr>
          <w:b/>
          <w:i w:val="0"/>
        </w:rPr>
      </w:pPr>
      <w:r w:rsidRPr="008E2822">
        <w:rPr>
          <w:b/>
          <w:i w:val="0"/>
        </w:rPr>
        <w:t xml:space="preserve">Таблица </w:t>
      </w:r>
      <w:r w:rsidR="006045D2" w:rsidRPr="008E2822">
        <w:rPr>
          <w:b/>
          <w:i w:val="0"/>
        </w:rPr>
        <w:t>7</w:t>
      </w:r>
      <w:r w:rsidR="00B7629C" w:rsidRPr="008E2822">
        <w:rPr>
          <w:b/>
          <w:i w:val="0"/>
        </w:rPr>
        <w:t xml:space="preserve">. Нови емитенти, отписани емисии и увеличения на </w:t>
      </w:r>
      <w:proofErr w:type="gramStart"/>
      <w:r w:rsidR="00B7629C" w:rsidRPr="008E2822">
        <w:rPr>
          <w:b/>
          <w:i w:val="0"/>
        </w:rPr>
        <w:t>капитала</w:t>
      </w:r>
      <w:proofErr w:type="gramEnd"/>
    </w:p>
    <w:tbl>
      <w:tblPr>
        <w:tblW w:w="7140" w:type="dxa"/>
        <w:jc w:val="center"/>
        <w:tblInd w:w="55" w:type="dxa"/>
        <w:tblCellMar>
          <w:left w:w="70" w:type="dxa"/>
          <w:right w:w="70" w:type="dxa"/>
        </w:tblCellMar>
        <w:tblLook w:val="04A0" w:firstRow="1" w:lastRow="0" w:firstColumn="1" w:lastColumn="0" w:noHBand="0" w:noVBand="1"/>
      </w:tblPr>
      <w:tblGrid>
        <w:gridCol w:w="5220"/>
        <w:gridCol w:w="960"/>
        <w:gridCol w:w="960"/>
      </w:tblGrid>
      <w:tr w:rsidR="00060636" w:rsidRPr="008E2822" w:rsidTr="00060636">
        <w:trPr>
          <w:trHeight w:val="315"/>
          <w:jc w:val="center"/>
        </w:trPr>
        <w:tc>
          <w:tcPr>
            <w:tcW w:w="5220" w:type="dxa"/>
            <w:tcBorders>
              <w:top w:val="single" w:sz="8" w:space="0" w:color="auto"/>
              <w:left w:val="single" w:sz="8" w:space="0" w:color="auto"/>
              <w:bottom w:val="single" w:sz="8" w:space="0" w:color="auto"/>
              <w:right w:val="single" w:sz="8" w:space="0" w:color="auto"/>
            </w:tcBorders>
            <w:shd w:val="clear" w:color="000000" w:fill="4F81BD"/>
            <w:noWrap/>
            <w:vAlign w:val="center"/>
            <w:hideMark/>
          </w:tcPr>
          <w:p w:rsidR="00060636" w:rsidRPr="008E2822" w:rsidRDefault="00060636" w:rsidP="00060636">
            <w:pPr>
              <w:widowControl/>
              <w:jc w:val="left"/>
              <w:rPr>
                <w:b/>
                <w:bCs/>
                <w:color w:val="FFFFFF"/>
                <w:szCs w:val="22"/>
              </w:rPr>
            </w:pPr>
            <w:r w:rsidRPr="008E2822">
              <w:rPr>
                <w:b/>
                <w:bCs/>
                <w:color w:val="FFFFFF" w:themeColor="background1"/>
                <w:szCs w:val="22"/>
              </w:rPr>
              <w:t>Нови емисии по сегмент</w:t>
            </w:r>
          </w:p>
        </w:tc>
        <w:tc>
          <w:tcPr>
            <w:tcW w:w="960" w:type="dxa"/>
            <w:tcBorders>
              <w:top w:val="single" w:sz="8" w:space="0" w:color="auto"/>
              <w:left w:val="nil"/>
              <w:bottom w:val="single" w:sz="8" w:space="0" w:color="auto"/>
              <w:right w:val="single" w:sz="8"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емисии</w:t>
            </w:r>
            <w:proofErr w:type="gramEnd"/>
          </w:p>
        </w:tc>
        <w:tc>
          <w:tcPr>
            <w:tcW w:w="960" w:type="dxa"/>
            <w:tcBorders>
              <w:top w:val="single" w:sz="8" w:space="0" w:color="auto"/>
              <w:left w:val="nil"/>
              <w:bottom w:val="single" w:sz="8" w:space="0" w:color="auto"/>
              <w:right w:val="single" w:sz="8"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пазар</w:t>
            </w:r>
            <w:proofErr w:type="gramEnd"/>
          </w:p>
        </w:tc>
      </w:tr>
      <w:tr w:rsidR="00060636" w:rsidRPr="008E2822" w:rsidTr="00060636">
        <w:trPr>
          <w:trHeight w:val="315"/>
          <w:jc w:val="center"/>
        </w:trPr>
        <w:tc>
          <w:tcPr>
            <w:tcW w:w="5220" w:type="dxa"/>
            <w:tcBorders>
              <w:top w:val="nil"/>
              <w:left w:val="single" w:sz="8" w:space="0" w:color="auto"/>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акции Standard</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1</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BSE</w:t>
            </w:r>
          </w:p>
        </w:tc>
      </w:tr>
      <w:tr w:rsidR="00060636" w:rsidRPr="008E2822" w:rsidTr="00060636">
        <w:trPr>
          <w:trHeight w:val="315"/>
          <w:jc w:val="center"/>
        </w:trPr>
        <w:tc>
          <w:tcPr>
            <w:tcW w:w="5220" w:type="dxa"/>
            <w:tcBorders>
              <w:top w:val="nil"/>
              <w:left w:val="single" w:sz="8" w:space="0" w:color="auto"/>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за облигации</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3</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BSE</w:t>
            </w:r>
          </w:p>
        </w:tc>
      </w:tr>
      <w:tr w:rsidR="00060636" w:rsidRPr="008E2822" w:rsidTr="00060636">
        <w:trPr>
          <w:trHeight w:val="315"/>
          <w:jc w:val="center"/>
        </w:trPr>
        <w:tc>
          <w:tcPr>
            <w:tcW w:w="5220" w:type="dxa"/>
            <w:tcBorders>
              <w:top w:val="nil"/>
              <w:left w:val="single" w:sz="8" w:space="0" w:color="auto"/>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за колективни инвестиционни схеми</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2</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BSE</w:t>
            </w:r>
          </w:p>
        </w:tc>
      </w:tr>
      <w:tr w:rsidR="00060636" w:rsidRPr="008E2822" w:rsidTr="00060636">
        <w:trPr>
          <w:trHeight w:val="315"/>
          <w:jc w:val="center"/>
        </w:trPr>
        <w:tc>
          <w:tcPr>
            <w:tcW w:w="5220" w:type="dxa"/>
            <w:tcBorders>
              <w:top w:val="nil"/>
              <w:left w:val="nil"/>
              <w:bottom w:val="single" w:sz="8" w:space="0" w:color="auto"/>
              <w:right w:val="nil"/>
            </w:tcBorders>
            <w:shd w:val="clear" w:color="auto" w:fill="auto"/>
            <w:noWrap/>
            <w:vAlign w:val="bottom"/>
            <w:hideMark/>
          </w:tcPr>
          <w:p w:rsidR="00060636" w:rsidRPr="008E2822" w:rsidRDefault="00060636" w:rsidP="00060636">
            <w:pPr>
              <w:widowControl/>
              <w:jc w:val="left"/>
              <w:rPr>
                <w:color w:val="000000"/>
                <w:sz w:val="20"/>
                <w:szCs w:val="20"/>
              </w:rPr>
            </w:pPr>
            <w:r w:rsidRPr="008E2822">
              <w:rPr>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rsidR="00060636" w:rsidRPr="008E2822" w:rsidRDefault="00060636" w:rsidP="00060636">
            <w:pPr>
              <w:widowControl/>
              <w:jc w:val="left"/>
              <w:rPr>
                <w:color w:val="000000"/>
                <w:sz w:val="20"/>
                <w:szCs w:val="20"/>
              </w:rPr>
            </w:pPr>
            <w:r w:rsidRPr="008E2822">
              <w:rPr>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rsidR="00060636" w:rsidRPr="008E2822" w:rsidRDefault="00060636" w:rsidP="00060636">
            <w:pPr>
              <w:widowControl/>
              <w:jc w:val="left"/>
              <w:rPr>
                <w:color w:val="000000"/>
                <w:sz w:val="20"/>
                <w:szCs w:val="20"/>
              </w:rPr>
            </w:pPr>
            <w:r w:rsidRPr="008E2822">
              <w:rPr>
                <w:color w:val="000000"/>
                <w:sz w:val="20"/>
                <w:szCs w:val="20"/>
              </w:rPr>
              <w:t> </w:t>
            </w:r>
          </w:p>
        </w:tc>
      </w:tr>
      <w:tr w:rsidR="00060636" w:rsidRPr="008E2822" w:rsidTr="00060636">
        <w:trPr>
          <w:trHeight w:val="315"/>
          <w:jc w:val="center"/>
        </w:trPr>
        <w:tc>
          <w:tcPr>
            <w:tcW w:w="5220" w:type="dxa"/>
            <w:tcBorders>
              <w:top w:val="nil"/>
              <w:left w:val="single" w:sz="8" w:space="0" w:color="auto"/>
              <w:bottom w:val="single" w:sz="8" w:space="0" w:color="auto"/>
              <w:right w:val="single" w:sz="8" w:space="0" w:color="auto"/>
            </w:tcBorders>
            <w:shd w:val="clear" w:color="000000" w:fill="4F81BD"/>
            <w:noWrap/>
            <w:vAlign w:val="center"/>
            <w:hideMark/>
          </w:tcPr>
          <w:p w:rsidR="00060636" w:rsidRPr="008E2822" w:rsidRDefault="00060636" w:rsidP="00060636">
            <w:pPr>
              <w:widowControl/>
              <w:jc w:val="left"/>
              <w:rPr>
                <w:b/>
                <w:bCs/>
                <w:color w:val="FFFFFF"/>
                <w:szCs w:val="22"/>
              </w:rPr>
            </w:pPr>
            <w:r w:rsidRPr="008E2822">
              <w:rPr>
                <w:b/>
                <w:bCs/>
                <w:color w:val="FFFFFF" w:themeColor="background1"/>
                <w:szCs w:val="22"/>
              </w:rPr>
              <w:t>Прекратени емисии по сегмент</w:t>
            </w:r>
          </w:p>
        </w:tc>
        <w:tc>
          <w:tcPr>
            <w:tcW w:w="960" w:type="dxa"/>
            <w:tcBorders>
              <w:top w:val="nil"/>
              <w:left w:val="nil"/>
              <w:bottom w:val="single" w:sz="8" w:space="0" w:color="auto"/>
              <w:right w:val="single" w:sz="8"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емисии</w:t>
            </w:r>
            <w:proofErr w:type="gramEnd"/>
          </w:p>
        </w:tc>
        <w:tc>
          <w:tcPr>
            <w:tcW w:w="960" w:type="dxa"/>
            <w:tcBorders>
              <w:top w:val="nil"/>
              <w:left w:val="nil"/>
              <w:bottom w:val="single" w:sz="8" w:space="0" w:color="auto"/>
              <w:right w:val="single" w:sz="8"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пазар</w:t>
            </w:r>
            <w:proofErr w:type="gramEnd"/>
          </w:p>
        </w:tc>
      </w:tr>
      <w:tr w:rsidR="00060636" w:rsidRPr="008E2822" w:rsidTr="00060636">
        <w:trPr>
          <w:trHeight w:val="315"/>
          <w:jc w:val="center"/>
        </w:trPr>
        <w:tc>
          <w:tcPr>
            <w:tcW w:w="5220" w:type="dxa"/>
            <w:tcBorders>
              <w:top w:val="nil"/>
              <w:left w:val="single" w:sz="8" w:space="0" w:color="auto"/>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за облигации</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3</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BSE</w:t>
            </w:r>
          </w:p>
        </w:tc>
      </w:tr>
      <w:tr w:rsidR="00060636" w:rsidRPr="008E2822" w:rsidTr="00060636">
        <w:trPr>
          <w:trHeight w:val="315"/>
          <w:jc w:val="center"/>
        </w:trPr>
        <w:tc>
          <w:tcPr>
            <w:tcW w:w="5220" w:type="dxa"/>
            <w:tcBorders>
              <w:top w:val="nil"/>
              <w:left w:val="single" w:sz="8" w:space="0" w:color="auto"/>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акции</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4</w:t>
            </w:r>
          </w:p>
        </w:tc>
        <w:tc>
          <w:tcPr>
            <w:tcW w:w="960" w:type="dxa"/>
            <w:tcBorders>
              <w:top w:val="nil"/>
              <w:left w:val="nil"/>
              <w:bottom w:val="single" w:sz="8" w:space="0" w:color="auto"/>
              <w:right w:val="single" w:sz="8"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BASE</w:t>
            </w:r>
          </w:p>
        </w:tc>
      </w:tr>
    </w:tbl>
    <w:p w:rsidR="002E18E3" w:rsidRPr="008E2822" w:rsidRDefault="002E18E3">
      <w:pPr>
        <w:widowControl/>
        <w:jc w:val="left"/>
      </w:pPr>
    </w:p>
    <w:tbl>
      <w:tblPr>
        <w:tblW w:w="9907" w:type="dxa"/>
        <w:jc w:val="center"/>
        <w:tblInd w:w="55" w:type="dxa"/>
        <w:tblCellMar>
          <w:left w:w="70" w:type="dxa"/>
          <w:right w:w="70" w:type="dxa"/>
        </w:tblCellMar>
        <w:tblLook w:val="04A0" w:firstRow="1" w:lastRow="0" w:firstColumn="1" w:lastColumn="0" w:noHBand="0" w:noVBand="1"/>
      </w:tblPr>
      <w:tblGrid>
        <w:gridCol w:w="6199"/>
        <w:gridCol w:w="1036"/>
        <w:gridCol w:w="1843"/>
        <w:gridCol w:w="829"/>
      </w:tblGrid>
      <w:tr w:rsidR="00060636" w:rsidRPr="008E2822" w:rsidTr="00060636">
        <w:trPr>
          <w:trHeight w:val="300"/>
          <w:jc w:val="center"/>
        </w:trPr>
        <w:tc>
          <w:tcPr>
            <w:tcW w:w="6199"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060636" w:rsidRPr="008E2822" w:rsidRDefault="00060636" w:rsidP="00060636">
            <w:pPr>
              <w:widowControl/>
              <w:jc w:val="left"/>
              <w:rPr>
                <w:b/>
                <w:bCs/>
                <w:color w:val="FFFFFF"/>
                <w:szCs w:val="22"/>
              </w:rPr>
            </w:pPr>
            <w:r w:rsidRPr="008E2822">
              <w:rPr>
                <w:b/>
                <w:bCs/>
                <w:color w:val="FFFFFF" w:themeColor="background1"/>
                <w:szCs w:val="22"/>
              </w:rPr>
              <w:t>Увеличения на капитала и преобразуване</w:t>
            </w:r>
          </w:p>
        </w:tc>
        <w:tc>
          <w:tcPr>
            <w:tcW w:w="1036" w:type="dxa"/>
            <w:tcBorders>
              <w:top w:val="single" w:sz="4" w:space="0" w:color="auto"/>
              <w:left w:val="nil"/>
              <w:bottom w:val="single" w:sz="4" w:space="0" w:color="auto"/>
              <w:right w:val="single" w:sz="4"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емисии</w:t>
            </w:r>
            <w:proofErr w:type="gramEnd"/>
          </w:p>
        </w:tc>
        <w:tc>
          <w:tcPr>
            <w:tcW w:w="1843" w:type="dxa"/>
            <w:tcBorders>
              <w:top w:val="single" w:sz="4" w:space="0" w:color="auto"/>
              <w:left w:val="nil"/>
              <w:bottom w:val="single" w:sz="4" w:space="0" w:color="auto"/>
              <w:right w:val="single" w:sz="4"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набран</w:t>
            </w:r>
            <w:proofErr w:type="gramEnd"/>
            <w:r w:rsidRPr="008E2822">
              <w:rPr>
                <w:b/>
                <w:bCs/>
                <w:color w:val="FFFFFF" w:themeColor="background1"/>
                <w:szCs w:val="22"/>
              </w:rPr>
              <w:t xml:space="preserve"> капитал</w:t>
            </w:r>
          </w:p>
        </w:tc>
        <w:tc>
          <w:tcPr>
            <w:tcW w:w="829" w:type="dxa"/>
            <w:tcBorders>
              <w:top w:val="single" w:sz="4" w:space="0" w:color="auto"/>
              <w:left w:val="nil"/>
              <w:bottom w:val="single" w:sz="4" w:space="0" w:color="auto"/>
              <w:right w:val="single" w:sz="4" w:space="0" w:color="auto"/>
            </w:tcBorders>
            <w:shd w:val="clear" w:color="000000" w:fill="4F81BD"/>
            <w:noWrap/>
            <w:vAlign w:val="center"/>
            <w:hideMark/>
          </w:tcPr>
          <w:p w:rsidR="00060636" w:rsidRPr="008E2822" w:rsidRDefault="00060636" w:rsidP="00060636">
            <w:pPr>
              <w:widowControl/>
              <w:jc w:val="left"/>
              <w:rPr>
                <w:b/>
                <w:bCs/>
                <w:color w:val="FFFFFF"/>
                <w:szCs w:val="22"/>
              </w:rPr>
            </w:pPr>
            <w:proofErr w:type="gramStart"/>
            <w:r w:rsidRPr="008E2822">
              <w:rPr>
                <w:b/>
                <w:bCs/>
                <w:color w:val="FFFFFF" w:themeColor="background1"/>
                <w:szCs w:val="22"/>
              </w:rPr>
              <w:t>пазар</w:t>
            </w:r>
            <w:proofErr w:type="gramEnd"/>
          </w:p>
        </w:tc>
      </w:tr>
      <w:tr w:rsidR="00060636" w:rsidRPr="008E2822" w:rsidTr="00060636">
        <w:trPr>
          <w:trHeight w:val="300"/>
          <w:jc w:val="center"/>
        </w:trPr>
        <w:tc>
          <w:tcPr>
            <w:tcW w:w="6199" w:type="dxa"/>
            <w:tcBorders>
              <w:top w:val="nil"/>
              <w:left w:val="single" w:sz="4" w:space="0" w:color="auto"/>
              <w:bottom w:val="single" w:sz="4" w:space="0" w:color="auto"/>
              <w:right w:val="single" w:sz="4"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акции</w:t>
            </w:r>
          </w:p>
        </w:tc>
        <w:tc>
          <w:tcPr>
            <w:tcW w:w="1036" w:type="dxa"/>
            <w:tcBorders>
              <w:top w:val="nil"/>
              <w:left w:val="nil"/>
              <w:bottom w:val="single" w:sz="4" w:space="0" w:color="auto"/>
              <w:right w:val="single" w:sz="4" w:space="0" w:color="auto"/>
            </w:tcBorders>
            <w:shd w:val="clear" w:color="auto" w:fill="auto"/>
            <w:noWrap/>
            <w:vAlign w:val="center"/>
            <w:hideMark/>
          </w:tcPr>
          <w:p w:rsidR="00060636" w:rsidRPr="008E2822" w:rsidRDefault="00060636" w:rsidP="00060636">
            <w:pPr>
              <w:widowControl/>
              <w:jc w:val="right"/>
              <w:rPr>
                <w:color w:val="000000"/>
                <w:szCs w:val="22"/>
              </w:rPr>
            </w:pPr>
            <w:r w:rsidRPr="008E2822">
              <w:rPr>
                <w:color w:val="000000"/>
                <w:szCs w:val="22"/>
              </w:rPr>
              <w:t>1</w:t>
            </w:r>
          </w:p>
        </w:tc>
        <w:tc>
          <w:tcPr>
            <w:tcW w:w="1843" w:type="dxa"/>
            <w:tcBorders>
              <w:top w:val="nil"/>
              <w:left w:val="nil"/>
              <w:bottom w:val="single" w:sz="4" w:space="0" w:color="auto"/>
              <w:right w:val="single" w:sz="4" w:space="0" w:color="auto"/>
            </w:tcBorders>
            <w:shd w:val="clear" w:color="auto" w:fill="auto"/>
            <w:noWrap/>
            <w:vAlign w:val="bottom"/>
            <w:hideMark/>
          </w:tcPr>
          <w:p w:rsidR="00060636" w:rsidRPr="008E2822" w:rsidRDefault="00060636" w:rsidP="00060636">
            <w:pPr>
              <w:widowControl/>
              <w:jc w:val="left"/>
              <w:rPr>
                <w:color w:val="000000"/>
                <w:sz w:val="20"/>
                <w:szCs w:val="20"/>
              </w:rPr>
            </w:pPr>
            <w:r w:rsidRPr="008E2822">
              <w:rPr>
                <w:color w:val="000000"/>
                <w:sz w:val="20"/>
                <w:szCs w:val="20"/>
              </w:rPr>
              <w:t> </w:t>
            </w:r>
          </w:p>
        </w:tc>
        <w:tc>
          <w:tcPr>
            <w:tcW w:w="829" w:type="dxa"/>
            <w:tcBorders>
              <w:top w:val="nil"/>
              <w:left w:val="nil"/>
              <w:bottom w:val="single" w:sz="4" w:space="0" w:color="auto"/>
              <w:right w:val="single" w:sz="4"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BASE</w:t>
            </w:r>
          </w:p>
        </w:tc>
      </w:tr>
      <w:tr w:rsidR="00060636" w:rsidRPr="008E2822" w:rsidTr="00060636">
        <w:trPr>
          <w:trHeight w:val="300"/>
          <w:jc w:val="center"/>
        </w:trPr>
        <w:tc>
          <w:tcPr>
            <w:tcW w:w="6199" w:type="dxa"/>
            <w:tcBorders>
              <w:top w:val="nil"/>
              <w:left w:val="single" w:sz="4" w:space="0" w:color="auto"/>
              <w:bottom w:val="single" w:sz="4" w:space="0" w:color="auto"/>
              <w:right w:val="single" w:sz="4"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Сегмент за дружества със специална инвестиционна цел</w:t>
            </w:r>
          </w:p>
        </w:tc>
        <w:tc>
          <w:tcPr>
            <w:tcW w:w="1036" w:type="dxa"/>
            <w:tcBorders>
              <w:top w:val="nil"/>
              <w:left w:val="nil"/>
              <w:bottom w:val="single" w:sz="4" w:space="0" w:color="auto"/>
              <w:right w:val="single" w:sz="4" w:space="0" w:color="auto"/>
            </w:tcBorders>
            <w:shd w:val="clear" w:color="auto" w:fill="auto"/>
            <w:noWrap/>
            <w:vAlign w:val="center"/>
            <w:hideMark/>
          </w:tcPr>
          <w:p w:rsidR="00060636" w:rsidRPr="008E2822" w:rsidRDefault="00060636" w:rsidP="00060636">
            <w:pPr>
              <w:widowControl/>
              <w:jc w:val="right"/>
              <w:rPr>
                <w:color w:val="000000"/>
                <w:szCs w:val="22"/>
              </w:rPr>
            </w:pPr>
            <w:r w:rsidRPr="008E2822">
              <w:rPr>
                <w:color w:val="000000"/>
                <w:szCs w:val="22"/>
              </w:rPr>
              <w:t>1</w:t>
            </w:r>
          </w:p>
        </w:tc>
        <w:tc>
          <w:tcPr>
            <w:tcW w:w="1843" w:type="dxa"/>
            <w:tcBorders>
              <w:top w:val="nil"/>
              <w:left w:val="nil"/>
              <w:bottom w:val="single" w:sz="4" w:space="0" w:color="auto"/>
              <w:right w:val="single" w:sz="4" w:space="0" w:color="auto"/>
            </w:tcBorders>
            <w:shd w:val="clear" w:color="auto" w:fill="auto"/>
            <w:noWrap/>
            <w:vAlign w:val="bottom"/>
            <w:hideMark/>
          </w:tcPr>
          <w:p w:rsidR="00060636" w:rsidRPr="008E2822" w:rsidRDefault="00060636" w:rsidP="00060636">
            <w:pPr>
              <w:widowControl/>
              <w:jc w:val="right"/>
              <w:rPr>
                <w:color w:val="000000"/>
                <w:szCs w:val="22"/>
              </w:rPr>
            </w:pPr>
            <w:r w:rsidRPr="008E2822">
              <w:rPr>
                <w:color w:val="000000"/>
                <w:szCs w:val="22"/>
              </w:rPr>
              <w:t>926 402 лв.</w:t>
            </w:r>
          </w:p>
        </w:tc>
        <w:tc>
          <w:tcPr>
            <w:tcW w:w="829" w:type="dxa"/>
            <w:tcBorders>
              <w:top w:val="nil"/>
              <w:left w:val="nil"/>
              <w:bottom w:val="single" w:sz="4" w:space="0" w:color="auto"/>
              <w:right w:val="single" w:sz="4" w:space="0" w:color="auto"/>
            </w:tcBorders>
            <w:shd w:val="clear" w:color="auto" w:fill="auto"/>
            <w:noWrap/>
            <w:vAlign w:val="center"/>
            <w:hideMark/>
          </w:tcPr>
          <w:p w:rsidR="00060636" w:rsidRPr="008E2822" w:rsidRDefault="00060636" w:rsidP="00060636">
            <w:pPr>
              <w:widowControl/>
              <w:jc w:val="left"/>
              <w:rPr>
                <w:color w:val="000000"/>
                <w:szCs w:val="22"/>
              </w:rPr>
            </w:pPr>
            <w:r w:rsidRPr="008E2822">
              <w:rPr>
                <w:color w:val="000000"/>
                <w:szCs w:val="22"/>
              </w:rPr>
              <w:t>BSE</w:t>
            </w:r>
          </w:p>
        </w:tc>
      </w:tr>
    </w:tbl>
    <w:p w:rsidR="00B66212" w:rsidRPr="008E2822" w:rsidRDefault="00B66212">
      <w:pPr>
        <w:widowControl/>
        <w:jc w:val="left"/>
        <w:rPr>
          <w:rFonts w:cs="Arial"/>
          <w:b/>
          <w:bCs/>
          <w:kern w:val="32"/>
          <w:sz w:val="24"/>
          <w:szCs w:val="32"/>
        </w:rPr>
      </w:pPr>
      <w:r w:rsidRPr="008E2822">
        <w:br w:type="page"/>
      </w:r>
    </w:p>
    <w:p w:rsidR="001A0C3E" w:rsidRPr="008E2822" w:rsidRDefault="001A0C3E" w:rsidP="00BA4CF8">
      <w:pPr>
        <w:pStyle w:val="Mainnumbers"/>
        <w:outlineLvl w:val="0"/>
      </w:pPr>
      <w:bookmarkStart w:id="20" w:name="_Toc362884491"/>
      <w:r w:rsidRPr="008E2822">
        <w:lastRenderedPageBreak/>
        <w:t xml:space="preserve">Пазарна капитализация на </w:t>
      </w:r>
      <w:r w:rsidR="00415B34" w:rsidRPr="008E2822">
        <w:t>Борсата</w:t>
      </w:r>
      <w:bookmarkEnd w:id="18"/>
      <w:bookmarkEnd w:id="19"/>
      <w:bookmarkEnd w:id="20"/>
    </w:p>
    <w:p w:rsidR="00D15FF6" w:rsidRPr="008E2822" w:rsidRDefault="008E2822" w:rsidP="0039483E">
      <w:pPr>
        <w:rPr>
          <w:szCs w:val="22"/>
        </w:rPr>
      </w:pPr>
      <w:r w:rsidRPr="008E2822">
        <w:rPr>
          <w:szCs w:val="22"/>
        </w:rPr>
        <w:t xml:space="preserve">Пазарната капитализация на БФБ-София достигна </w:t>
      </w:r>
      <w:r w:rsidRPr="008E2822">
        <w:rPr>
          <w:color w:val="000000"/>
          <w:szCs w:val="22"/>
        </w:rPr>
        <w:t xml:space="preserve">10 558 565 945 лв.в края на юни, което представлява повишение от 5,78% в сравнение със стойността </w:t>
      </w:r>
      <w:proofErr w:type="gramStart"/>
      <w:r w:rsidRPr="008E2822">
        <w:rPr>
          <w:color w:val="000000"/>
          <w:szCs w:val="22"/>
        </w:rPr>
        <w:t xml:space="preserve">от </w:t>
      </w:r>
      <w:r w:rsidRPr="008E2822">
        <w:rPr>
          <w:szCs w:val="22"/>
        </w:rPr>
        <w:t xml:space="preserve"> 9</w:t>
      </w:r>
      <w:proofErr w:type="gramEnd"/>
      <w:r w:rsidRPr="008E2822">
        <w:rPr>
          <w:szCs w:val="22"/>
        </w:rPr>
        <w:t xml:space="preserve"> 983 719 673 лева в края на март 2013 година, (виж. Таблица 8). Като цяло капитализацията на сегментите за акции без АДСИЦ се повишава със 7,34%, а на сегментите за АДСИЦ на двата пазара намалява с 1,48%. По отделни сегменти нарастването се дължи основно на сегментите </w:t>
      </w:r>
      <w:r w:rsidRPr="008E2822">
        <w:rPr>
          <w:szCs w:val="22"/>
          <w:lang w:val="en-US"/>
        </w:rPr>
        <w:t xml:space="preserve">Premium </w:t>
      </w:r>
      <w:r w:rsidRPr="008E2822">
        <w:rPr>
          <w:szCs w:val="22"/>
        </w:rPr>
        <w:t xml:space="preserve">и </w:t>
      </w:r>
      <w:r w:rsidRPr="008E2822">
        <w:rPr>
          <w:szCs w:val="22"/>
          <w:lang w:val="en-US"/>
        </w:rPr>
        <w:t xml:space="preserve">Standard </w:t>
      </w:r>
      <w:r w:rsidRPr="008E2822">
        <w:rPr>
          <w:szCs w:val="22"/>
        </w:rPr>
        <w:t xml:space="preserve">на пазар </w:t>
      </w:r>
      <w:r w:rsidRPr="008E2822">
        <w:rPr>
          <w:szCs w:val="22"/>
          <w:lang w:val="en-US"/>
        </w:rPr>
        <w:t>BSE</w:t>
      </w:r>
      <w:r w:rsidRPr="008E2822">
        <w:rPr>
          <w:szCs w:val="22"/>
        </w:rPr>
        <w:t xml:space="preserve">, а намаление има при сегментите за акционерни дружества със специална инвестиционна цел на основния пазар и сегментът за акции на алтернативния пазар </w:t>
      </w:r>
      <w:proofErr w:type="spellStart"/>
      <w:r w:rsidRPr="008E2822">
        <w:rPr>
          <w:szCs w:val="22"/>
          <w:lang w:val="en-US"/>
        </w:rPr>
        <w:t>BaSE</w:t>
      </w:r>
      <w:proofErr w:type="spellEnd"/>
      <w:r w:rsidRPr="008E2822">
        <w:rPr>
          <w:szCs w:val="22"/>
          <w:lang w:val="en-US"/>
        </w:rPr>
        <w:t>.</w:t>
      </w:r>
      <w:r w:rsidRPr="008E2822">
        <w:rPr>
          <w:szCs w:val="22"/>
        </w:rPr>
        <w:t xml:space="preserve"> (Таблица 9).</w:t>
      </w:r>
    </w:p>
    <w:p w:rsidR="004C6F9D" w:rsidRPr="008E2822" w:rsidRDefault="004C6F9D" w:rsidP="004C6F9D">
      <w:pPr>
        <w:tabs>
          <w:tab w:val="left" w:pos="360"/>
        </w:tabs>
        <w:rPr>
          <w:szCs w:val="22"/>
        </w:rPr>
      </w:pPr>
    </w:p>
    <w:p w:rsidR="004C6F9D" w:rsidRPr="008E2822" w:rsidRDefault="006045D2" w:rsidP="008D1E64">
      <w:pPr>
        <w:tabs>
          <w:tab w:val="left" w:pos="360"/>
        </w:tabs>
        <w:rPr>
          <w:b/>
          <w:sz w:val="20"/>
          <w:szCs w:val="20"/>
        </w:rPr>
      </w:pPr>
      <w:r w:rsidRPr="008E2822">
        <w:rPr>
          <w:b/>
          <w:sz w:val="20"/>
          <w:szCs w:val="20"/>
        </w:rPr>
        <w:t>Таблица 8: Пазарна капитализация по видове инструменти и общо (сравнение)</w:t>
      </w:r>
    </w:p>
    <w:tbl>
      <w:tblPr>
        <w:tblW w:w="9239" w:type="dxa"/>
        <w:jc w:val="center"/>
        <w:tblInd w:w="55" w:type="dxa"/>
        <w:tblCellMar>
          <w:left w:w="70" w:type="dxa"/>
          <w:right w:w="70" w:type="dxa"/>
        </w:tblCellMar>
        <w:tblLook w:val="04A0" w:firstRow="1" w:lastRow="0" w:firstColumn="1" w:lastColumn="0" w:noHBand="0" w:noVBand="1"/>
      </w:tblPr>
      <w:tblGrid>
        <w:gridCol w:w="3096"/>
        <w:gridCol w:w="1696"/>
        <w:gridCol w:w="1871"/>
        <w:gridCol w:w="2576"/>
      </w:tblGrid>
      <w:tr w:rsidR="0039483E" w:rsidRPr="008E2822" w:rsidTr="0039483E">
        <w:trPr>
          <w:trHeight w:val="255"/>
          <w:jc w:val="center"/>
        </w:trPr>
        <w:tc>
          <w:tcPr>
            <w:tcW w:w="3096"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39483E" w:rsidRPr="008E2822" w:rsidRDefault="0039483E" w:rsidP="0039483E">
            <w:pPr>
              <w:widowControl/>
              <w:jc w:val="center"/>
              <w:rPr>
                <w:color w:val="FFFFFF"/>
                <w:sz w:val="20"/>
                <w:szCs w:val="20"/>
              </w:rPr>
            </w:pPr>
            <w:r w:rsidRPr="008E2822">
              <w:rPr>
                <w:rFonts w:cs="Calibri"/>
                <w:bCs/>
                <w:color w:val="FFFFFF"/>
                <w:sz w:val="20"/>
                <w:szCs w:val="20"/>
              </w:rPr>
              <w:t>Пазар / пазарен сегмент</w:t>
            </w:r>
          </w:p>
        </w:tc>
        <w:tc>
          <w:tcPr>
            <w:tcW w:w="1696" w:type="dxa"/>
            <w:tcBorders>
              <w:top w:val="single" w:sz="4" w:space="0" w:color="auto"/>
              <w:left w:val="nil"/>
              <w:bottom w:val="single" w:sz="4" w:space="0" w:color="auto"/>
              <w:right w:val="single" w:sz="4" w:space="0" w:color="auto"/>
            </w:tcBorders>
            <w:shd w:val="clear" w:color="000000" w:fill="4F81BD"/>
            <w:noWrap/>
            <w:vAlign w:val="center"/>
            <w:hideMark/>
          </w:tcPr>
          <w:p w:rsidR="0039483E" w:rsidRPr="008E2822" w:rsidRDefault="00BA3232" w:rsidP="0039483E">
            <w:pPr>
              <w:widowControl/>
              <w:jc w:val="center"/>
              <w:rPr>
                <w:color w:val="FFFFFF"/>
                <w:sz w:val="20"/>
                <w:szCs w:val="20"/>
              </w:rPr>
            </w:pPr>
            <w:r w:rsidRPr="008E2822">
              <w:rPr>
                <w:rFonts w:cs="Calibri"/>
                <w:bCs/>
                <w:color w:val="FFFFFF"/>
                <w:sz w:val="20"/>
                <w:szCs w:val="20"/>
              </w:rPr>
              <w:t xml:space="preserve">Q1 </w:t>
            </w:r>
            <w:r w:rsidRPr="008E2822">
              <w:rPr>
                <w:rFonts w:cs="Calibri"/>
                <w:bCs/>
                <w:color w:val="FFFFFF"/>
                <w:sz w:val="20"/>
                <w:szCs w:val="20"/>
                <w:lang w:val="en-US"/>
              </w:rPr>
              <w:t>'</w:t>
            </w:r>
            <w:r w:rsidR="0039483E" w:rsidRPr="008E2822">
              <w:rPr>
                <w:rFonts w:cs="Calibri"/>
                <w:bCs/>
                <w:color w:val="FFFFFF"/>
                <w:sz w:val="20"/>
                <w:szCs w:val="20"/>
              </w:rPr>
              <w:t>13 (</w:t>
            </w:r>
            <w:proofErr w:type="spellStart"/>
            <w:r w:rsidR="0039483E" w:rsidRPr="008E2822">
              <w:rPr>
                <w:rFonts w:cs="Calibri"/>
                <w:bCs/>
                <w:color w:val="FFFFFF"/>
                <w:sz w:val="20"/>
                <w:szCs w:val="20"/>
              </w:rPr>
              <w:t>лв</w:t>
            </w:r>
            <w:proofErr w:type="spellEnd"/>
            <w:r w:rsidR="0039483E" w:rsidRPr="008E2822">
              <w:rPr>
                <w:rFonts w:cs="Calibri"/>
                <w:bCs/>
                <w:color w:val="FFFFFF"/>
                <w:sz w:val="20"/>
                <w:szCs w:val="20"/>
              </w:rPr>
              <w:t>)</w:t>
            </w:r>
          </w:p>
        </w:tc>
        <w:tc>
          <w:tcPr>
            <w:tcW w:w="1871" w:type="dxa"/>
            <w:tcBorders>
              <w:top w:val="single" w:sz="4" w:space="0" w:color="auto"/>
              <w:left w:val="nil"/>
              <w:bottom w:val="single" w:sz="4" w:space="0" w:color="auto"/>
              <w:right w:val="single" w:sz="4" w:space="0" w:color="auto"/>
            </w:tcBorders>
            <w:shd w:val="clear" w:color="000000" w:fill="4F81BD"/>
            <w:noWrap/>
            <w:vAlign w:val="center"/>
            <w:hideMark/>
          </w:tcPr>
          <w:p w:rsidR="0039483E" w:rsidRPr="008E2822" w:rsidRDefault="0039483E" w:rsidP="0039483E">
            <w:pPr>
              <w:widowControl/>
              <w:jc w:val="center"/>
              <w:rPr>
                <w:color w:val="FFFFFF"/>
                <w:sz w:val="20"/>
                <w:szCs w:val="20"/>
              </w:rPr>
            </w:pPr>
            <w:r w:rsidRPr="008E2822">
              <w:rPr>
                <w:color w:val="FFFFFF"/>
                <w:sz w:val="20"/>
                <w:szCs w:val="20"/>
              </w:rPr>
              <w:t>Q2 '13 (лв.)</w:t>
            </w:r>
          </w:p>
        </w:tc>
        <w:tc>
          <w:tcPr>
            <w:tcW w:w="2576" w:type="dxa"/>
            <w:tcBorders>
              <w:top w:val="single" w:sz="4" w:space="0" w:color="auto"/>
              <w:left w:val="nil"/>
              <w:bottom w:val="single" w:sz="4" w:space="0" w:color="auto"/>
              <w:right w:val="single" w:sz="4" w:space="0" w:color="auto"/>
            </w:tcBorders>
            <w:shd w:val="clear" w:color="000000" w:fill="4F81BD"/>
            <w:noWrap/>
            <w:vAlign w:val="center"/>
            <w:hideMark/>
          </w:tcPr>
          <w:p w:rsidR="0039483E" w:rsidRPr="008E2822" w:rsidRDefault="0039483E" w:rsidP="0039483E">
            <w:pPr>
              <w:widowControl/>
              <w:jc w:val="center"/>
              <w:rPr>
                <w:color w:val="FFFFFF"/>
                <w:sz w:val="20"/>
                <w:szCs w:val="20"/>
              </w:rPr>
            </w:pPr>
            <w:r w:rsidRPr="008E2822">
              <w:rPr>
                <w:rFonts w:cs="Calibri"/>
                <w:bCs/>
                <w:color w:val="FFFFFF"/>
                <w:sz w:val="20"/>
                <w:szCs w:val="20"/>
              </w:rPr>
              <w:t>Изменение спрямо Q1 '13 (%)</w:t>
            </w:r>
          </w:p>
        </w:tc>
      </w:tr>
      <w:tr w:rsidR="0039483E" w:rsidRPr="008E2822" w:rsidTr="0039483E">
        <w:trPr>
          <w:trHeight w:val="255"/>
          <w:jc w:val="center"/>
        </w:trPr>
        <w:tc>
          <w:tcPr>
            <w:tcW w:w="3096" w:type="dxa"/>
            <w:tcBorders>
              <w:top w:val="nil"/>
              <w:left w:val="single" w:sz="4" w:space="0" w:color="auto"/>
              <w:bottom w:val="single" w:sz="4" w:space="0" w:color="auto"/>
              <w:right w:val="single" w:sz="4" w:space="0" w:color="auto"/>
            </w:tcBorders>
            <w:shd w:val="clear" w:color="000000" w:fill="FFFFFF"/>
            <w:noWrap/>
            <w:vAlign w:val="center"/>
            <w:hideMark/>
          </w:tcPr>
          <w:p w:rsidR="0039483E" w:rsidRPr="008E2822" w:rsidRDefault="0039483E" w:rsidP="0039483E">
            <w:pPr>
              <w:widowControl/>
              <w:rPr>
                <w:color w:val="000000"/>
                <w:sz w:val="20"/>
                <w:szCs w:val="20"/>
              </w:rPr>
            </w:pPr>
            <w:r w:rsidRPr="008E2822">
              <w:rPr>
                <w:rFonts w:cs="Calibri"/>
                <w:bCs/>
                <w:color w:val="000000"/>
                <w:sz w:val="20"/>
                <w:szCs w:val="20"/>
              </w:rPr>
              <w:t>Пазари на акции без АДСИЦ</w:t>
            </w:r>
          </w:p>
        </w:tc>
        <w:tc>
          <w:tcPr>
            <w:tcW w:w="1696" w:type="dxa"/>
            <w:tcBorders>
              <w:top w:val="nil"/>
              <w:left w:val="nil"/>
              <w:bottom w:val="single" w:sz="4" w:space="0" w:color="auto"/>
              <w:right w:val="single" w:sz="4" w:space="0" w:color="auto"/>
            </w:tcBorders>
            <w:shd w:val="clear" w:color="000000" w:fill="FFFFFF"/>
            <w:noWrap/>
            <w:vAlign w:val="center"/>
            <w:hideMark/>
          </w:tcPr>
          <w:p w:rsidR="0039483E" w:rsidRPr="008E2822" w:rsidRDefault="0039483E" w:rsidP="0039483E">
            <w:pPr>
              <w:widowControl/>
              <w:jc w:val="right"/>
              <w:rPr>
                <w:color w:val="000000"/>
                <w:sz w:val="20"/>
                <w:szCs w:val="20"/>
              </w:rPr>
            </w:pPr>
            <w:r w:rsidRPr="008E2822">
              <w:rPr>
                <w:rFonts w:cs="Calibri"/>
                <w:bCs/>
                <w:color w:val="000000"/>
                <w:sz w:val="20"/>
                <w:szCs w:val="20"/>
              </w:rPr>
              <w:t>8 219 129 897</w:t>
            </w:r>
          </w:p>
        </w:tc>
        <w:tc>
          <w:tcPr>
            <w:tcW w:w="1871" w:type="dxa"/>
            <w:tcBorders>
              <w:top w:val="nil"/>
              <w:left w:val="nil"/>
              <w:bottom w:val="single" w:sz="4" w:space="0" w:color="auto"/>
              <w:right w:val="single" w:sz="4" w:space="0" w:color="auto"/>
            </w:tcBorders>
            <w:shd w:val="clear" w:color="000000" w:fill="FFFFFF"/>
            <w:noWrap/>
            <w:vAlign w:val="center"/>
            <w:hideMark/>
          </w:tcPr>
          <w:p w:rsidR="0039483E" w:rsidRPr="008E2822" w:rsidRDefault="0039483E" w:rsidP="0039483E">
            <w:pPr>
              <w:widowControl/>
              <w:jc w:val="right"/>
              <w:rPr>
                <w:color w:val="000000"/>
                <w:sz w:val="20"/>
                <w:szCs w:val="20"/>
              </w:rPr>
            </w:pPr>
            <w:r w:rsidRPr="008E2822">
              <w:rPr>
                <w:rFonts w:cs="Calibri"/>
                <w:bCs/>
                <w:color w:val="000000"/>
                <w:sz w:val="20"/>
                <w:szCs w:val="20"/>
              </w:rPr>
              <w:t>8 822 334 377</w:t>
            </w:r>
          </w:p>
        </w:tc>
        <w:tc>
          <w:tcPr>
            <w:tcW w:w="2576" w:type="dxa"/>
            <w:tcBorders>
              <w:top w:val="nil"/>
              <w:left w:val="nil"/>
              <w:bottom w:val="single" w:sz="4" w:space="0" w:color="auto"/>
              <w:right w:val="single" w:sz="4" w:space="0" w:color="auto"/>
            </w:tcBorders>
            <w:shd w:val="clear" w:color="auto" w:fill="auto"/>
            <w:noWrap/>
            <w:vAlign w:val="bottom"/>
            <w:hideMark/>
          </w:tcPr>
          <w:p w:rsidR="0039483E" w:rsidRPr="008E2822" w:rsidRDefault="0039483E" w:rsidP="0039483E">
            <w:pPr>
              <w:widowControl/>
              <w:jc w:val="right"/>
              <w:rPr>
                <w:color w:val="000000"/>
                <w:sz w:val="20"/>
                <w:szCs w:val="20"/>
              </w:rPr>
            </w:pPr>
            <w:r w:rsidRPr="008E2822">
              <w:rPr>
                <w:color w:val="000000"/>
                <w:sz w:val="20"/>
                <w:szCs w:val="20"/>
              </w:rPr>
              <w:t>7.34%</w:t>
            </w:r>
          </w:p>
        </w:tc>
      </w:tr>
      <w:tr w:rsidR="0039483E" w:rsidRPr="008E2822" w:rsidTr="0039483E">
        <w:trPr>
          <w:trHeight w:val="255"/>
          <w:jc w:val="center"/>
        </w:trPr>
        <w:tc>
          <w:tcPr>
            <w:tcW w:w="3096" w:type="dxa"/>
            <w:tcBorders>
              <w:top w:val="nil"/>
              <w:left w:val="single" w:sz="4" w:space="0" w:color="auto"/>
              <w:bottom w:val="single" w:sz="4" w:space="0" w:color="auto"/>
              <w:right w:val="single" w:sz="4" w:space="0" w:color="auto"/>
            </w:tcBorders>
            <w:shd w:val="clear" w:color="000000" w:fill="FFFFFF"/>
            <w:noWrap/>
            <w:vAlign w:val="center"/>
            <w:hideMark/>
          </w:tcPr>
          <w:p w:rsidR="0039483E" w:rsidRPr="008E2822" w:rsidRDefault="0039483E" w:rsidP="0039483E">
            <w:pPr>
              <w:widowControl/>
              <w:rPr>
                <w:color w:val="000000"/>
                <w:sz w:val="20"/>
                <w:szCs w:val="20"/>
              </w:rPr>
            </w:pPr>
            <w:r w:rsidRPr="008E2822">
              <w:rPr>
                <w:rFonts w:cs="Calibri"/>
                <w:bCs/>
                <w:color w:val="000000"/>
                <w:sz w:val="20"/>
                <w:szCs w:val="20"/>
              </w:rPr>
              <w:t>Пазар на АДСИЦ</w:t>
            </w:r>
          </w:p>
        </w:tc>
        <w:tc>
          <w:tcPr>
            <w:tcW w:w="1696" w:type="dxa"/>
            <w:tcBorders>
              <w:top w:val="nil"/>
              <w:left w:val="nil"/>
              <w:bottom w:val="single" w:sz="4" w:space="0" w:color="auto"/>
              <w:right w:val="single" w:sz="4" w:space="0" w:color="auto"/>
            </w:tcBorders>
            <w:shd w:val="clear" w:color="000000" w:fill="FFFFFF"/>
            <w:noWrap/>
            <w:vAlign w:val="center"/>
            <w:hideMark/>
          </w:tcPr>
          <w:p w:rsidR="0039483E" w:rsidRPr="008E2822" w:rsidRDefault="0039483E" w:rsidP="0039483E">
            <w:pPr>
              <w:widowControl/>
              <w:jc w:val="right"/>
              <w:rPr>
                <w:color w:val="000000"/>
                <w:sz w:val="20"/>
                <w:szCs w:val="20"/>
              </w:rPr>
            </w:pPr>
            <w:r w:rsidRPr="008E2822">
              <w:rPr>
                <w:rFonts w:cs="Calibri"/>
                <w:bCs/>
                <w:color w:val="000000"/>
                <w:sz w:val="20"/>
                <w:szCs w:val="20"/>
              </w:rPr>
              <w:t>1 762 269 276</w:t>
            </w:r>
          </w:p>
        </w:tc>
        <w:tc>
          <w:tcPr>
            <w:tcW w:w="1871" w:type="dxa"/>
            <w:tcBorders>
              <w:top w:val="nil"/>
              <w:left w:val="nil"/>
              <w:bottom w:val="single" w:sz="4" w:space="0" w:color="auto"/>
              <w:right w:val="single" w:sz="4" w:space="0" w:color="auto"/>
            </w:tcBorders>
            <w:shd w:val="clear" w:color="000000" w:fill="FFFFFF"/>
            <w:noWrap/>
            <w:vAlign w:val="center"/>
            <w:hideMark/>
          </w:tcPr>
          <w:p w:rsidR="0039483E" w:rsidRPr="008E2822" w:rsidRDefault="0039483E" w:rsidP="0039483E">
            <w:pPr>
              <w:widowControl/>
              <w:jc w:val="right"/>
              <w:rPr>
                <w:color w:val="000000"/>
                <w:sz w:val="20"/>
                <w:szCs w:val="20"/>
              </w:rPr>
            </w:pPr>
            <w:r w:rsidRPr="008E2822">
              <w:rPr>
                <w:rFonts w:cs="Calibri"/>
                <w:bCs/>
                <w:color w:val="000000"/>
                <w:sz w:val="20"/>
                <w:szCs w:val="20"/>
              </w:rPr>
              <w:t>1 736 231 568</w:t>
            </w:r>
          </w:p>
        </w:tc>
        <w:tc>
          <w:tcPr>
            <w:tcW w:w="2576" w:type="dxa"/>
            <w:tcBorders>
              <w:top w:val="nil"/>
              <w:left w:val="nil"/>
              <w:bottom w:val="single" w:sz="4" w:space="0" w:color="auto"/>
              <w:right w:val="single" w:sz="4" w:space="0" w:color="auto"/>
            </w:tcBorders>
            <w:shd w:val="clear" w:color="auto" w:fill="auto"/>
            <w:noWrap/>
            <w:vAlign w:val="bottom"/>
            <w:hideMark/>
          </w:tcPr>
          <w:p w:rsidR="0039483E" w:rsidRPr="008E2822" w:rsidRDefault="0039483E" w:rsidP="0039483E">
            <w:pPr>
              <w:widowControl/>
              <w:jc w:val="right"/>
              <w:rPr>
                <w:color w:val="000000"/>
                <w:sz w:val="20"/>
                <w:szCs w:val="20"/>
              </w:rPr>
            </w:pPr>
            <w:proofErr w:type="gramStart"/>
            <w:r w:rsidRPr="008E2822">
              <w:rPr>
                <w:color w:val="000000"/>
                <w:sz w:val="20"/>
                <w:szCs w:val="20"/>
              </w:rPr>
              <w:t>-1</w:t>
            </w:r>
            <w:proofErr w:type="gramEnd"/>
            <w:r w:rsidRPr="008E2822">
              <w:rPr>
                <w:color w:val="000000"/>
                <w:sz w:val="20"/>
                <w:szCs w:val="20"/>
              </w:rPr>
              <w:t>.48%</w:t>
            </w:r>
          </w:p>
        </w:tc>
      </w:tr>
      <w:tr w:rsidR="0039483E" w:rsidRPr="008E2822" w:rsidTr="0039483E">
        <w:trPr>
          <w:trHeight w:val="255"/>
          <w:jc w:val="center"/>
        </w:trPr>
        <w:tc>
          <w:tcPr>
            <w:tcW w:w="3096" w:type="dxa"/>
            <w:tcBorders>
              <w:top w:val="nil"/>
              <w:left w:val="single" w:sz="4" w:space="0" w:color="auto"/>
              <w:bottom w:val="single" w:sz="4" w:space="0" w:color="auto"/>
              <w:right w:val="single" w:sz="4" w:space="0" w:color="auto"/>
            </w:tcBorders>
            <w:shd w:val="clear" w:color="000000" w:fill="FFFFFF"/>
            <w:noWrap/>
            <w:vAlign w:val="center"/>
            <w:hideMark/>
          </w:tcPr>
          <w:p w:rsidR="0039483E" w:rsidRPr="008E2822" w:rsidRDefault="0039483E" w:rsidP="0039483E">
            <w:pPr>
              <w:widowControl/>
              <w:rPr>
                <w:color w:val="000000"/>
                <w:sz w:val="20"/>
                <w:szCs w:val="20"/>
              </w:rPr>
            </w:pPr>
            <w:r w:rsidRPr="008E2822">
              <w:rPr>
                <w:rFonts w:cs="Calibri"/>
                <w:bCs/>
                <w:color w:val="000000"/>
                <w:sz w:val="20"/>
                <w:szCs w:val="20"/>
              </w:rPr>
              <w:t>Обща пазарна капитализация</w:t>
            </w:r>
          </w:p>
        </w:tc>
        <w:tc>
          <w:tcPr>
            <w:tcW w:w="1696" w:type="dxa"/>
            <w:tcBorders>
              <w:top w:val="nil"/>
              <w:left w:val="nil"/>
              <w:bottom w:val="single" w:sz="4" w:space="0" w:color="auto"/>
              <w:right w:val="single" w:sz="4" w:space="0" w:color="auto"/>
            </w:tcBorders>
            <w:shd w:val="clear" w:color="000000" w:fill="FFFFFF"/>
            <w:noWrap/>
            <w:vAlign w:val="center"/>
            <w:hideMark/>
          </w:tcPr>
          <w:p w:rsidR="0039483E" w:rsidRPr="008E2822" w:rsidRDefault="0039483E" w:rsidP="0039483E">
            <w:pPr>
              <w:widowControl/>
              <w:jc w:val="right"/>
              <w:rPr>
                <w:color w:val="000000"/>
                <w:sz w:val="20"/>
                <w:szCs w:val="20"/>
              </w:rPr>
            </w:pPr>
            <w:r w:rsidRPr="008E2822">
              <w:rPr>
                <w:rFonts w:cs="Calibri"/>
                <w:bCs/>
                <w:color w:val="000000"/>
                <w:sz w:val="20"/>
                <w:szCs w:val="20"/>
              </w:rPr>
              <w:t>9 981 399 173</w:t>
            </w:r>
          </w:p>
        </w:tc>
        <w:tc>
          <w:tcPr>
            <w:tcW w:w="1871" w:type="dxa"/>
            <w:tcBorders>
              <w:top w:val="nil"/>
              <w:left w:val="nil"/>
              <w:bottom w:val="single" w:sz="4" w:space="0" w:color="auto"/>
              <w:right w:val="single" w:sz="4" w:space="0" w:color="auto"/>
            </w:tcBorders>
            <w:shd w:val="clear" w:color="000000" w:fill="FFFFFF"/>
            <w:noWrap/>
            <w:vAlign w:val="center"/>
            <w:hideMark/>
          </w:tcPr>
          <w:p w:rsidR="0039483E" w:rsidRPr="008E2822" w:rsidRDefault="0039483E" w:rsidP="0039483E">
            <w:pPr>
              <w:widowControl/>
              <w:jc w:val="right"/>
              <w:rPr>
                <w:color w:val="000000"/>
                <w:sz w:val="20"/>
                <w:szCs w:val="20"/>
              </w:rPr>
            </w:pPr>
            <w:r w:rsidRPr="008E2822">
              <w:rPr>
                <w:rFonts w:cs="Calibri"/>
                <w:bCs/>
                <w:color w:val="000000"/>
                <w:sz w:val="20"/>
                <w:szCs w:val="20"/>
              </w:rPr>
              <w:t>10 558 565 945</w:t>
            </w:r>
          </w:p>
        </w:tc>
        <w:tc>
          <w:tcPr>
            <w:tcW w:w="2576" w:type="dxa"/>
            <w:tcBorders>
              <w:top w:val="nil"/>
              <w:left w:val="nil"/>
              <w:bottom w:val="single" w:sz="4" w:space="0" w:color="auto"/>
              <w:right w:val="single" w:sz="4" w:space="0" w:color="auto"/>
            </w:tcBorders>
            <w:shd w:val="clear" w:color="auto" w:fill="auto"/>
            <w:noWrap/>
            <w:vAlign w:val="bottom"/>
            <w:hideMark/>
          </w:tcPr>
          <w:p w:rsidR="0039483E" w:rsidRPr="008E2822" w:rsidRDefault="0039483E" w:rsidP="0039483E">
            <w:pPr>
              <w:widowControl/>
              <w:jc w:val="right"/>
              <w:rPr>
                <w:color w:val="000000"/>
                <w:sz w:val="20"/>
                <w:szCs w:val="20"/>
              </w:rPr>
            </w:pPr>
            <w:r w:rsidRPr="008E2822">
              <w:rPr>
                <w:color w:val="000000"/>
                <w:sz w:val="20"/>
                <w:szCs w:val="20"/>
              </w:rPr>
              <w:t>5.78%</w:t>
            </w:r>
          </w:p>
        </w:tc>
      </w:tr>
    </w:tbl>
    <w:p w:rsidR="006045D2" w:rsidRPr="008E2822" w:rsidRDefault="006045D2" w:rsidP="008D1E64">
      <w:pPr>
        <w:tabs>
          <w:tab w:val="left" w:pos="360"/>
        </w:tabs>
        <w:rPr>
          <w:szCs w:val="22"/>
        </w:rPr>
      </w:pPr>
    </w:p>
    <w:p w:rsidR="006768E3" w:rsidRPr="008E2822" w:rsidRDefault="006768E3" w:rsidP="006768E3">
      <w:pPr>
        <w:tabs>
          <w:tab w:val="left" w:pos="360"/>
        </w:tabs>
        <w:rPr>
          <w:b/>
          <w:sz w:val="20"/>
          <w:szCs w:val="20"/>
        </w:rPr>
      </w:pPr>
      <w:r w:rsidRPr="008E2822">
        <w:rPr>
          <w:b/>
          <w:sz w:val="20"/>
          <w:szCs w:val="20"/>
        </w:rPr>
        <w:t xml:space="preserve">Таблица 9: </w:t>
      </w:r>
      <w:proofErr w:type="gramStart"/>
      <w:r w:rsidRPr="008E2822">
        <w:rPr>
          <w:b/>
          <w:sz w:val="20"/>
          <w:szCs w:val="20"/>
        </w:rPr>
        <w:t>Пазарна капитализация по пазарни</w:t>
      </w:r>
      <w:proofErr w:type="gramEnd"/>
      <w:r w:rsidRPr="008E2822">
        <w:rPr>
          <w:b/>
          <w:sz w:val="20"/>
          <w:szCs w:val="20"/>
        </w:rPr>
        <w:t xml:space="preserve"> сегменти (сравнение)</w:t>
      </w:r>
    </w:p>
    <w:tbl>
      <w:tblPr>
        <w:tblW w:w="9507" w:type="dxa"/>
        <w:jc w:val="center"/>
        <w:tblInd w:w="55" w:type="dxa"/>
        <w:tblCellMar>
          <w:left w:w="70" w:type="dxa"/>
          <w:right w:w="70" w:type="dxa"/>
        </w:tblCellMar>
        <w:tblLook w:val="04A0" w:firstRow="1" w:lastRow="0" w:firstColumn="1" w:lastColumn="0" w:noHBand="0" w:noVBand="1"/>
      </w:tblPr>
      <w:tblGrid>
        <w:gridCol w:w="2876"/>
        <w:gridCol w:w="942"/>
        <w:gridCol w:w="1975"/>
        <w:gridCol w:w="1661"/>
        <w:gridCol w:w="2053"/>
      </w:tblGrid>
      <w:tr w:rsidR="00BA3232" w:rsidRPr="008E2822" w:rsidTr="00BA3232">
        <w:trPr>
          <w:trHeight w:val="255"/>
          <w:jc w:val="center"/>
        </w:trPr>
        <w:tc>
          <w:tcPr>
            <w:tcW w:w="2876"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BA3232" w:rsidRPr="008E2822" w:rsidRDefault="00BA3232" w:rsidP="00BA3232">
            <w:pPr>
              <w:widowControl/>
              <w:jc w:val="center"/>
              <w:rPr>
                <w:color w:val="FFFFFF"/>
                <w:sz w:val="20"/>
                <w:szCs w:val="20"/>
              </w:rPr>
            </w:pPr>
            <w:r w:rsidRPr="008E2822">
              <w:rPr>
                <w:color w:val="FFFFFF"/>
                <w:sz w:val="20"/>
                <w:szCs w:val="20"/>
              </w:rPr>
              <w:t>Пазарни сегменти</w:t>
            </w:r>
          </w:p>
        </w:tc>
        <w:tc>
          <w:tcPr>
            <w:tcW w:w="942" w:type="dxa"/>
            <w:tcBorders>
              <w:top w:val="single" w:sz="4" w:space="0" w:color="auto"/>
              <w:left w:val="nil"/>
              <w:bottom w:val="single" w:sz="4" w:space="0" w:color="auto"/>
              <w:right w:val="single" w:sz="4" w:space="0" w:color="auto"/>
            </w:tcBorders>
            <w:shd w:val="clear" w:color="000000" w:fill="4F81BD"/>
            <w:noWrap/>
            <w:vAlign w:val="center"/>
            <w:hideMark/>
          </w:tcPr>
          <w:p w:rsidR="00BA3232" w:rsidRPr="008E2822" w:rsidRDefault="00BA3232" w:rsidP="00BA3232">
            <w:pPr>
              <w:widowControl/>
              <w:jc w:val="center"/>
              <w:rPr>
                <w:color w:val="FFFFFF"/>
                <w:sz w:val="20"/>
                <w:szCs w:val="20"/>
              </w:rPr>
            </w:pPr>
            <w:r w:rsidRPr="008E2822">
              <w:rPr>
                <w:color w:val="FFFFFF"/>
                <w:sz w:val="20"/>
                <w:szCs w:val="20"/>
              </w:rPr>
              <w:t>Пазар</w:t>
            </w:r>
          </w:p>
        </w:tc>
        <w:tc>
          <w:tcPr>
            <w:tcW w:w="1975" w:type="dxa"/>
            <w:tcBorders>
              <w:top w:val="single" w:sz="4" w:space="0" w:color="auto"/>
              <w:left w:val="nil"/>
              <w:bottom w:val="single" w:sz="4" w:space="0" w:color="auto"/>
              <w:right w:val="single" w:sz="4" w:space="0" w:color="auto"/>
            </w:tcBorders>
            <w:shd w:val="clear" w:color="000000" w:fill="4F81BD"/>
            <w:noWrap/>
            <w:vAlign w:val="center"/>
            <w:hideMark/>
          </w:tcPr>
          <w:p w:rsidR="00BA3232" w:rsidRPr="008E2822" w:rsidRDefault="00BA3232" w:rsidP="00BA3232">
            <w:pPr>
              <w:widowControl/>
              <w:jc w:val="center"/>
              <w:rPr>
                <w:color w:val="FFFFFF"/>
                <w:sz w:val="20"/>
                <w:szCs w:val="20"/>
              </w:rPr>
            </w:pPr>
            <w:r w:rsidRPr="008E2822">
              <w:rPr>
                <w:rFonts w:cs="Calibri"/>
                <w:bCs/>
                <w:color w:val="FFFFFF"/>
                <w:sz w:val="20"/>
                <w:szCs w:val="20"/>
              </w:rPr>
              <w:t xml:space="preserve">Q1 </w:t>
            </w:r>
            <w:r w:rsidRPr="008E2822">
              <w:rPr>
                <w:rFonts w:cs="Calibri"/>
                <w:bCs/>
                <w:color w:val="FFFFFF"/>
                <w:sz w:val="20"/>
                <w:szCs w:val="20"/>
                <w:lang w:val="en-US"/>
              </w:rPr>
              <w:t>'</w:t>
            </w:r>
            <w:r w:rsidRPr="008E2822">
              <w:rPr>
                <w:rFonts w:cs="Calibri"/>
                <w:bCs/>
                <w:color w:val="FFFFFF"/>
                <w:sz w:val="20"/>
                <w:szCs w:val="20"/>
              </w:rPr>
              <w:t>13 (</w:t>
            </w:r>
            <w:proofErr w:type="spellStart"/>
            <w:r w:rsidRPr="008E2822">
              <w:rPr>
                <w:rFonts w:cs="Calibri"/>
                <w:bCs/>
                <w:color w:val="FFFFFF"/>
                <w:sz w:val="20"/>
                <w:szCs w:val="20"/>
              </w:rPr>
              <w:t>лв</w:t>
            </w:r>
            <w:proofErr w:type="spellEnd"/>
            <w:r w:rsidRPr="008E2822">
              <w:rPr>
                <w:rFonts w:cs="Calibri"/>
                <w:bCs/>
                <w:color w:val="FFFFFF"/>
                <w:sz w:val="20"/>
                <w:szCs w:val="20"/>
              </w:rPr>
              <w:t>)</w:t>
            </w:r>
          </w:p>
        </w:tc>
        <w:tc>
          <w:tcPr>
            <w:tcW w:w="1661" w:type="dxa"/>
            <w:tcBorders>
              <w:top w:val="single" w:sz="4" w:space="0" w:color="auto"/>
              <w:left w:val="nil"/>
              <w:bottom w:val="single" w:sz="4" w:space="0" w:color="auto"/>
              <w:right w:val="single" w:sz="4" w:space="0" w:color="auto"/>
            </w:tcBorders>
            <w:shd w:val="clear" w:color="000000" w:fill="4F81BD"/>
            <w:noWrap/>
            <w:vAlign w:val="center"/>
            <w:hideMark/>
          </w:tcPr>
          <w:p w:rsidR="00BA3232" w:rsidRPr="008E2822" w:rsidRDefault="00BA3232" w:rsidP="00BA3232">
            <w:pPr>
              <w:widowControl/>
              <w:jc w:val="center"/>
              <w:rPr>
                <w:color w:val="FFFFFF"/>
                <w:sz w:val="20"/>
                <w:szCs w:val="20"/>
              </w:rPr>
            </w:pPr>
            <w:r w:rsidRPr="008E2822">
              <w:rPr>
                <w:color w:val="FFFFFF"/>
                <w:sz w:val="20"/>
                <w:szCs w:val="20"/>
              </w:rPr>
              <w:t>Q2 '13 (лв.)</w:t>
            </w:r>
          </w:p>
        </w:tc>
        <w:tc>
          <w:tcPr>
            <w:tcW w:w="2053" w:type="dxa"/>
            <w:tcBorders>
              <w:top w:val="single" w:sz="4" w:space="0" w:color="auto"/>
              <w:left w:val="nil"/>
              <w:bottom w:val="single" w:sz="4" w:space="0" w:color="auto"/>
              <w:right w:val="single" w:sz="4" w:space="0" w:color="auto"/>
            </w:tcBorders>
            <w:shd w:val="clear" w:color="000000" w:fill="4F81BD"/>
            <w:noWrap/>
            <w:vAlign w:val="center"/>
            <w:hideMark/>
          </w:tcPr>
          <w:p w:rsidR="00BA3232" w:rsidRPr="008E2822" w:rsidRDefault="00BA3232" w:rsidP="00BA3232">
            <w:pPr>
              <w:widowControl/>
              <w:jc w:val="center"/>
              <w:rPr>
                <w:color w:val="FFFFFF"/>
                <w:sz w:val="20"/>
                <w:szCs w:val="20"/>
              </w:rPr>
            </w:pPr>
            <w:r w:rsidRPr="008E2822">
              <w:rPr>
                <w:rFonts w:cs="Calibri"/>
                <w:bCs/>
                <w:color w:val="FFFFFF"/>
                <w:sz w:val="20"/>
                <w:szCs w:val="20"/>
              </w:rPr>
              <w:t>Изменение спрямо Q1 '13 (%)</w:t>
            </w:r>
          </w:p>
        </w:tc>
      </w:tr>
      <w:tr w:rsidR="00BA3232" w:rsidRPr="008E2822" w:rsidTr="00BA3232">
        <w:trPr>
          <w:trHeight w:val="255"/>
          <w:jc w:val="center"/>
        </w:trPr>
        <w:tc>
          <w:tcPr>
            <w:tcW w:w="2876" w:type="dxa"/>
            <w:tcBorders>
              <w:top w:val="nil"/>
              <w:left w:val="single" w:sz="4" w:space="0" w:color="auto"/>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Сегмент акции Premium</w:t>
            </w:r>
          </w:p>
        </w:tc>
        <w:tc>
          <w:tcPr>
            <w:tcW w:w="942" w:type="dxa"/>
            <w:tcBorders>
              <w:top w:val="nil"/>
              <w:left w:val="nil"/>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BSE</w:t>
            </w:r>
          </w:p>
        </w:tc>
        <w:tc>
          <w:tcPr>
            <w:tcW w:w="1975"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1 196 760 198</w:t>
            </w:r>
          </w:p>
        </w:tc>
        <w:tc>
          <w:tcPr>
            <w:tcW w:w="1661"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1 362 195 921</w:t>
            </w:r>
          </w:p>
        </w:tc>
        <w:tc>
          <w:tcPr>
            <w:tcW w:w="2053" w:type="dxa"/>
            <w:tcBorders>
              <w:top w:val="nil"/>
              <w:left w:val="nil"/>
              <w:bottom w:val="single" w:sz="4" w:space="0" w:color="auto"/>
              <w:right w:val="single" w:sz="4" w:space="0" w:color="auto"/>
            </w:tcBorders>
            <w:shd w:val="clear" w:color="000000" w:fill="FFFFFF"/>
            <w:noWrap/>
            <w:vAlign w:val="center"/>
            <w:hideMark/>
          </w:tcPr>
          <w:p w:rsidR="00BA3232" w:rsidRPr="008E2822" w:rsidRDefault="00BA3232" w:rsidP="00BA3232">
            <w:pPr>
              <w:widowControl/>
              <w:jc w:val="right"/>
              <w:rPr>
                <w:color w:val="000000"/>
                <w:sz w:val="20"/>
                <w:szCs w:val="20"/>
              </w:rPr>
            </w:pPr>
            <w:r w:rsidRPr="008E2822">
              <w:rPr>
                <w:color w:val="000000"/>
                <w:sz w:val="20"/>
                <w:szCs w:val="20"/>
              </w:rPr>
              <w:t>13.82%</w:t>
            </w:r>
          </w:p>
        </w:tc>
      </w:tr>
      <w:tr w:rsidR="00BA3232" w:rsidRPr="008E2822" w:rsidTr="00BA3232">
        <w:trPr>
          <w:trHeight w:val="255"/>
          <w:jc w:val="center"/>
        </w:trPr>
        <w:tc>
          <w:tcPr>
            <w:tcW w:w="2876" w:type="dxa"/>
            <w:tcBorders>
              <w:top w:val="nil"/>
              <w:left w:val="single" w:sz="4" w:space="0" w:color="auto"/>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Сегмент акции Standard</w:t>
            </w:r>
          </w:p>
        </w:tc>
        <w:tc>
          <w:tcPr>
            <w:tcW w:w="942" w:type="dxa"/>
            <w:tcBorders>
              <w:top w:val="nil"/>
              <w:left w:val="nil"/>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BSE</w:t>
            </w:r>
          </w:p>
        </w:tc>
        <w:tc>
          <w:tcPr>
            <w:tcW w:w="1975"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5 916 661 040</w:t>
            </w:r>
          </w:p>
        </w:tc>
        <w:tc>
          <w:tcPr>
            <w:tcW w:w="1661"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6 462 371 577</w:t>
            </w:r>
          </w:p>
        </w:tc>
        <w:tc>
          <w:tcPr>
            <w:tcW w:w="2053" w:type="dxa"/>
            <w:tcBorders>
              <w:top w:val="nil"/>
              <w:left w:val="nil"/>
              <w:bottom w:val="single" w:sz="4" w:space="0" w:color="auto"/>
              <w:right w:val="single" w:sz="4" w:space="0" w:color="auto"/>
            </w:tcBorders>
            <w:shd w:val="clear" w:color="000000" w:fill="FFFFFF"/>
            <w:noWrap/>
            <w:vAlign w:val="center"/>
            <w:hideMark/>
          </w:tcPr>
          <w:p w:rsidR="00BA3232" w:rsidRPr="008E2822" w:rsidRDefault="00BA3232" w:rsidP="00BA3232">
            <w:pPr>
              <w:widowControl/>
              <w:jc w:val="right"/>
              <w:rPr>
                <w:color w:val="000000"/>
                <w:sz w:val="20"/>
                <w:szCs w:val="20"/>
              </w:rPr>
            </w:pPr>
            <w:r w:rsidRPr="008E2822">
              <w:rPr>
                <w:color w:val="000000"/>
                <w:sz w:val="20"/>
                <w:szCs w:val="20"/>
              </w:rPr>
              <w:t>9.22%</w:t>
            </w:r>
          </w:p>
        </w:tc>
      </w:tr>
      <w:tr w:rsidR="00BA3232" w:rsidRPr="008E2822" w:rsidTr="00BA3232">
        <w:trPr>
          <w:trHeight w:val="255"/>
          <w:jc w:val="center"/>
        </w:trPr>
        <w:tc>
          <w:tcPr>
            <w:tcW w:w="2876" w:type="dxa"/>
            <w:tcBorders>
              <w:top w:val="nil"/>
              <w:left w:val="single" w:sz="4" w:space="0" w:color="auto"/>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Сегмент АДСИЦ</w:t>
            </w:r>
          </w:p>
        </w:tc>
        <w:tc>
          <w:tcPr>
            <w:tcW w:w="942" w:type="dxa"/>
            <w:tcBorders>
              <w:top w:val="nil"/>
              <w:left w:val="nil"/>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BSE</w:t>
            </w:r>
          </w:p>
        </w:tc>
        <w:tc>
          <w:tcPr>
            <w:tcW w:w="1975"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519 757 511</w:t>
            </w:r>
          </w:p>
        </w:tc>
        <w:tc>
          <w:tcPr>
            <w:tcW w:w="1661"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493 555 507</w:t>
            </w:r>
          </w:p>
        </w:tc>
        <w:tc>
          <w:tcPr>
            <w:tcW w:w="2053" w:type="dxa"/>
            <w:tcBorders>
              <w:top w:val="nil"/>
              <w:left w:val="nil"/>
              <w:bottom w:val="single" w:sz="4" w:space="0" w:color="auto"/>
              <w:right w:val="single" w:sz="4" w:space="0" w:color="auto"/>
            </w:tcBorders>
            <w:shd w:val="clear" w:color="000000" w:fill="FFFFFF"/>
            <w:noWrap/>
            <w:vAlign w:val="center"/>
            <w:hideMark/>
          </w:tcPr>
          <w:p w:rsidR="00BA3232" w:rsidRPr="008E2822" w:rsidRDefault="00BA3232" w:rsidP="00BA3232">
            <w:pPr>
              <w:widowControl/>
              <w:jc w:val="right"/>
              <w:rPr>
                <w:color w:val="000000"/>
                <w:sz w:val="20"/>
                <w:szCs w:val="20"/>
              </w:rPr>
            </w:pPr>
            <w:proofErr w:type="gramStart"/>
            <w:r w:rsidRPr="008E2822">
              <w:rPr>
                <w:color w:val="000000"/>
                <w:sz w:val="20"/>
                <w:szCs w:val="20"/>
              </w:rPr>
              <w:t>-5</w:t>
            </w:r>
            <w:proofErr w:type="gramEnd"/>
            <w:r w:rsidRPr="008E2822">
              <w:rPr>
                <w:color w:val="000000"/>
                <w:sz w:val="20"/>
                <w:szCs w:val="20"/>
              </w:rPr>
              <w:t>.04%</w:t>
            </w:r>
          </w:p>
        </w:tc>
      </w:tr>
      <w:tr w:rsidR="00BA3232" w:rsidRPr="008E2822" w:rsidTr="00BA3232">
        <w:trPr>
          <w:trHeight w:val="255"/>
          <w:jc w:val="center"/>
        </w:trPr>
        <w:tc>
          <w:tcPr>
            <w:tcW w:w="2876" w:type="dxa"/>
            <w:tcBorders>
              <w:top w:val="nil"/>
              <w:left w:val="single" w:sz="4" w:space="0" w:color="auto"/>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Сегмент акции</w:t>
            </w:r>
          </w:p>
        </w:tc>
        <w:tc>
          <w:tcPr>
            <w:tcW w:w="942" w:type="dxa"/>
            <w:tcBorders>
              <w:top w:val="nil"/>
              <w:left w:val="nil"/>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BASE</w:t>
            </w:r>
          </w:p>
        </w:tc>
        <w:tc>
          <w:tcPr>
            <w:tcW w:w="1975"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1 105 708 659</w:t>
            </w:r>
          </w:p>
        </w:tc>
        <w:tc>
          <w:tcPr>
            <w:tcW w:w="1661"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997 766 878</w:t>
            </w:r>
          </w:p>
        </w:tc>
        <w:tc>
          <w:tcPr>
            <w:tcW w:w="2053" w:type="dxa"/>
            <w:tcBorders>
              <w:top w:val="nil"/>
              <w:left w:val="nil"/>
              <w:bottom w:val="single" w:sz="4" w:space="0" w:color="auto"/>
              <w:right w:val="single" w:sz="4" w:space="0" w:color="auto"/>
            </w:tcBorders>
            <w:shd w:val="clear" w:color="000000" w:fill="FFFFFF"/>
            <w:noWrap/>
            <w:vAlign w:val="center"/>
            <w:hideMark/>
          </w:tcPr>
          <w:p w:rsidR="00BA3232" w:rsidRPr="008E2822" w:rsidRDefault="00BA3232" w:rsidP="00BA3232">
            <w:pPr>
              <w:widowControl/>
              <w:jc w:val="right"/>
              <w:rPr>
                <w:color w:val="000000"/>
                <w:sz w:val="20"/>
                <w:szCs w:val="20"/>
              </w:rPr>
            </w:pPr>
            <w:proofErr w:type="gramStart"/>
            <w:r w:rsidRPr="008E2822">
              <w:rPr>
                <w:color w:val="000000"/>
                <w:sz w:val="20"/>
                <w:szCs w:val="20"/>
              </w:rPr>
              <w:t>-9</w:t>
            </w:r>
            <w:proofErr w:type="gramEnd"/>
            <w:r w:rsidRPr="008E2822">
              <w:rPr>
                <w:color w:val="000000"/>
                <w:sz w:val="20"/>
                <w:szCs w:val="20"/>
              </w:rPr>
              <w:t>.76%</w:t>
            </w:r>
          </w:p>
        </w:tc>
      </w:tr>
      <w:tr w:rsidR="00BA3232" w:rsidRPr="008E2822" w:rsidTr="00BA3232">
        <w:trPr>
          <w:trHeight w:val="255"/>
          <w:jc w:val="center"/>
        </w:trPr>
        <w:tc>
          <w:tcPr>
            <w:tcW w:w="2876" w:type="dxa"/>
            <w:tcBorders>
              <w:top w:val="nil"/>
              <w:left w:val="single" w:sz="4" w:space="0" w:color="auto"/>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Сегмент АДСИЦ</w:t>
            </w:r>
          </w:p>
        </w:tc>
        <w:tc>
          <w:tcPr>
            <w:tcW w:w="942" w:type="dxa"/>
            <w:tcBorders>
              <w:top w:val="nil"/>
              <w:left w:val="nil"/>
              <w:bottom w:val="single" w:sz="4" w:space="0" w:color="auto"/>
              <w:right w:val="single" w:sz="4" w:space="0" w:color="auto"/>
            </w:tcBorders>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BASE</w:t>
            </w:r>
          </w:p>
        </w:tc>
        <w:tc>
          <w:tcPr>
            <w:tcW w:w="1975"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1 242 511 765</w:t>
            </w:r>
          </w:p>
        </w:tc>
        <w:tc>
          <w:tcPr>
            <w:tcW w:w="1661" w:type="dxa"/>
            <w:tcBorders>
              <w:top w:val="nil"/>
              <w:left w:val="nil"/>
              <w:bottom w:val="single" w:sz="4" w:space="0" w:color="auto"/>
              <w:right w:val="single" w:sz="4" w:space="0" w:color="auto"/>
            </w:tcBorders>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1 242 676 062</w:t>
            </w:r>
          </w:p>
        </w:tc>
        <w:tc>
          <w:tcPr>
            <w:tcW w:w="2053" w:type="dxa"/>
            <w:tcBorders>
              <w:top w:val="nil"/>
              <w:left w:val="nil"/>
              <w:bottom w:val="single" w:sz="4" w:space="0" w:color="auto"/>
              <w:right w:val="single" w:sz="4" w:space="0" w:color="auto"/>
            </w:tcBorders>
            <w:shd w:val="clear" w:color="000000" w:fill="FFFFFF"/>
            <w:noWrap/>
            <w:vAlign w:val="center"/>
            <w:hideMark/>
          </w:tcPr>
          <w:p w:rsidR="00BA3232" w:rsidRPr="008E2822" w:rsidRDefault="00BA3232" w:rsidP="00BA3232">
            <w:pPr>
              <w:widowControl/>
              <w:jc w:val="right"/>
              <w:rPr>
                <w:color w:val="000000"/>
                <w:sz w:val="20"/>
                <w:szCs w:val="20"/>
              </w:rPr>
            </w:pPr>
            <w:r w:rsidRPr="008E2822">
              <w:rPr>
                <w:color w:val="000000"/>
                <w:sz w:val="20"/>
                <w:szCs w:val="20"/>
              </w:rPr>
              <w:t>0.01%</w:t>
            </w:r>
          </w:p>
        </w:tc>
      </w:tr>
    </w:tbl>
    <w:p w:rsidR="007A42E4" w:rsidRPr="008E2822" w:rsidRDefault="007A42E4" w:rsidP="008D1E64">
      <w:pPr>
        <w:tabs>
          <w:tab w:val="left" w:pos="360"/>
        </w:tabs>
        <w:rPr>
          <w:szCs w:val="22"/>
        </w:rPr>
      </w:pPr>
    </w:p>
    <w:p w:rsidR="00B66212" w:rsidRPr="008E2822" w:rsidRDefault="00486D0C" w:rsidP="00B66212">
      <w:pPr>
        <w:pStyle w:val="a2"/>
        <w:tabs>
          <w:tab w:val="left" w:pos="360"/>
        </w:tabs>
        <w:jc w:val="both"/>
      </w:pPr>
      <w:r w:rsidRPr="008E2822">
        <w:rPr>
          <w:b/>
          <w:i w:val="0"/>
          <w:szCs w:val="20"/>
        </w:rPr>
        <w:t xml:space="preserve">Таблица </w:t>
      </w:r>
      <w:r w:rsidRPr="008E2822">
        <w:rPr>
          <w:b/>
          <w:i w:val="0"/>
          <w:szCs w:val="20"/>
          <w:lang w:val="en-US"/>
        </w:rPr>
        <w:t>10</w:t>
      </w:r>
      <w:r w:rsidR="00B66212" w:rsidRPr="008E2822">
        <w:rPr>
          <w:b/>
          <w:i w:val="0"/>
          <w:szCs w:val="20"/>
        </w:rPr>
        <w:t xml:space="preserve">. Пазарна капитализация / Брутен вътрешен </w:t>
      </w:r>
      <w:proofErr w:type="gramStart"/>
      <w:r w:rsidR="00B66212" w:rsidRPr="008E2822">
        <w:rPr>
          <w:b/>
          <w:i w:val="0"/>
          <w:szCs w:val="20"/>
        </w:rPr>
        <w:t>продукт</w:t>
      </w:r>
      <w:proofErr w:type="gramEnd"/>
    </w:p>
    <w:tbl>
      <w:tblPr>
        <w:tblW w:w="7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1464"/>
        <w:gridCol w:w="1385"/>
        <w:gridCol w:w="1372"/>
      </w:tblGrid>
      <w:tr w:rsidR="00BA3232" w:rsidRPr="008E2822" w:rsidTr="00BA3232">
        <w:trPr>
          <w:trHeight w:val="170"/>
          <w:jc w:val="center"/>
        </w:trPr>
        <w:tc>
          <w:tcPr>
            <w:tcW w:w="3450" w:type="dxa"/>
            <w:shd w:val="clear" w:color="auto" w:fill="4F81BD" w:themeFill="accent1"/>
            <w:noWrap/>
            <w:vAlign w:val="center"/>
            <w:hideMark/>
          </w:tcPr>
          <w:p w:rsidR="00BA3232" w:rsidRPr="008E2822" w:rsidRDefault="00BA3232" w:rsidP="00BA3232">
            <w:pPr>
              <w:widowControl/>
              <w:jc w:val="left"/>
              <w:rPr>
                <w:b/>
                <w:color w:val="FFFFFF" w:themeColor="background1"/>
                <w:sz w:val="20"/>
                <w:szCs w:val="20"/>
              </w:rPr>
            </w:pPr>
            <w:r w:rsidRPr="008E2822">
              <w:rPr>
                <w:b/>
                <w:color w:val="FFFFFF" w:themeColor="background1"/>
                <w:sz w:val="20"/>
                <w:szCs w:val="20"/>
              </w:rPr>
              <w:t> </w:t>
            </w:r>
          </w:p>
        </w:tc>
        <w:tc>
          <w:tcPr>
            <w:tcW w:w="1464" w:type="dxa"/>
            <w:shd w:val="clear" w:color="auto" w:fill="4F81BD" w:themeFill="accent1"/>
            <w:noWrap/>
            <w:vAlign w:val="bottom"/>
            <w:hideMark/>
          </w:tcPr>
          <w:p w:rsidR="00BA3232" w:rsidRPr="008E2822" w:rsidRDefault="00BA3232" w:rsidP="00BA3232">
            <w:pPr>
              <w:widowControl/>
              <w:jc w:val="right"/>
              <w:rPr>
                <w:b/>
                <w:color w:val="FFFFFF" w:themeColor="background1"/>
                <w:sz w:val="20"/>
                <w:szCs w:val="20"/>
              </w:rPr>
            </w:pPr>
            <w:r w:rsidRPr="008E2822">
              <w:rPr>
                <w:b/>
                <w:color w:val="FFFFFF" w:themeColor="background1"/>
                <w:sz w:val="20"/>
                <w:szCs w:val="20"/>
              </w:rPr>
              <w:t>30.06.2013</w:t>
            </w:r>
          </w:p>
        </w:tc>
        <w:tc>
          <w:tcPr>
            <w:tcW w:w="1385" w:type="dxa"/>
            <w:shd w:val="clear" w:color="auto" w:fill="4F81BD" w:themeFill="accent1"/>
            <w:vAlign w:val="center"/>
            <w:hideMark/>
          </w:tcPr>
          <w:p w:rsidR="00BA3232" w:rsidRPr="008E2822" w:rsidRDefault="00BA3232" w:rsidP="00BA3232">
            <w:pPr>
              <w:widowControl/>
              <w:jc w:val="right"/>
              <w:rPr>
                <w:b/>
                <w:bCs/>
                <w:color w:val="FFFFFF" w:themeColor="background1"/>
                <w:sz w:val="20"/>
                <w:szCs w:val="20"/>
              </w:rPr>
            </w:pPr>
            <w:r w:rsidRPr="008E2822">
              <w:rPr>
                <w:b/>
                <w:bCs/>
                <w:color w:val="FFFFFF" w:themeColor="background1"/>
                <w:sz w:val="20"/>
                <w:szCs w:val="20"/>
              </w:rPr>
              <w:t>30.06.2012</w:t>
            </w:r>
          </w:p>
        </w:tc>
        <w:tc>
          <w:tcPr>
            <w:tcW w:w="1372" w:type="dxa"/>
            <w:shd w:val="clear" w:color="auto" w:fill="4F81BD" w:themeFill="accent1"/>
            <w:vAlign w:val="center"/>
            <w:hideMark/>
          </w:tcPr>
          <w:p w:rsidR="00BA3232" w:rsidRPr="008E2822" w:rsidRDefault="00BA3232" w:rsidP="00BA3232">
            <w:pPr>
              <w:widowControl/>
              <w:jc w:val="right"/>
              <w:rPr>
                <w:b/>
                <w:bCs/>
                <w:color w:val="FFFFFF" w:themeColor="background1"/>
                <w:sz w:val="20"/>
                <w:szCs w:val="20"/>
              </w:rPr>
            </w:pPr>
            <w:r w:rsidRPr="008E2822">
              <w:rPr>
                <w:b/>
                <w:bCs/>
                <w:color w:val="FFFFFF" w:themeColor="background1"/>
                <w:sz w:val="20"/>
                <w:szCs w:val="20"/>
              </w:rPr>
              <w:t>30.06.2011</w:t>
            </w:r>
          </w:p>
        </w:tc>
      </w:tr>
      <w:tr w:rsidR="00BA3232" w:rsidRPr="008E2822" w:rsidTr="00BA3232">
        <w:trPr>
          <w:trHeight w:val="170"/>
          <w:jc w:val="center"/>
        </w:trPr>
        <w:tc>
          <w:tcPr>
            <w:tcW w:w="3450" w:type="dxa"/>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Пазарна капитализация (млн. лв.)</w:t>
            </w:r>
          </w:p>
        </w:tc>
        <w:tc>
          <w:tcPr>
            <w:tcW w:w="1464" w:type="dxa"/>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10 558.57</w:t>
            </w:r>
          </w:p>
        </w:tc>
        <w:tc>
          <w:tcPr>
            <w:tcW w:w="1385" w:type="dxa"/>
            <w:shd w:val="clear" w:color="auto" w:fill="auto"/>
            <w:vAlign w:val="center"/>
            <w:hideMark/>
          </w:tcPr>
          <w:p w:rsidR="00BA3232" w:rsidRPr="008E2822" w:rsidRDefault="00BA3232" w:rsidP="00BA3232">
            <w:pPr>
              <w:widowControl/>
              <w:jc w:val="right"/>
              <w:rPr>
                <w:color w:val="000000"/>
                <w:sz w:val="20"/>
                <w:szCs w:val="20"/>
              </w:rPr>
            </w:pPr>
            <w:r w:rsidRPr="008E2822">
              <w:rPr>
                <w:color w:val="000000"/>
                <w:sz w:val="20"/>
                <w:szCs w:val="20"/>
              </w:rPr>
              <w:t>9</w:t>
            </w:r>
            <w:r w:rsidRPr="008E2822">
              <w:rPr>
                <w:color w:val="000000"/>
                <w:sz w:val="20"/>
                <w:szCs w:val="20"/>
                <w:lang w:val="en-US"/>
              </w:rPr>
              <w:t xml:space="preserve"> </w:t>
            </w:r>
            <w:r w:rsidRPr="008E2822">
              <w:rPr>
                <w:color w:val="000000"/>
                <w:sz w:val="20"/>
                <w:szCs w:val="20"/>
              </w:rPr>
              <w:t>739,46</w:t>
            </w:r>
          </w:p>
        </w:tc>
        <w:tc>
          <w:tcPr>
            <w:tcW w:w="1372" w:type="dxa"/>
            <w:shd w:val="clear" w:color="auto" w:fill="auto"/>
            <w:vAlign w:val="center"/>
            <w:hideMark/>
          </w:tcPr>
          <w:p w:rsidR="00BA3232" w:rsidRPr="008E2822" w:rsidRDefault="00BA3232" w:rsidP="00BA3232">
            <w:pPr>
              <w:widowControl/>
              <w:jc w:val="right"/>
              <w:rPr>
                <w:color w:val="000000"/>
                <w:sz w:val="20"/>
                <w:szCs w:val="20"/>
              </w:rPr>
            </w:pPr>
            <w:r w:rsidRPr="008E2822">
              <w:rPr>
                <w:color w:val="000000"/>
                <w:sz w:val="20"/>
                <w:szCs w:val="20"/>
              </w:rPr>
              <w:t>11</w:t>
            </w:r>
            <w:r w:rsidRPr="008E2822">
              <w:rPr>
                <w:color w:val="000000"/>
                <w:sz w:val="20"/>
                <w:szCs w:val="20"/>
                <w:lang w:val="en-US"/>
              </w:rPr>
              <w:t xml:space="preserve"> </w:t>
            </w:r>
            <w:r w:rsidRPr="008E2822">
              <w:rPr>
                <w:color w:val="000000"/>
                <w:sz w:val="20"/>
                <w:szCs w:val="20"/>
              </w:rPr>
              <w:t>729,4</w:t>
            </w:r>
          </w:p>
        </w:tc>
      </w:tr>
      <w:tr w:rsidR="00BA3232" w:rsidRPr="008E2822" w:rsidTr="00BA3232">
        <w:trPr>
          <w:trHeight w:val="170"/>
          <w:jc w:val="center"/>
        </w:trPr>
        <w:tc>
          <w:tcPr>
            <w:tcW w:w="3450" w:type="dxa"/>
            <w:shd w:val="clear" w:color="auto" w:fill="auto"/>
            <w:noWrap/>
            <w:vAlign w:val="center"/>
            <w:hideMark/>
          </w:tcPr>
          <w:p w:rsidR="00BA3232" w:rsidRPr="008E2822" w:rsidRDefault="00BA3232" w:rsidP="00BA3232">
            <w:pPr>
              <w:widowControl/>
              <w:jc w:val="left"/>
              <w:rPr>
                <w:color w:val="000000"/>
                <w:sz w:val="20"/>
                <w:szCs w:val="20"/>
              </w:rPr>
            </w:pPr>
            <w:r w:rsidRPr="008E2822">
              <w:rPr>
                <w:color w:val="000000"/>
                <w:sz w:val="20"/>
                <w:szCs w:val="20"/>
              </w:rPr>
              <w:t>Пазарна капитализация/ БВП</w:t>
            </w:r>
          </w:p>
        </w:tc>
        <w:tc>
          <w:tcPr>
            <w:tcW w:w="1464" w:type="dxa"/>
            <w:shd w:val="clear" w:color="auto" w:fill="auto"/>
            <w:noWrap/>
            <w:vAlign w:val="bottom"/>
            <w:hideMark/>
          </w:tcPr>
          <w:p w:rsidR="00BA3232" w:rsidRPr="008E2822" w:rsidRDefault="00BA3232" w:rsidP="00BA3232">
            <w:pPr>
              <w:widowControl/>
              <w:jc w:val="right"/>
              <w:rPr>
                <w:color w:val="000000"/>
                <w:sz w:val="20"/>
                <w:szCs w:val="20"/>
              </w:rPr>
            </w:pPr>
            <w:r w:rsidRPr="008E2822">
              <w:rPr>
                <w:color w:val="000000"/>
                <w:sz w:val="20"/>
                <w:szCs w:val="20"/>
              </w:rPr>
              <w:t>13</w:t>
            </w:r>
            <w:r w:rsidRPr="008E2822">
              <w:rPr>
                <w:color w:val="000000"/>
                <w:sz w:val="20"/>
                <w:szCs w:val="20"/>
                <w:lang w:val="en-US"/>
              </w:rPr>
              <w:t>.</w:t>
            </w:r>
            <w:r w:rsidRPr="008E2822">
              <w:rPr>
                <w:color w:val="000000"/>
                <w:sz w:val="20"/>
                <w:szCs w:val="20"/>
              </w:rPr>
              <w:t>16%</w:t>
            </w:r>
          </w:p>
        </w:tc>
        <w:tc>
          <w:tcPr>
            <w:tcW w:w="1385" w:type="dxa"/>
            <w:shd w:val="clear" w:color="auto" w:fill="auto"/>
            <w:noWrap/>
            <w:vAlign w:val="center"/>
            <w:hideMark/>
          </w:tcPr>
          <w:p w:rsidR="00BA3232" w:rsidRPr="008E2822" w:rsidRDefault="00BA3232" w:rsidP="00BA3232">
            <w:pPr>
              <w:widowControl/>
              <w:jc w:val="right"/>
              <w:rPr>
                <w:color w:val="000000"/>
                <w:sz w:val="20"/>
                <w:szCs w:val="20"/>
              </w:rPr>
            </w:pPr>
            <w:r w:rsidRPr="008E2822">
              <w:rPr>
                <w:color w:val="000000"/>
                <w:sz w:val="20"/>
                <w:szCs w:val="20"/>
              </w:rPr>
              <w:t>12</w:t>
            </w:r>
            <w:r w:rsidRPr="008E2822">
              <w:rPr>
                <w:color w:val="000000"/>
                <w:sz w:val="20"/>
                <w:szCs w:val="20"/>
                <w:lang w:val="en-US"/>
              </w:rPr>
              <w:t>.</w:t>
            </w:r>
            <w:r w:rsidRPr="008E2822">
              <w:rPr>
                <w:color w:val="000000"/>
                <w:sz w:val="20"/>
                <w:szCs w:val="20"/>
              </w:rPr>
              <w:t>54%</w:t>
            </w:r>
          </w:p>
        </w:tc>
        <w:tc>
          <w:tcPr>
            <w:tcW w:w="1372" w:type="dxa"/>
            <w:shd w:val="clear" w:color="auto" w:fill="auto"/>
            <w:vAlign w:val="center"/>
            <w:hideMark/>
          </w:tcPr>
          <w:p w:rsidR="00BA3232" w:rsidRPr="008E2822" w:rsidRDefault="00BA3232" w:rsidP="00BA3232">
            <w:pPr>
              <w:widowControl/>
              <w:jc w:val="right"/>
              <w:rPr>
                <w:color w:val="000000"/>
                <w:sz w:val="20"/>
                <w:szCs w:val="20"/>
              </w:rPr>
            </w:pPr>
            <w:r w:rsidRPr="008E2822">
              <w:rPr>
                <w:color w:val="000000"/>
                <w:sz w:val="20"/>
                <w:szCs w:val="20"/>
              </w:rPr>
              <w:t>14</w:t>
            </w:r>
            <w:r w:rsidRPr="008E2822">
              <w:rPr>
                <w:color w:val="000000"/>
                <w:sz w:val="20"/>
                <w:szCs w:val="20"/>
                <w:lang w:val="en-US"/>
              </w:rPr>
              <w:t>.</w:t>
            </w:r>
            <w:r w:rsidRPr="008E2822">
              <w:rPr>
                <w:color w:val="000000"/>
                <w:sz w:val="20"/>
                <w:szCs w:val="20"/>
              </w:rPr>
              <w:t>73%</w:t>
            </w:r>
          </w:p>
        </w:tc>
      </w:tr>
    </w:tbl>
    <w:p w:rsidR="00B66212" w:rsidRPr="008E2822" w:rsidRDefault="00B66212" w:rsidP="00B66212">
      <w:pPr>
        <w:tabs>
          <w:tab w:val="left" w:pos="360"/>
        </w:tabs>
        <w:jc w:val="left"/>
        <w:rPr>
          <w:sz w:val="16"/>
          <w:szCs w:val="16"/>
        </w:rPr>
      </w:pPr>
      <w:r w:rsidRPr="008E2822">
        <w:rPr>
          <w:sz w:val="16"/>
          <w:szCs w:val="16"/>
        </w:rPr>
        <w:t>* БВП е по прогнозни данни на БНБ за 201</w:t>
      </w:r>
      <w:r w:rsidR="00F66E98" w:rsidRPr="008E2822">
        <w:rPr>
          <w:sz w:val="16"/>
          <w:szCs w:val="16"/>
        </w:rPr>
        <w:t>3</w:t>
      </w:r>
      <w:r w:rsidR="0044619C" w:rsidRPr="008E2822">
        <w:rPr>
          <w:sz w:val="16"/>
          <w:szCs w:val="16"/>
        </w:rPr>
        <w:t xml:space="preserve"> </w:t>
      </w:r>
      <w:r w:rsidRPr="008E2822">
        <w:rPr>
          <w:sz w:val="16"/>
          <w:szCs w:val="16"/>
        </w:rPr>
        <w:t>г.</w:t>
      </w:r>
    </w:p>
    <w:p w:rsidR="00CB13ED" w:rsidRPr="008E2822" w:rsidRDefault="00CB13ED" w:rsidP="00BA4CF8">
      <w:pPr>
        <w:pStyle w:val="Mainnumbers"/>
        <w:outlineLvl w:val="0"/>
      </w:pPr>
      <w:bookmarkStart w:id="21" w:name="_Toc283112105"/>
      <w:bookmarkStart w:id="22" w:name="_Toc362884492"/>
      <w:r w:rsidRPr="008E2822">
        <w:t>Индекси на БФБ-София</w:t>
      </w:r>
      <w:bookmarkEnd w:id="21"/>
      <w:bookmarkEnd w:id="22"/>
    </w:p>
    <w:p w:rsidR="005D4768" w:rsidRPr="008E2822" w:rsidRDefault="008E2822" w:rsidP="005F3DB9">
      <w:pPr>
        <w:rPr>
          <w:szCs w:val="22"/>
        </w:rPr>
      </w:pPr>
      <w:r w:rsidRPr="008E2822">
        <w:rPr>
          <w:szCs w:val="22"/>
        </w:rPr>
        <w:t xml:space="preserve">През второто тримесечие на 2013 </w:t>
      </w:r>
      <w:proofErr w:type="gramStart"/>
      <w:r w:rsidRPr="008E2822">
        <w:rPr>
          <w:szCs w:val="22"/>
        </w:rPr>
        <w:t>година,  всички</w:t>
      </w:r>
      <w:proofErr w:type="gramEnd"/>
      <w:r w:rsidRPr="008E2822">
        <w:rPr>
          <w:szCs w:val="22"/>
        </w:rPr>
        <w:t xml:space="preserve"> индекси на Борсата отбелязаха повишение на стойностите си спрямо началото на периода На графиките по-долу  се вижда отражението на политическата криза и оставката на правителството през февруари върху настроението на инвеститорите и съответно – върху стойностите на индексите, както и започналите през втората половина на юни протести срещу новоизбраното правителство и лекото отдръпване на инвеститорите и слабия спад на индексите в края на второто тримесечие. За сравнение, през второто тримесечие на 2012 година два от индексите на Борсата – SOFIX и BGTR30 – отбелязаха понижение, а другите два - BG40 и BGREIT - повишение</w:t>
      </w:r>
      <w:r w:rsidR="00F52FEF" w:rsidRPr="008E2822">
        <w:rPr>
          <w:szCs w:val="22"/>
        </w:rPr>
        <w:t>.</w:t>
      </w:r>
    </w:p>
    <w:p w:rsidR="00AE023A" w:rsidRPr="008E2822" w:rsidRDefault="00AE023A">
      <w:pPr>
        <w:widowControl/>
        <w:jc w:val="left"/>
      </w:pPr>
      <w:r w:rsidRPr="008E2822">
        <w:br w:type="page"/>
      </w:r>
    </w:p>
    <w:tbl>
      <w:tblPr>
        <w:tblStyle w:val="TableGrid"/>
        <w:tblW w:w="11375" w:type="dxa"/>
        <w:jc w:val="center"/>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5840"/>
        <w:gridCol w:w="5780"/>
      </w:tblGrid>
      <w:tr w:rsidR="0045382F" w:rsidRPr="008E2822" w:rsidTr="005B044C">
        <w:trPr>
          <w:jc w:val="center"/>
        </w:trPr>
        <w:tc>
          <w:tcPr>
            <w:tcW w:w="5595" w:type="dxa"/>
          </w:tcPr>
          <w:p w:rsidR="0045382F" w:rsidRPr="008E2822" w:rsidRDefault="002D176D" w:rsidP="0045382F">
            <w:pPr>
              <w:jc w:val="center"/>
              <w:rPr>
                <w:b/>
                <w:noProof/>
                <w:lang w:val="en-US"/>
              </w:rPr>
            </w:pPr>
            <w:r w:rsidRPr="008E2822">
              <w:rPr>
                <w:b/>
                <w:noProof/>
              </w:rPr>
              <w:lastRenderedPageBreak/>
              <w:t xml:space="preserve">SOFIX </w:t>
            </w:r>
            <w:r w:rsidR="00E92F18" w:rsidRPr="008E2822">
              <w:rPr>
                <w:b/>
                <w:noProof/>
              </w:rPr>
              <w:t>Q</w:t>
            </w:r>
            <w:r w:rsidRPr="008E2822">
              <w:rPr>
                <w:b/>
                <w:noProof/>
                <w:lang w:val="en-US"/>
              </w:rPr>
              <w:t>2</w:t>
            </w:r>
            <w:r w:rsidR="00E92F18" w:rsidRPr="008E2822">
              <w:rPr>
                <w:b/>
                <w:noProof/>
              </w:rPr>
              <w:t xml:space="preserve"> ‘1</w:t>
            </w:r>
            <w:r w:rsidR="00E92F18" w:rsidRPr="008E2822">
              <w:rPr>
                <w:b/>
                <w:noProof/>
                <w:lang w:val="en-US"/>
              </w:rPr>
              <w:t>3</w:t>
            </w:r>
          </w:p>
        </w:tc>
        <w:tc>
          <w:tcPr>
            <w:tcW w:w="5780" w:type="dxa"/>
          </w:tcPr>
          <w:p w:rsidR="0045382F" w:rsidRPr="008E2822" w:rsidRDefault="003D09BC" w:rsidP="0045382F">
            <w:pPr>
              <w:jc w:val="center"/>
              <w:rPr>
                <w:b/>
                <w:noProof/>
                <w:lang w:val="en-US"/>
              </w:rPr>
            </w:pPr>
            <w:r w:rsidRPr="008E2822">
              <w:rPr>
                <w:b/>
                <w:noProof/>
              </w:rPr>
              <w:t xml:space="preserve">BGTR30 </w:t>
            </w:r>
            <w:r w:rsidR="00E92F18" w:rsidRPr="008E2822">
              <w:rPr>
                <w:b/>
                <w:noProof/>
              </w:rPr>
              <w:t>Q</w:t>
            </w:r>
            <w:r w:rsidRPr="008E2822">
              <w:rPr>
                <w:b/>
                <w:noProof/>
              </w:rPr>
              <w:t>2</w:t>
            </w:r>
            <w:r w:rsidR="00E92F18" w:rsidRPr="008E2822">
              <w:rPr>
                <w:b/>
                <w:noProof/>
              </w:rPr>
              <w:t xml:space="preserve"> ‘1</w:t>
            </w:r>
            <w:r w:rsidR="00E92F18" w:rsidRPr="008E2822">
              <w:rPr>
                <w:b/>
                <w:noProof/>
                <w:lang w:val="en-US"/>
              </w:rPr>
              <w:t>3</w:t>
            </w:r>
          </w:p>
        </w:tc>
      </w:tr>
      <w:tr w:rsidR="0044619C" w:rsidRPr="008E2822" w:rsidTr="005B044C">
        <w:trPr>
          <w:jc w:val="center"/>
        </w:trPr>
        <w:tc>
          <w:tcPr>
            <w:tcW w:w="5595" w:type="dxa"/>
          </w:tcPr>
          <w:p w:rsidR="0044619C" w:rsidRPr="008E2822" w:rsidRDefault="002D176D" w:rsidP="00536EBA">
            <w:r w:rsidRPr="008E2822">
              <w:rPr>
                <w:noProof/>
              </w:rPr>
              <w:drawing>
                <wp:inline distT="0" distB="0" distL="0" distR="0" wp14:anchorId="23011DAD" wp14:editId="7CDC3B9A">
                  <wp:extent cx="3449053" cy="2743200"/>
                  <wp:effectExtent l="38100" t="38100" r="94615" b="952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5780" w:type="dxa"/>
          </w:tcPr>
          <w:p w:rsidR="0044619C" w:rsidRPr="008E2822" w:rsidRDefault="002D176D" w:rsidP="00536EBA">
            <w:r w:rsidRPr="008E2822">
              <w:rPr>
                <w:noProof/>
              </w:rPr>
              <w:drawing>
                <wp:inline distT="0" distB="0" distL="0" distR="0" wp14:anchorId="27E78745" wp14:editId="783D335C">
                  <wp:extent cx="3454400" cy="2743200"/>
                  <wp:effectExtent l="38100" t="38100" r="88900" b="952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45382F" w:rsidRPr="008E2822" w:rsidTr="005B044C">
        <w:trPr>
          <w:jc w:val="center"/>
        </w:trPr>
        <w:tc>
          <w:tcPr>
            <w:tcW w:w="5595" w:type="dxa"/>
          </w:tcPr>
          <w:p w:rsidR="0045382F" w:rsidRPr="008E2822" w:rsidRDefault="002D176D" w:rsidP="0045382F">
            <w:pPr>
              <w:jc w:val="center"/>
              <w:rPr>
                <w:b/>
                <w:noProof/>
                <w:szCs w:val="22"/>
                <w:lang w:val="en-US"/>
              </w:rPr>
            </w:pPr>
            <w:r w:rsidRPr="008E2822">
              <w:rPr>
                <w:b/>
                <w:noProof/>
                <w:szCs w:val="22"/>
              </w:rPr>
              <w:t xml:space="preserve">BG40 </w:t>
            </w:r>
            <w:r w:rsidR="00E92F18" w:rsidRPr="008E2822">
              <w:rPr>
                <w:b/>
                <w:noProof/>
                <w:szCs w:val="22"/>
              </w:rPr>
              <w:t>Q</w:t>
            </w:r>
            <w:r w:rsidRPr="008E2822">
              <w:rPr>
                <w:b/>
                <w:noProof/>
                <w:szCs w:val="22"/>
                <w:lang w:val="en-US"/>
              </w:rPr>
              <w:t>2</w:t>
            </w:r>
            <w:r w:rsidR="00E92F18" w:rsidRPr="008E2822">
              <w:rPr>
                <w:b/>
                <w:noProof/>
                <w:szCs w:val="22"/>
              </w:rPr>
              <w:t xml:space="preserve"> ‘1</w:t>
            </w:r>
            <w:r w:rsidR="00E92F18" w:rsidRPr="008E2822">
              <w:rPr>
                <w:b/>
                <w:noProof/>
                <w:szCs w:val="22"/>
                <w:lang w:val="en-US"/>
              </w:rPr>
              <w:t>3</w:t>
            </w:r>
          </w:p>
        </w:tc>
        <w:tc>
          <w:tcPr>
            <w:tcW w:w="5780" w:type="dxa"/>
          </w:tcPr>
          <w:p w:rsidR="0045382F" w:rsidRPr="008E2822" w:rsidRDefault="002D176D" w:rsidP="0045382F">
            <w:pPr>
              <w:jc w:val="center"/>
              <w:rPr>
                <w:b/>
                <w:noProof/>
                <w:szCs w:val="22"/>
                <w:lang w:val="en-US"/>
              </w:rPr>
            </w:pPr>
            <w:r w:rsidRPr="008E2822">
              <w:rPr>
                <w:b/>
                <w:noProof/>
                <w:szCs w:val="22"/>
              </w:rPr>
              <w:t xml:space="preserve">BGREIT </w:t>
            </w:r>
            <w:r w:rsidR="00E92F18" w:rsidRPr="008E2822">
              <w:rPr>
                <w:b/>
                <w:noProof/>
                <w:szCs w:val="22"/>
              </w:rPr>
              <w:t>Q</w:t>
            </w:r>
            <w:r w:rsidRPr="008E2822">
              <w:rPr>
                <w:b/>
                <w:noProof/>
                <w:szCs w:val="22"/>
                <w:lang w:val="en-US"/>
              </w:rPr>
              <w:t>2</w:t>
            </w:r>
            <w:r w:rsidR="00E92F18" w:rsidRPr="008E2822">
              <w:rPr>
                <w:b/>
                <w:noProof/>
                <w:szCs w:val="22"/>
              </w:rPr>
              <w:t xml:space="preserve"> ‘1</w:t>
            </w:r>
            <w:r w:rsidR="00E92F18" w:rsidRPr="008E2822">
              <w:rPr>
                <w:b/>
                <w:noProof/>
                <w:szCs w:val="22"/>
                <w:lang w:val="en-US"/>
              </w:rPr>
              <w:t>3</w:t>
            </w:r>
          </w:p>
        </w:tc>
      </w:tr>
      <w:tr w:rsidR="0044619C" w:rsidRPr="008E2822" w:rsidTr="005B044C">
        <w:trPr>
          <w:jc w:val="center"/>
        </w:trPr>
        <w:tc>
          <w:tcPr>
            <w:tcW w:w="5595" w:type="dxa"/>
          </w:tcPr>
          <w:p w:rsidR="0044619C" w:rsidRPr="008E2822" w:rsidRDefault="002D176D" w:rsidP="00536EBA">
            <w:r w:rsidRPr="008E2822">
              <w:rPr>
                <w:noProof/>
              </w:rPr>
              <w:drawing>
                <wp:inline distT="0" distB="0" distL="0" distR="0" wp14:anchorId="5EE853B2" wp14:editId="11DFB67F">
                  <wp:extent cx="3481137" cy="2481179"/>
                  <wp:effectExtent l="38100" t="38100" r="100330" b="9080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5780" w:type="dxa"/>
          </w:tcPr>
          <w:p w:rsidR="0044619C" w:rsidRPr="008E2822" w:rsidRDefault="002D176D" w:rsidP="00536EBA">
            <w:r w:rsidRPr="008E2822">
              <w:rPr>
                <w:noProof/>
              </w:rPr>
              <w:drawing>
                <wp:inline distT="0" distB="0" distL="0" distR="0" wp14:anchorId="4E68F004" wp14:editId="2ACCA70A">
                  <wp:extent cx="3299326" cy="2481179"/>
                  <wp:effectExtent l="38100" t="38100" r="92075" b="90805"/>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CB13ED" w:rsidRPr="008E2822" w:rsidRDefault="00CB13ED" w:rsidP="00BA4CF8">
      <w:pPr>
        <w:pStyle w:val="Mainnumbers"/>
        <w:outlineLvl w:val="0"/>
      </w:pPr>
      <w:bookmarkStart w:id="23" w:name="_Toc283112106"/>
      <w:bookmarkStart w:id="24" w:name="_Toc362884493"/>
      <w:r w:rsidRPr="008E2822">
        <w:t>Надзор</w:t>
      </w:r>
      <w:bookmarkEnd w:id="23"/>
      <w:bookmarkEnd w:id="24"/>
    </w:p>
    <w:p w:rsidR="002D6848" w:rsidRPr="008E2822" w:rsidRDefault="00591CA2" w:rsidP="00241B33">
      <w:pPr>
        <w:tabs>
          <w:tab w:val="left" w:pos="360"/>
        </w:tabs>
        <w:rPr>
          <w:szCs w:val="22"/>
        </w:rPr>
      </w:pPr>
      <w:r w:rsidRPr="008E2822">
        <w:rPr>
          <w:szCs w:val="22"/>
        </w:rPr>
        <w:t>През</w:t>
      </w:r>
      <w:r w:rsidR="00AE7E5A" w:rsidRPr="008E2822">
        <w:rPr>
          <w:szCs w:val="22"/>
        </w:rPr>
        <w:t xml:space="preserve"> </w:t>
      </w:r>
      <w:r w:rsidR="003D09BC" w:rsidRPr="008E2822">
        <w:rPr>
          <w:szCs w:val="22"/>
        </w:rPr>
        <w:t>второто</w:t>
      </w:r>
      <w:r w:rsidR="00AE7E5A" w:rsidRPr="008E2822">
        <w:rPr>
          <w:szCs w:val="22"/>
        </w:rPr>
        <w:t xml:space="preserve"> тримесечие на 2013</w:t>
      </w:r>
      <w:r w:rsidRPr="008E2822">
        <w:rPr>
          <w:szCs w:val="22"/>
        </w:rPr>
        <w:t xml:space="preserve">-а година отдел „Надзор“ осъществи </w:t>
      </w:r>
      <w:r w:rsidR="00AE7E5A" w:rsidRPr="008E2822">
        <w:rPr>
          <w:szCs w:val="22"/>
        </w:rPr>
        <w:t xml:space="preserve">множество проверки въз основа на данните от търговията, както и вътрешни сигнали. </w:t>
      </w:r>
      <w:r w:rsidR="003D09BC" w:rsidRPr="008E2822">
        <w:rPr>
          <w:szCs w:val="22"/>
        </w:rPr>
        <w:t xml:space="preserve">Изготвени бяха справки за целите на </w:t>
      </w:r>
      <w:proofErr w:type="spellStart"/>
      <w:r w:rsidR="003D09BC" w:rsidRPr="008E2822">
        <w:rPr>
          <w:szCs w:val="22"/>
        </w:rPr>
        <w:t>наздора</w:t>
      </w:r>
      <w:proofErr w:type="spellEnd"/>
      <w:r w:rsidR="003D09BC" w:rsidRPr="008E2822">
        <w:rPr>
          <w:szCs w:val="22"/>
        </w:rPr>
        <w:t xml:space="preserve"> от страна на КФН, наложени бяха санкции на членове на борсата за </w:t>
      </w:r>
      <w:r w:rsidRPr="008E2822">
        <w:rPr>
          <w:szCs w:val="22"/>
        </w:rPr>
        <w:t>забавянето на сделки с повече от един ден</w:t>
      </w:r>
      <w:r w:rsidR="00AE7E5A" w:rsidRPr="008E2822">
        <w:rPr>
          <w:szCs w:val="22"/>
        </w:rPr>
        <w:t>. Проверена бе</w:t>
      </w:r>
      <w:r w:rsidRPr="008E2822">
        <w:rPr>
          <w:szCs w:val="22"/>
        </w:rPr>
        <w:t xml:space="preserve"> дейността на инвестиционните посредници като </w:t>
      </w:r>
      <w:proofErr w:type="spellStart"/>
      <w:r w:rsidRPr="008E2822">
        <w:rPr>
          <w:szCs w:val="22"/>
        </w:rPr>
        <w:t>маркет-мейкъри</w:t>
      </w:r>
      <w:proofErr w:type="spellEnd"/>
      <w:r w:rsidRPr="008E2822">
        <w:rPr>
          <w:szCs w:val="22"/>
        </w:rPr>
        <w:t xml:space="preserve">. </w:t>
      </w:r>
      <w:r w:rsidR="003D09BC" w:rsidRPr="008E2822">
        <w:rPr>
          <w:szCs w:val="22"/>
        </w:rPr>
        <w:t xml:space="preserve">Предложени бяха промени в Част V – Правила за надзор на търговията, свързани с препоръки на </w:t>
      </w:r>
      <w:r w:rsidR="003D09BC" w:rsidRPr="008E2822">
        <w:rPr>
          <w:szCs w:val="22"/>
          <w:lang w:val="en-US"/>
        </w:rPr>
        <w:t xml:space="preserve">ESMA </w:t>
      </w:r>
      <w:r w:rsidR="003D09BC" w:rsidRPr="008E2822">
        <w:rPr>
          <w:szCs w:val="22"/>
        </w:rPr>
        <w:t>и подобряване на надзорните функции на Борсата</w:t>
      </w:r>
      <w:r w:rsidR="00F52FEF" w:rsidRPr="008E2822">
        <w:rPr>
          <w:szCs w:val="22"/>
        </w:rPr>
        <w:t>.</w:t>
      </w:r>
    </w:p>
    <w:p w:rsidR="001A0C3E" w:rsidRPr="008E2822" w:rsidRDefault="001A0C3E" w:rsidP="00BA4CF8">
      <w:pPr>
        <w:pStyle w:val="Mainnumbers"/>
        <w:outlineLvl w:val="0"/>
      </w:pPr>
      <w:bookmarkStart w:id="25" w:name="_Toc283112107"/>
      <w:bookmarkStart w:id="26" w:name="_Toc362884494"/>
      <w:r w:rsidRPr="008E2822">
        <w:t xml:space="preserve">Приватизация през </w:t>
      </w:r>
      <w:r w:rsidR="00415B34" w:rsidRPr="008E2822">
        <w:t>Борсата</w:t>
      </w:r>
      <w:bookmarkEnd w:id="25"/>
      <w:bookmarkEnd w:id="26"/>
    </w:p>
    <w:p w:rsidR="00BA4CF8" w:rsidRPr="008E2822" w:rsidRDefault="00AE7E5A" w:rsidP="004E42F0">
      <w:r w:rsidRPr="008E2822">
        <w:t xml:space="preserve">През </w:t>
      </w:r>
      <w:r w:rsidR="003D09BC" w:rsidRPr="008E2822">
        <w:t>второто</w:t>
      </w:r>
      <w:r w:rsidRPr="008E2822">
        <w:t xml:space="preserve"> тримесечие на 2013</w:t>
      </w:r>
      <w:r w:rsidR="004E42F0" w:rsidRPr="008E2822">
        <w:t xml:space="preserve"> година няма осъществена приватизация чрез „Българска фондова борса – София“ АД.</w:t>
      </w:r>
      <w:bookmarkStart w:id="27" w:name="_Toc283112110"/>
    </w:p>
    <w:p w:rsidR="00BA4CF8" w:rsidRPr="008E2822" w:rsidRDefault="00BA4CF8">
      <w:pPr>
        <w:widowControl/>
        <w:jc w:val="left"/>
      </w:pPr>
      <w:r w:rsidRPr="008E2822">
        <w:br w:type="page"/>
      </w:r>
    </w:p>
    <w:p w:rsidR="000F3D5D" w:rsidRPr="008E2822" w:rsidRDefault="00326727" w:rsidP="00BA4CF8">
      <w:pPr>
        <w:pStyle w:val="Mainnumbers"/>
        <w:outlineLvl w:val="0"/>
      </w:pPr>
      <w:bookmarkStart w:id="28" w:name="_Toc362884495"/>
      <w:r w:rsidRPr="008E2822">
        <w:lastRenderedPageBreak/>
        <w:t xml:space="preserve">Основни дейности и събития през </w:t>
      </w:r>
      <w:r w:rsidR="00122383" w:rsidRPr="008E2822">
        <w:t xml:space="preserve">първото тримесечие на </w:t>
      </w:r>
      <w:r w:rsidRPr="008E2822">
        <w:t>201</w:t>
      </w:r>
      <w:r w:rsidR="005F3DB9" w:rsidRPr="008E2822">
        <w:t>3</w:t>
      </w:r>
      <w:r w:rsidR="004E42F0" w:rsidRPr="008E2822">
        <w:t xml:space="preserve"> </w:t>
      </w:r>
      <w:r w:rsidRPr="008E2822">
        <w:t>г.</w:t>
      </w:r>
      <w:bookmarkEnd w:id="27"/>
      <w:bookmarkEnd w:id="28"/>
    </w:p>
    <w:p w:rsidR="00D93F9A" w:rsidRPr="008E2822" w:rsidRDefault="00154650" w:rsidP="00BA4CF8">
      <w:pPr>
        <w:pStyle w:val="SubNumbers"/>
        <w:outlineLvl w:val="1"/>
      </w:pPr>
      <w:bookmarkStart w:id="29" w:name="_Toc331158984"/>
      <w:bookmarkStart w:id="30" w:name="_Toc362884496"/>
      <w:r w:rsidRPr="008E2822">
        <w:rPr>
          <w:noProof/>
        </w:rPr>
        <w:t>Среща с представители на инвестиционната общност</w:t>
      </w:r>
      <w:bookmarkEnd w:id="29"/>
      <w:bookmarkEnd w:id="30"/>
    </w:p>
    <w:p w:rsidR="00154650" w:rsidRPr="008E2822" w:rsidRDefault="00154650" w:rsidP="00154650">
      <w:r w:rsidRPr="008E2822">
        <w:t xml:space="preserve">На </w:t>
      </w:r>
      <w:r w:rsidRPr="008E2822">
        <w:rPr>
          <w:lang w:val="en-US"/>
        </w:rPr>
        <w:t>7</w:t>
      </w:r>
      <w:r w:rsidRPr="008E2822">
        <w:t xml:space="preserve"> май 2013 г., вторник, в сградата на </w:t>
      </w:r>
      <w:proofErr w:type="gramStart"/>
      <w:r w:rsidRPr="008E2822">
        <w:t>Борсата ръководството на „Българска фондова борса</w:t>
      </w:r>
      <w:proofErr w:type="gramEnd"/>
      <w:r w:rsidRPr="008E2822">
        <w:t xml:space="preserve"> – София“ АД проведе ежегодна среща с представители на инвестиционната общност.</w:t>
      </w:r>
    </w:p>
    <w:p w:rsidR="00AE7E5A" w:rsidRPr="008E2822" w:rsidRDefault="00154650" w:rsidP="00154650">
      <w:pPr>
        <w:rPr>
          <w:lang w:val="en-US"/>
        </w:rPr>
      </w:pPr>
      <w:r w:rsidRPr="008E2822">
        <w:t>На срещата бяха представени в детайли финансовите отчети на дружеството за 2012 г. и първото тримесечие на 2013 г. и стратегическите насоки в развитието на БФБ-София.</w:t>
      </w:r>
    </w:p>
    <w:p w:rsidR="00AE7E5A" w:rsidRPr="008E2822" w:rsidRDefault="00154650" w:rsidP="00BA4CF8">
      <w:pPr>
        <w:pStyle w:val="SubNumbers"/>
        <w:outlineLvl w:val="1"/>
      </w:pPr>
      <w:bookmarkStart w:id="31" w:name="_Toc362884497"/>
      <w:r w:rsidRPr="008E2822">
        <w:t>Проведе се редовното годишно общо събрание на акционерите на „Българска фондова борса – София“ АД</w:t>
      </w:r>
      <w:bookmarkEnd w:id="31"/>
    </w:p>
    <w:p w:rsidR="00AE7E5A" w:rsidRPr="008E2822" w:rsidRDefault="008E2822" w:rsidP="00AE7E5A">
      <w:r w:rsidRPr="008E2822">
        <w:t xml:space="preserve">На 09.05.2013 година, се проведе Редовното годишно общо събрание на акционерите на “Българска фондова борса –София” АД. Всички материали, протоколът от общото събрание и взетите решения бяха разкрити по </w:t>
      </w:r>
      <w:proofErr w:type="spellStart"/>
      <w:r w:rsidRPr="008E2822">
        <w:t>законоустановения</w:t>
      </w:r>
      <w:proofErr w:type="spellEnd"/>
      <w:r w:rsidRPr="008E2822">
        <w:t xml:space="preserve"> ред в съответните срокове. Документите могат да бъдат открити в електронната медия www.x3news.com, както и на сайта на Борсата в раздела „За БФБ -&gt; За акционерите -&gt; Общо събрание на акционерите</w:t>
      </w:r>
      <w:r w:rsidR="00154650" w:rsidRPr="008E2822">
        <w:t>.</w:t>
      </w:r>
    </w:p>
    <w:p w:rsidR="00AE7E5A" w:rsidRPr="008E2822" w:rsidRDefault="00154650" w:rsidP="00BA4CF8">
      <w:pPr>
        <w:pStyle w:val="SubNumbers"/>
        <w:outlineLvl w:val="1"/>
      </w:pPr>
      <w:bookmarkStart w:id="32" w:name="_Toc362884498"/>
      <w:r w:rsidRPr="008E2822">
        <w:t>Решение за разпределяне на печалбата за 2012 година като дивидент</w:t>
      </w:r>
      <w:bookmarkEnd w:id="32"/>
    </w:p>
    <w:p w:rsidR="00154650" w:rsidRPr="008E2822" w:rsidRDefault="00154650" w:rsidP="00154650">
      <w:r w:rsidRPr="008E2822">
        <w:t>На проведено</w:t>
      </w:r>
      <w:r w:rsidR="008E2822" w:rsidRPr="008E2822">
        <w:t>то на 09.05.2013 г.</w:t>
      </w:r>
      <w:r w:rsidRPr="008E2822">
        <w:t xml:space="preserve"> Общо събрание на акционерите на „Българ</w:t>
      </w:r>
      <w:r w:rsidR="008E2822" w:rsidRPr="008E2822">
        <w:t>ска фондова борса – София“ АД</w:t>
      </w:r>
      <w:r w:rsidRPr="008E2822">
        <w:t>, бе взето решение, реализираната печалба на дружеството за 2012 г. след облагане с данъци в размер на 603 180 лв., да бъде разпределена както следва:</w:t>
      </w:r>
    </w:p>
    <w:p w:rsidR="00154650" w:rsidRPr="008E2822" w:rsidRDefault="00154650" w:rsidP="008B513B">
      <w:pPr>
        <w:pStyle w:val="ListParagraph"/>
        <w:numPr>
          <w:ilvl w:val="0"/>
          <w:numId w:val="5"/>
        </w:numPr>
      </w:pPr>
      <w:r w:rsidRPr="008E2822">
        <w:t>80 % от нетната печалба за 2012 г., в размер на 482 544 (четиристотин осемдесет и две хиляди петстотин четиридесет и четири) лева да се разпредели като дивидент на акционерите или по 0.0733 лв. на всяка акция;</w:t>
      </w:r>
    </w:p>
    <w:p w:rsidR="00154650" w:rsidRPr="008E2822" w:rsidRDefault="00154650" w:rsidP="008B513B">
      <w:pPr>
        <w:pStyle w:val="ListParagraph"/>
        <w:numPr>
          <w:ilvl w:val="0"/>
          <w:numId w:val="5"/>
        </w:numPr>
      </w:pPr>
      <w:r w:rsidRPr="008E2822">
        <w:t>Останалите 20 % се разпределят като допълнителни резерви.</w:t>
      </w:r>
    </w:p>
    <w:p w:rsidR="00154650" w:rsidRPr="008E2822" w:rsidRDefault="00154650" w:rsidP="00154650">
      <w:r w:rsidRPr="008E2822">
        <w:t>В съответствие с Правилника на Централен депозитар АД, дивидентът ще се изплаща както следва:</w:t>
      </w:r>
    </w:p>
    <w:p w:rsidR="00154650" w:rsidRPr="008E2822" w:rsidRDefault="00154650" w:rsidP="008B513B">
      <w:pPr>
        <w:pStyle w:val="ListParagraph"/>
        <w:numPr>
          <w:ilvl w:val="0"/>
          <w:numId w:val="6"/>
        </w:numPr>
      </w:pPr>
      <w:proofErr w:type="gramStart"/>
      <w:r w:rsidRPr="008E2822">
        <w:t>за</w:t>
      </w:r>
      <w:proofErr w:type="gramEnd"/>
      <w:r w:rsidRPr="008E2822">
        <w:t xml:space="preserve"> акционерите, имащи открити клиентски сметки при инвестиционни посредници – чрез съответния инвестиционен посредник;</w:t>
      </w:r>
    </w:p>
    <w:p w:rsidR="00154650" w:rsidRPr="008E2822" w:rsidRDefault="00154650" w:rsidP="008B513B">
      <w:pPr>
        <w:pStyle w:val="ListParagraph"/>
        <w:numPr>
          <w:ilvl w:val="0"/>
          <w:numId w:val="6"/>
        </w:numPr>
      </w:pPr>
      <w:proofErr w:type="gramStart"/>
      <w:r w:rsidRPr="008E2822">
        <w:t>за</w:t>
      </w:r>
      <w:proofErr w:type="gramEnd"/>
      <w:r w:rsidRPr="008E2822">
        <w:t xml:space="preserve"> акционерите без сметки при инвестиционни посредници – чрез клоновете на ”Банка ДСК” ЕАД в страната.</w:t>
      </w:r>
    </w:p>
    <w:p w:rsidR="00AE7E5A" w:rsidRPr="008E2822" w:rsidRDefault="00167897" w:rsidP="00154650">
      <w:r w:rsidRPr="008E2822">
        <w:t>Изплащането на дивидента ще започне на 5 август, 2013 година, понеделник и ще приключи на 5 ноември, 2013 година, вторник</w:t>
      </w:r>
      <w:r w:rsidR="005F3DB9" w:rsidRPr="008E2822">
        <w:t>.</w:t>
      </w:r>
    </w:p>
    <w:p w:rsidR="0036399A" w:rsidRPr="008E2822" w:rsidRDefault="00167897" w:rsidP="00154650">
      <w:pPr>
        <w:rPr>
          <w:lang w:val="en-US"/>
        </w:rPr>
      </w:pPr>
      <w:r w:rsidRPr="008E2822">
        <w:t xml:space="preserve">Цялата информация може да бъде намерена на сайта на Борсата в раздела „За БФБ -&gt; За акционерите -&gt; Общо събрание на акционерите, както и на специализираната медия </w:t>
      </w:r>
      <w:r w:rsidRPr="008E2822">
        <w:rPr>
          <w:lang w:val="en-US"/>
        </w:rPr>
        <w:t>X3news.</w:t>
      </w:r>
    </w:p>
    <w:p w:rsidR="0036399A" w:rsidRPr="008E2822" w:rsidRDefault="0036399A">
      <w:pPr>
        <w:widowControl/>
        <w:jc w:val="left"/>
        <w:rPr>
          <w:lang w:val="en-US"/>
        </w:rPr>
      </w:pPr>
      <w:r w:rsidRPr="008E2822">
        <w:rPr>
          <w:lang w:val="en-US"/>
        </w:rPr>
        <w:br w:type="page"/>
      </w:r>
    </w:p>
    <w:p w:rsidR="00203D44" w:rsidRPr="008E2822" w:rsidRDefault="00E823A0" w:rsidP="00BA4CF8">
      <w:pPr>
        <w:pStyle w:val="SubNumbers"/>
        <w:outlineLvl w:val="1"/>
      </w:pPr>
      <w:bookmarkStart w:id="33" w:name="_Toc362884499"/>
      <w:bookmarkStart w:id="34" w:name="_Toc283112115"/>
      <w:r w:rsidRPr="008E2822">
        <w:lastRenderedPageBreak/>
        <w:t>Търговия с</w:t>
      </w:r>
      <w:r w:rsidR="00A13C0D" w:rsidRPr="008E2822">
        <w:t>ъс собствени</w:t>
      </w:r>
      <w:r w:rsidRPr="008E2822">
        <w:t xml:space="preserve"> акции на Борсата</w:t>
      </w:r>
      <w:bookmarkEnd w:id="33"/>
    </w:p>
    <w:tbl>
      <w:tblPr>
        <w:tblStyle w:val="TableGrid"/>
        <w:tblpPr w:leftFromText="142" w:rightFromText="142" w:vertAnchor="text" w:horzAnchor="margin" w:tblpXSpec="right" w:tblpY="58"/>
        <w:tblOverlap w:val="never"/>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tblGrid>
      <w:tr w:rsidR="000372A6" w:rsidRPr="008E2822" w:rsidTr="00AB54A9">
        <w:trPr>
          <w:cantSplit/>
          <w:jc w:val="right"/>
        </w:trPr>
        <w:tc>
          <w:tcPr>
            <w:tcW w:w="6062" w:type="dxa"/>
          </w:tcPr>
          <w:p w:rsidR="000372A6" w:rsidRPr="008E2822" w:rsidRDefault="00A13C0D" w:rsidP="00A13C0D">
            <w:pPr>
              <w:jc w:val="center"/>
              <w:rPr>
                <w:rFonts w:cs="NewsGothicCyr"/>
                <w:b/>
                <w:sz w:val="20"/>
                <w:szCs w:val="20"/>
              </w:rPr>
            </w:pPr>
            <w:r w:rsidRPr="008E2822">
              <w:rPr>
                <w:rFonts w:cs="NewsGothicCyr"/>
                <w:b/>
                <w:sz w:val="20"/>
                <w:szCs w:val="20"/>
              </w:rPr>
              <w:t xml:space="preserve">Графика 7: </w:t>
            </w:r>
            <w:r w:rsidR="000372A6" w:rsidRPr="008E2822">
              <w:rPr>
                <w:rFonts w:cs="NewsGothicCyr"/>
                <w:b/>
                <w:sz w:val="20"/>
                <w:szCs w:val="20"/>
              </w:rPr>
              <w:t>Движение на цената и оборот с акциите на „БФБ-София“ АД през периода</w:t>
            </w:r>
            <w:r w:rsidR="000610AC" w:rsidRPr="008E2822">
              <w:rPr>
                <w:rFonts w:cs="NewsGothicCyr"/>
                <w:b/>
                <w:sz w:val="20"/>
                <w:szCs w:val="20"/>
              </w:rPr>
              <w:t xml:space="preserve"> и сравнение</w:t>
            </w:r>
          </w:p>
        </w:tc>
      </w:tr>
      <w:tr w:rsidR="000372A6" w:rsidRPr="008E2822" w:rsidTr="00385A8B">
        <w:tblPrEx>
          <w:tblCellMar>
            <w:left w:w="70" w:type="dxa"/>
            <w:right w:w="70" w:type="dxa"/>
          </w:tblCellMar>
        </w:tblPrEx>
        <w:trPr>
          <w:cantSplit/>
          <w:jc w:val="right"/>
        </w:trPr>
        <w:tc>
          <w:tcPr>
            <w:tcW w:w="6062" w:type="dxa"/>
          </w:tcPr>
          <w:p w:rsidR="000372A6" w:rsidRPr="008E2822" w:rsidRDefault="00385A8B" w:rsidP="00AB54A9">
            <w:pPr>
              <w:rPr>
                <w:rFonts w:cs="NewsGothicCyr"/>
                <w:sz w:val="20"/>
                <w:szCs w:val="20"/>
              </w:rPr>
            </w:pPr>
            <w:r w:rsidRPr="008E2822">
              <w:rPr>
                <w:noProof/>
              </w:rPr>
              <w:drawing>
                <wp:inline distT="0" distB="0" distL="0" distR="0" wp14:anchorId="0830FF75" wp14:editId="5AC4D04B">
                  <wp:extent cx="3625516" cy="2743200"/>
                  <wp:effectExtent l="38100" t="38100" r="89535" b="952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523ACE" w:rsidRPr="008E2822" w:rsidRDefault="00C53E9A" w:rsidP="00523ACE">
      <w:pPr>
        <w:rPr>
          <w:rFonts w:cs="NewsGothicCyr"/>
          <w:szCs w:val="22"/>
        </w:rPr>
      </w:pPr>
      <w:r w:rsidRPr="008E2822">
        <w:rPr>
          <w:rFonts w:cs="NewsGothicCyr"/>
          <w:szCs w:val="22"/>
        </w:rPr>
        <w:t>Търговията с</w:t>
      </w:r>
      <w:r w:rsidR="00A13C0D" w:rsidRPr="008E2822">
        <w:rPr>
          <w:rFonts w:cs="NewsGothicCyr"/>
          <w:szCs w:val="22"/>
        </w:rPr>
        <w:t xml:space="preserve">ъс </w:t>
      </w:r>
      <w:proofErr w:type="gramStart"/>
      <w:r w:rsidR="00A13C0D" w:rsidRPr="008E2822">
        <w:rPr>
          <w:rFonts w:cs="NewsGothicCyr"/>
          <w:szCs w:val="22"/>
        </w:rPr>
        <w:t>собствените</w:t>
      </w:r>
      <w:r w:rsidRPr="008E2822">
        <w:rPr>
          <w:rFonts w:cs="NewsGothicCyr"/>
          <w:szCs w:val="22"/>
        </w:rPr>
        <w:t xml:space="preserve"> акциите</w:t>
      </w:r>
      <w:proofErr w:type="gramEnd"/>
      <w:r w:rsidRPr="008E2822">
        <w:rPr>
          <w:rFonts w:cs="NewsGothicCyr"/>
          <w:szCs w:val="22"/>
        </w:rPr>
        <w:t xml:space="preserve"> на „БФБ-София“ АД </w:t>
      </w:r>
      <w:r w:rsidR="00A13C0D" w:rsidRPr="008E2822">
        <w:rPr>
          <w:rFonts w:cs="NewsGothicCyr"/>
          <w:szCs w:val="22"/>
        </w:rPr>
        <w:t xml:space="preserve">(борсов код </w:t>
      </w:r>
      <w:r w:rsidR="00A13C0D" w:rsidRPr="008E2822">
        <w:rPr>
          <w:rFonts w:cs="NewsGothicCyr"/>
          <w:szCs w:val="22"/>
          <w:lang w:val="en-US"/>
        </w:rPr>
        <w:t>BSO</w:t>
      </w:r>
      <w:r w:rsidR="00A13C0D" w:rsidRPr="008E2822">
        <w:rPr>
          <w:rFonts w:cs="NewsGothicCyr"/>
          <w:szCs w:val="22"/>
        </w:rPr>
        <w:t xml:space="preserve">) </w:t>
      </w:r>
      <w:r w:rsidRPr="008E2822">
        <w:rPr>
          <w:rFonts w:cs="NewsGothicCyr"/>
          <w:szCs w:val="22"/>
        </w:rPr>
        <w:t>през периода остана слаба</w:t>
      </w:r>
      <w:r w:rsidR="00523ACE" w:rsidRPr="008E2822">
        <w:rPr>
          <w:rFonts w:cs="NewsGothicCyr"/>
          <w:szCs w:val="22"/>
        </w:rPr>
        <w:t>, което напълно отразява тенденциите на пазара като цяло.</w:t>
      </w:r>
    </w:p>
    <w:p w:rsidR="00C53E9A" w:rsidRPr="008E2822" w:rsidRDefault="00C53E9A" w:rsidP="001E3279">
      <w:pPr>
        <w:rPr>
          <w:rFonts w:cs="NewsGothicCyr"/>
          <w:sz w:val="20"/>
          <w:szCs w:val="20"/>
        </w:rPr>
      </w:pPr>
      <w:r w:rsidRPr="008E2822">
        <w:rPr>
          <w:rFonts w:cs="NewsGothicCyr"/>
          <w:szCs w:val="22"/>
        </w:rPr>
        <w:t>Цената в началото и в края на тримесечието не се различаваше много, но в рамките на периода се промени от 2,</w:t>
      </w:r>
      <w:r w:rsidR="00DE0188" w:rsidRPr="008E2822">
        <w:rPr>
          <w:rFonts w:cs="NewsGothicCyr"/>
          <w:szCs w:val="22"/>
        </w:rPr>
        <w:t>7</w:t>
      </w:r>
      <w:r w:rsidR="00523ACE" w:rsidRPr="008E2822">
        <w:rPr>
          <w:rFonts w:cs="NewsGothicCyr"/>
          <w:szCs w:val="22"/>
        </w:rPr>
        <w:t>0</w:t>
      </w:r>
      <w:r w:rsidRPr="008E2822">
        <w:rPr>
          <w:rFonts w:cs="NewsGothicCyr"/>
          <w:szCs w:val="22"/>
        </w:rPr>
        <w:t xml:space="preserve"> до </w:t>
      </w:r>
      <w:r w:rsidR="00523ACE" w:rsidRPr="008E2822">
        <w:rPr>
          <w:rFonts w:cs="NewsGothicCyr"/>
          <w:szCs w:val="22"/>
        </w:rPr>
        <w:t>2,93</w:t>
      </w:r>
      <w:r w:rsidRPr="008E2822">
        <w:rPr>
          <w:rFonts w:cs="NewsGothicCyr"/>
          <w:szCs w:val="22"/>
        </w:rPr>
        <w:t xml:space="preserve"> лева за акция и отново се върна до ни</w:t>
      </w:r>
      <w:r w:rsidR="00FB01A5" w:rsidRPr="008E2822">
        <w:rPr>
          <w:rFonts w:cs="NewsGothicCyr"/>
          <w:szCs w:val="22"/>
        </w:rPr>
        <w:t>ва от 2,</w:t>
      </w:r>
      <w:r w:rsidR="00DE0188" w:rsidRPr="008E2822">
        <w:rPr>
          <w:rFonts w:cs="NewsGothicCyr"/>
          <w:szCs w:val="22"/>
        </w:rPr>
        <w:t>7</w:t>
      </w:r>
      <w:r w:rsidR="00523ACE" w:rsidRPr="008E2822">
        <w:rPr>
          <w:rFonts w:cs="NewsGothicCyr"/>
          <w:szCs w:val="22"/>
        </w:rPr>
        <w:t>6</w:t>
      </w:r>
      <w:r w:rsidR="00FB01A5" w:rsidRPr="008E2822">
        <w:rPr>
          <w:rFonts w:cs="NewsGothicCyr"/>
          <w:szCs w:val="22"/>
        </w:rPr>
        <w:t xml:space="preserve"> лева за акция. Общо</w:t>
      </w:r>
      <w:r w:rsidRPr="008E2822">
        <w:rPr>
          <w:rFonts w:cs="NewsGothicCyr"/>
          <w:szCs w:val="22"/>
        </w:rPr>
        <w:t xml:space="preserve"> бяха прехвърлени </w:t>
      </w:r>
      <w:r w:rsidR="00523ACE" w:rsidRPr="008E2822">
        <w:rPr>
          <w:rFonts w:cs="NewsGothicCyr"/>
          <w:szCs w:val="22"/>
        </w:rPr>
        <w:t xml:space="preserve">116 302 лота в 198 сделки, което в сравнение с прехвърлените през предходното първо тримесечие </w:t>
      </w:r>
      <w:r w:rsidR="00DE0188" w:rsidRPr="008E2822">
        <w:rPr>
          <w:rFonts w:cs="NewsGothicCyr"/>
          <w:szCs w:val="22"/>
        </w:rPr>
        <w:t xml:space="preserve">113 842 лота в </w:t>
      </w:r>
      <w:r w:rsidR="00E14C28" w:rsidRPr="008E2822">
        <w:rPr>
          <w:rFonts w:cs="NewsGothicCyr"/>
          <w:szCs w:val="22"/>
        </w:rPr>
        <w:t xml:space="preserve">165 </w:t>
      </w:r>
      <w:r w:rsidR="00DE0188" w:rsidRPr="008E2822">
        <w:rPr>
          <w:rFonts w:cs="NewsGothicCyr"/>
          <w:szCs w:val="22"/>
        </w:rPr>
        <w:t xml:space="preserve">сделки, </w:t>
      </w:r>
      <w:r w:rsidR="00523ACE" w:rsidRPr="008E2822">
        <w:rPr>
          <w:rFonts w:cs="NewsGothicCyr"/>
          <w:szCs w:val="22"/>
        </w:rPr>
        <w:t>представлява повишение в прехвърления обем от 2,16%. Т</w:t>
      </w:r>
      <w:r w:rsidR="00DE0188" w:rsidRPr="008E2822">
        <w:rPr>
          <w:rFonts w:cs="NewsGothicCyr"/>
          <w:szCs w:val="22"/>
        </w:rPr>
        <w:t xml:space="preserve">ърговия имаше в </w:t>
      </w:r>
      <w:r w:rsidR="00256730" w:rsidRPr="008E2822">
        <w:rPr>
          <w:rFonts w:cs="NewsGothicCyr"/>
          <w:szCs w:val="22"/>
        </w:rPr>
        <w:t xml:space="preserve">44 </w:t>
      </w:r>
      <w:r w:rsidR="00523ACE" w:rsidRPr="008E2822">
        <w:rPr>
          <w:rFonts w:cs="NewsGothicCyr"/>
          <w:szCs w:val="22"/>
        </w:rPr>
        <w:t xml:space="preserve">от общо 59 сесии за периода (през първото тримесечие – през </w:t>
      </w:r>
      <w:r w:rsidR="00DE0188" w:rsidRPr="008E2822">
        <w:rPr>
          <w:rFonts w:cs="NewsGothicCyr"/>
          <w:szCs w:val="22"/>
        </w:rPr>
        <w:t xml:space="preserve">37 от общо </w:t>
      </w:r>
      <w:r w:rsidR="00E14C28" w:rsidRPr="008E2822">
        <w:rPr>
          <w:rFonts w:cs="NewsGothicCyr"/>
          <w:szCs w:val="22"/>
        </w:rPr>
        <w:t>62 сесии за периода</w:t>
      </w:r>
      <w:r w:rsidR="00523ACE" w:rsidRPr="008E2822">
        <w:rPr>
          <w:rFonts w:cs="NewsGothicCyr"/>
          <w:szCs w:val="22"/>
        </w:rPr>
        <w:t>)</w:t>
      </w:r>
      <w:r w:rsidR="00E14C28" w:rsidRPr="008E2822">
        <w:rPr>
          <w:rFonts w:cs="NewsGothicCyr"/>
          <w:szCs w:val="22"/>
        </w:rPr>
        <w:t>.</w:t>
      </w:r>
      <w:r w:rsidR="00486D0C" w:rsidRPr="008E2822">
        <w:rPr>
          <w:rFonts w:cs="NewsGothicCyr"/>
          <w:szCs w:val="22"/>
        </w:rPr>
        <w:t xml:space="preserve"> </w:t>
      </w:r>
      <w:r w:rsidR="00291639" w:rsidRPr="008E2822">
        <w:rPr>
          <w:rFonts w:cs="NewsGothicCyr"/>
          <w:szCs w:val="22"/>
        </w:rPr>
        <w:t xml:space="preserve">Таблица 11А показва сравнение с показателите за същия период на 2012 година и отчита значително повишение особено в края на тримесечието. </w:t>
      </w:r>
      <w:r w:rsidR="00486D0C" w:rsidRPr="008E2822">
        <w:rPr>
          <w:rFonts w:cs="NewsGothicCyr"/>
          <w:szCs w:val="22"/>
        </w:rPr>
        <w:t>Както показва Таблица 11</w:t>
      </w:r>
      <w:r w:rsidR="00256730" w:rsidRPr="008E2822">
        <w:rPr>
          <w:rFonts w:cs="NewsGothicCyr"/>
          <w:szCs w:val="22"/>
        </w:rPr>
        <w:t>Б</w:t>
      </w:r>
      <w:r w:rsidR="00FB01A5" w:rsidRPr="008E2822">
        <w:rPr>
          <w:rFonts w:cs="NewsGothicCyr"/>
          <w:szCs w:val="22"/>
        </w:rPr>
        <w:t>, в ср</w:t>
      </w:r>
      <w:r w:rsidR="00E14C28" w:rsidRPr="008E2822">
        <w:rPr>
          <w:rFonts w:cs="NewsGothicCyr"/>
          <w:szCs w:val="22"/>
        </w:rPr>
        <w:t>авнение с</w:t>
      </w:r>
      <w:r w:rsidR="00256730" w:rsidRPr="008E2822">
        <w:rPr>
          <w:rFonts w:cs="NewsGothicCyr"/>
          <w:szCs w:val="22"/>
        </w:rPr>
        <w:t xml:space="preserve"> предходния</w:t>
      </w:r>
      <w:r w:rsidR="00E14C28" w:rsidRPr="008E2822">
        <w:rPr>
          <w:rFonts w:cs="NewsGothicCyr"/>
          <w:szCs w:val="22"/>
        </w:rPr>
        <w:t xml:space="preserve"> период на 201</w:t>
      </w:r>
      <w:r w:rsidR="00256730" w:rsidRPr="008E2822">
        <w:rPr>
          <w:rFonts w:cs="NewsGothicCyr"/>
          <w:szCs w:val="22"/>
        </w:rPr>
        <w:t>3</w:t>
      </w:r>
      <w:r w:rsidR="00FB01A5" w:rsidRPr="008E2822">
        <w:rPr>
          <w:rFonts w:cs="NewsGothicCyr"/>
          <w:szCs w:val="22"/>
        </w:rPr>
        <w:t xml:space="preserve"> година </w:t>
      </w:r>
      <w:r w:rsidR="000372A6" w:rsidRPr="008E2822">
        <w:rPr>
          <w:rFonts w:cs="NewsGothicCyr"/>
          <w:szCs w:val="22"/>
        </w:rPr>
        <w:t xml:space="preserve">оборотът, </w:t>
      </w:r>
      <w:proofErr w:type="gramStart"/>
      <w:r w:rsidR="000372A6" w:rsidRPr="008E2822">
        <w:rPr>
          <w:rFonts w:cs="NewsGothicCyr"/>
          <w:szCs w:val="22"/>
        </w:rPr>
        <w:t>броят прехвърлени лотове и броят</w:t>
      </w:r>
      <w:proofErr w:type="gramEnd"/>
      <w:r w:rsidR="000372A6" w:rsidRPr="008E2822">
        <w:rPr>
          <w:rFonts w:cs="NewsGothicCyr"/>
          <w:szCs w:val="22"/>
        </w:rPr>
        <w:t xml:space="preserve"> сделки </w:t>
      </w:r>
      <w:r w:rsidR="00291639" w:rsidRPr="008E2822">
        <w:rPr>
          <w:rFonts w:cs="NewsGothicCyr"/>
          <w:szCs w:val="22"/>
        </w:rPr>
        <w:t>нарастват силно през април, намаляват слабо през май и нарастват отново през юни.</w:t>
      </w:r>
    </w:p>
    <w:p w:rsidR="00C53E9A" w:rsidRPr="008E2822" w:rsidRDefault="00C53E9A" w:rsidP="001E3279">
      <w:pPr>
        <w:rPr>
          <w:rFonts w:cs="NewsGothicCyr"/>
          <w:sz w:val="20"/>
          <w:szCs w:val="20"/>
        </w:rPr>
      </w:pPr>
    </w:p>
    <w:p w:rsidR="00DE61EB" w:rsidRPr="008E2822" w:rsidRDefault="00E14C28" w:rsidP="001E3279">
      <w:pPr>
        <w:rPr>
          <w:rFonts w:cs="NewsGothicCyr"/>
          <w:b/>
          <w:sz w:val="20"/>
          <w:szCs w:val="20"/>
        </w:rPr>
      </w:pPr>
      <w:r w:rsidRPr="008E2822">
        <w:rPr>
          <w:rFonts w:cs="NewsGothicCyr"/>
          <w:b/>
          <w:sz w:val="20"/>
          <w:szCs w:val="20"/>
        </w:rPr>
        <w:t>Таблица 1</w:t>
      </w:r>
      <w:r w:rsidR="00486D0C" w:rsidRPr="008E2822">
        <w:rPr>
          <w:rFonts w:cs="NewsGothicCyr"/>
          <w:b/>
          <w:sz w:val="20"/>
          <w:szCs w:val="20"/>
        </w:rPr>
        <w:t>1</w:t>
      </w:r>
      <w:r w:rsidR="00256730" w:rsidRPr="008E2822">
        <w:rPr>
          <w:rFonts w:cs="NewsGothicCyr"/>
          <w:b/>
          <w:sz w:val="20"/>
          <w:szCs w:val="20"/>
        </w:rPr>
        <w:t>А</w:t>
      </w:r>
      <w:r w:rsidR="000372A6" w:rsidRPr="008E2822">
        <w:rPr>
          <w:rFonts w:cs="NewsGothicCyr"/>
          <w:b/>
          <w:sz w:val="20"/>
          <w:szCs w:val="20"/>
        </w:rPr>
        <w:t xml:space="preserve">: Обем, оборот и брой сделки с акции на „БФБ-София“ </w:t>
      </w:r>
      <w:r w:rsidRPr="008E2822">
        <w:rPr>
          <w:rFonts w:cs="NewsGothicCyr"/>
          <w:b/>
          <w:sz w:val="20"/>
          <w:szCs w:val="20"/>
        </w:rPr>
        <w:t>–</w:t>
      </w:r>
      <w:r w:rsidR="000372A6" w:rsidRPr="008E2822">
        <w:rPr>
          <w:rFonts w:cs="NewsGothicCyr"/>
          <w:b/>
          <w:sz w:val="20"/>
          <w:szCs w:val="20"/>
        </w:rPr>
        <w:t xml:space="preserve"> </w:t>
      </w:r>
      <w:proofErr w:type="gramStart"/>
      <w:r w:rsidR="000372A6" w:rsidRPr="008E2822">
        <w:rPr>
          <w:rFonts w:cs="NewsGothicCyr"/>
          <w:b/>
          <w:sz w:val="20"/>
          <w:szCs w:val="20"/>
        </w:rPr>
        <w:t>сравнение</w:t>
      </w:r>
      <w:proofErr w:type="gramEnd"/>
    </w:p>
    <w:tbl>
      <w:tblPr>
        <w:tblW w:w="10077" w:type="dxa"/>
        <w:jc w:val="center"/>
        <w:tblInd w:w="55" w:type="dxa"/>
        <w:tblCellMar>
          <w:left w:w="70" w:type="dxa"/>
          <w:right w:w="70" w:type="dxa"/>
        </w:tblCellMar>
        <w:tblLook w:val="04A0" w:firstRow="1" w:lastRow="0" w:firstColumn="1" w:lastColumn="0" w:noHBand="0" w:noVBand="1"/>
      </w:tblPr>
      <w:tblGrid>
        <w:gridCol w:w="1142"/>
        <w:gridCol w:w="884"/>
        <w:gridCol w:w="1930"/>
        <w:gridCol w:w="1595"/>
        <w:gridCol w:w="1773"/>
        <w:gridCol w:w="850"/>
        <w:gridCol w:w="1903"/>
      </w:tblGrid>
      <w:tr w:rsidR="00291639" w:rsidRPr="008E2822" w:rsidTr="00291639">
        <w:trPr>
          <w:trHeight w:val="170"/>
          <w:jc w:val="center"/>
        </w:trPr>
        <w:tc>
          <w:tcPr>
            <w:tcW w:w="1142"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Месец</w:t>
            </w:r>
          </w:p>
        </w:tc>
        <w:tc>
          <w:tcPr>
            <w:tcW w:w="884"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Обем</w:t>
            </w:r>
          </w:p>
        </w:tc>
        <w:tc>
          <w:tcPr>
            <w:tcW w:w="1930"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 xml:space="preserve">% </w:t>
            </w:r>
            <w:proofErr w:type="gramStart"/>
            <w:r w:rsidRPr="008E2822">
              <w:rPr>
                <w:rFonts w:cs="Calibri"/>
                <w:b/>
                <w:bCs/>
                <w:color w:val="FFFFFF"/>
                <w:sz w:val="20"/>
                <w:szCs w:val="20"/>
              </w:rPr>
              <w:t>пром</w:t>
            </w:r>
            <w:r w:rsidR="00291639" w:rsidRPr="008E2822">
              <w:rPr>
                <w:rFonts w:cs="Calibri"/>
                <w:b/>
                <w:bCs/>
                <w:color w:val="FFFFFF"/>
                <w:sz w:val="20"/>
                <w:szCs w:val="20"/>
              </w:rPr>
              <w:t>яна</w:t>
            </w:r>
            <w:proofErr w:type="gramEnd"/>
            <w:r w:rsidR="00291639" w:rsidRPr="008E2822">
              <w:rPr>
                <w:rFonts w:cs="Calibri"/>
                <w:b/>
                <w:bCs/>
                <w:color w:val="FFFFFF"/>
                <w:sz w:val="20"/>
                <w:szCs w:val="20"/>
              </w:rPr>
              <w:t xml:space="preserve"> спрямо съответния месец на </w:t>
            </w:r>
            <w:r w:rsidRPr="008E2822">
              <w:rPr>
                <w:rFonts w:cs="Calibri"/>
                <w:b/>
                <w:bCs/>
                <w:color w:val="FFFFFF"/>
                <w:sz w:val="20"/>
                <w:szCs w:val="20"/>
              </w:rPr>
              <w:t>Q</w:t>
            </w:r>
            <w:r w:rsidR="00291639" w:rsidRPr="008E2822">
              <w:rPr>
                <w:rFonts w:cs="Calibri"/>
                <w:b/>
                <w:bCs/>
                <w:color w:val="FFFFFF"/>
                <w:sz w:val="20"/>
                <w:szCs w:val="20"/>
              </w:rPr>
              <w:t>2</w:t>
            </w:r>
            <w:r w:rsidRPr="008E2822">
              <w:rPr>
                <w:rFonts w:cs="Calibri"/>
                <w:b/>
                <w:bCs/>
                <w:color w:val="FFFFFF"/>
                <w:sz w:val="20"/>
                <w:szCs w:val="20"/>
              </w:rPr>
              <w:t xml:space="preserve"> ‘12</w:t>
            </w:r>
          </w:p>
        </w:tc>
        <w:tc>
          <w:tcPr>
            <w:tcW w:w="1595"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Оборот</w:t>
            </w:r>
          </w:p>
        </w:tc>
        <w:tc>
          <w:tcPr>
            <w:tcW w:w="1773"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 xml:space="preserve">% </w:t>
            </w:r>
            <w:proofErr w:type="gramStart"/>
            <w:r w:rsidRPr="008E2822">
              <w:rPr>
                <w:rFonts w:cs="Calibri"/>
                <w:b/>
                <w:bCs/>
                <w:color w:val="FFFFFF"/>
                <w:sz w:val="20"/>
                <w:szCs w:val="20"/>
              </w:rPr>
              <w:t>пром</w:t>
            </w:r>
            <w:r w:rsidR="00291639" w:rsidRPr="008E2822">
              <w:rPr>
                <w:rFonts w:cs="Calibri"/>
                <w:b/>
                <w:bCs/>
                <w:color w:val="FFFFFF"/>
                <w:sz w:val="20"/>
                <w:szCs w:val="20"/>
              </w:rPr>
              <w:t>яна</w:t>
            </w:r>
            <w:proofErr w:type="gramEnd"/>
            <w:r w:rsidR="00291639" w:rsidRPr="008E2822">
              <w:rPr>
                <w:rFonts w:cs="Calibri"/>
                <w:b/>
                <w:bCs/>
                <w:color w:val="FFFFFF"/>
                <w:sz w:val="20"/>
                <w:szCs w:val="20"/>
              </w:rPr>
              <w:t xml:space="preserve"> спрямо съответния месец на </w:t>
            </w:r>
            <w:r w:rsidRPr="008E2822">
              <w:rPr>
                <w:rFonts w:cs="Calibri"/>
                <w:b/>
                <w:bCs/>
                <w:color w:val="FFFFFF"/>
                <w:sz w:val="20"/>
                <w:szCs w:val="20"/>
              </w:rPr>
              <w:t>Q</w:t>
            </w:r>
            <w:r w:rsidR="00291639" w:rsidRPr="008E2822">
              <w:rPr>
                <w:rFonts w:cs="Calibri"/>
                <w:b/>
                <w:bCs/>
                <w:color w:val="FFFFFF"/>
                <w:sz w:val="20"/>
                <w:szCs w:val="20"/>
              </w:rPr>
              <w:t>2</w:t>
            </w:r>
            <w:r w:rsidRPr="008E2822">
              <w:rPr>
                <w:rFonts w:cs="Calibri"/>
                <w:b/>
                <w:bCs/>
                <w:color w:val="FFFFFF"/>
                <w:sz w:val="20"/>
                <w:szCs w:val="20"/>
              </w:rPr>
              <w:t xml:space="preserve"> ‘12</w:t>
            </w:r>
          </w:p>
        </w:tc>
        <w:tc>
          <w:tcPr>
            <w:tcW w:w="850"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Сделки</w:t>
            </w:r>
          </w:p>
        </w:tc>
        <w:tc>
          <w:tcPr>
            <w:tcW w:w="1903"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 xml:space="preserve">% </w:t>
            </w:r>
            <w:proofErr w:type="gramStart"/>
            <w:r w:rsidRPr="008E2822">
              <w:rPr>
                <w:rFonts w:cs="Calibri"/>
                <w:b/>
                <w:bCs/>
                <w:color w:val="FFFFFF"/>
                <w:sz w:val="20"/>
                <w:szCs w:val="20"/>
              </w:rPr>
              <w:t>пром</w:t>
            </w:r>
            <w:r w:rsidR="00291639" w:rsidRPr="008E2822">
              <w:rPr>
                <w:rFonts w:cs="Calibri"/>
                <w:b/>
                <w:bCs/>
                <w:color w:val="FFFFFF"/>
                <w:sz w:val="20"/>
                <w:szCs w:val="20"/>
              </w:rPr>
              <w:t>яна</w:t>
            </w:r>
            <w:proofErr w:type="gramEnd"/>
            <w:r w:rsidR="00291639" w:rsidRPr="008E2822">
              <w:rPr>
                <w:rFonts w:cs="Calibri"/>
                <w:b/>
                <w:bCs/>
                <w:color w:val="FFFFFF"/>
                <w:sz w:val="20"/>
                <w:szCs w:val="20"/>
              </w:rPr>
              <w:t xml:space="preserve"> спрямо съответния месец на </w:t>
            </w:r>
            <w:r w:rsidRPr="008E2822">
              <w:rPr>
                <w:rFonts w:cs="Calibri"/>
                <w:b/>
                <w:bCs/>
                <w:color w:val="FFFFFF"/>
                <w:sz w:val="20"/>
                <w:szCs w:val="20"/>
              </w:rPr>
              <w:t>Q</w:t>
            </w:r>
            <w:r w:rsidR="00291639" w:rsidRPr="008E2822">
              <w:rPr>
                <w:rFonts w:cs="Calibri"/>
                <w:b/>
                <w:bCs/>
                <w:color w:val="FFFFFF"/>
                <w:sz w:val="20"/>
                <w:szCs w:val="20"/>
              </w:rPr>
              <w:t>2</w:t>
            </w:r>
            <w:r w:rsidRPr="008E2822">
              <w:rPr>
                <w:rFonts w:cs="Calibri"/>
                <w:b/>
                <w:bCs/>
                <w:color w:val="FFFFFF"/>
                <w:sz w:val="20"/>
                <w:szCs w:val="20"/>
              </w:rPr>
              <w:t xml:space="preserve"> ‘12</w:t>
            </w:r>
          </w:p>
        </w:tc>
      </w:tr>
      <w:tr w:rsidR="00291639" w:rsidRPr="008E2822" w:rsidTr="00291639">
        <w:trPr>
          <w:trHeight w:val="170"/>
          <w:jc w:val="center"/>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256730" w:rsidRPr="008E2822" w:rsidRDefault="00256730" w:rsidP="00256730">
            <w:pPr>
              <w:widowControl/>
              <w:jc w:val="right"/>
              <w:rPr>
                <w:color w:val="000000"/>
                <w:sz w:val="20"/>
                <w:szCs w:val="20"/>
              </w:rPr>
            </w:pPr>
            <w:r w:rsidRPr="008E2822">
              <w:rPr>
                <w:rFonts w:cs="Calibri"/>
                <w:color w:val="000000"/>
                <w:sz w:val="20"/>
                <w:szCs w:val="20"/>
              </w:rPr>
              <w:t>Април ‘12</w:t>
            </w:r>
          </w:p>
        </w:tc>
        <w:tc>
          <w:tcPr>
            <w:tcW w:w="884"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27 140</w:t>
            </w:r>
          </w:p>
        </w:tc>
        <w:tc>
          <w:tcPr>
            <w:tcW w:w="1930"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1595"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69 359.59 лв.</w:t>
            </w:r>
          </w:p>
        </w:tc>
        <w:tc>
          <w:tcPr>
            <w:tcW w:w="1773"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31</w:t>
            </w:r>
          </w:p>
        </w:tc>
        <w:tc>
          <w:tcPr>
            <w:tcW w:w="1903"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r>
      <w:tr w:rsidR="00291639" w:rsidRPr="008E2822" w:rsidTr="00291639">
        <w:trPr>
          <w:trHeight w:val="170"/>
          <w:jc w:val="center"/>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256730" w:rsidRPr="008E2822" w:rsidRDefault="00256730" w:rsidP="00256730">
            <w:pPr>
              <w:widowControl/>
              <w:jc w:val="right"/>
              <w:rPr>
                <w:color w:val="000000"/>
                <w:sz w:val="20"/>
                <w:szCs w:val="20"/>
              </w:rPr>
            </w:pPr>
            <w:r w:rsidRPr="008E2822">
              <w:rPr>
                <w:rFonts w:cs="Calibri"/>
                <w:color w:val="000000"/>
                <w:sz w:val="20"/>
                <w:szCs w:val="20"/>
              </w:rPr>
              <w:t>Май ‘12</w:t>
            </w:r>
          </w:p>
        </w:tc>
        <w:tc>
          <w:tcPr>
            <w:tcW w:w="884"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26 948</w:t>
            </w:r>
          </w:p>
        </w:tc>
        <w:tc>
          <w:tcPr>
            <w:tcW w:w="1930"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1595"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71 144.03 лв.</w:t>
            </w:r>
          </w:p>
        </w:tc>
        <w:tc>
          <w:tcPr>
            <w:tcW w:w="1773"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14</w:t>
            </w:r>
          </w:p>
        </w:tc>
        <w:tc>
          <w:tcPr>
            <w:tcW w:w="1903"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r>
      <w:tr w:rsidR="00291639" w:rsidRPr="008E2822" w:rsidTr="00291639">
        <w:trPr>
          <w:trHeight w:val="170"/>
          <w:jc w:val="center"/>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256730" w:rsidRPr="008E2822" w:rsidRDefault="00256730" w:rsidP="00256730">
            <w:pPr>
              <w:widowControl/>
              <w:jc w:val="right"/>
              <w:rPr>
                <w:color w:val="000000"/>
                <w:sz w:val="20"/>
                <w:szCs w:val="20"/>
              </w:rPr>
            </w:pPr>
            <w:r w:rsidRPr="008E2822">
              <w:rPr>
                <w:rFonts w:cs="Calibri"/>
                <w:color w:val="000000"/>
                <w:sz w:val="20"/>
                <w:szCs w:val="20"/>
              </w:rPr>
              <w:t>Юни ‘12</w:t>
            </w:r>
          </w:p>
        </w:tc>
        <w:tc>
          <w:tcPr>
            <w:tcW w:w="884"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12 080</w:t>
            </w:r>
          </w:p>
        </w:tc>
        <w:tc>
          <w:tcPr>
            <w:tcW w:w="1930"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1595"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30 499.82 лв.</w:t>
            </w:r>
          </w:p>
        </w:tc>
        <w:tc>
          <w:tcPr>
            <w:tcW w:w="1773"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10</w:t>
            </w:r>
          </w:p>
        </w:tc>
        <w:tc>
          <w:tcPr>
            <w:tcW w:w="1903"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r>
      <w:tr w:rsidR="00291639" w:rsidRPr="008E2822" w:rsidTr="00291639">
        <w:trPr>
          <w:trHeight w:val="170"/>
          <w:jc w:val="center"/>
        </w:trPr>
        <w:tc>
          <w:tcPr>
            <w:tcW w:w="1142" w:type="dxa"/>
            <w:tcBorders>
              <w:top w:val="nil"/>
              <w:left w:val="single" w:sz="4" w:space="0" w:color="auto"/>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b/>
                <w:bCs/>
                <w:color w:val="000000"/>
                <w:sz w:val="20"/>
                <w:szCs w:val="20"/>
              </w:rPr>
            </w:pPr>
            <w:r w:rsidRPr="008E2822">
              <w:rPr>
                <w:rFonts w:cs="Calibri"/>
                <w:b/>
                <w:bCs/>
                <w:color w:val="000000"/>
                <w:sz w:val="20"/>
                <w:szCs w:val="20"/>
              </w:rPr>
              <w:t>Април ‘13</w:t>
            </w:r>
          </w:p>
        </w:tc>
        <w:tc>
          <w:tcPr>
            <w:tcW w:w="884"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25 259</w:t>
            </w:r>
          </w:p>
        </w:tc>
        <w:tc>
          <w:tcPr>
            <w:tcW w:w="1930"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proofErr w:type="gramStart"/>
            <w:r w:rsidRPr="008E2822">
              <w:rPr>
                <w:color w:val="000000"/>
                <w:sz w:val="20"/>
                <w:szCs w:val="20"/>
              </w:rPr>
              <w:t>-6</w:t>
            </w:r>
            <w:proofErr w:type="gramEnd"/>
            <w:r w:rsidRPr="008E2822">
              <w:rPr>
                <w:color w:val="000000"/>
                <w:sz w:val="20"/>
                <w:szCs w:val="20"/>
              </w:rPr>
              <w:t>.93%</w:t>
            </w:r>
          </w:p>
        </w:tc>
        <w:tc>
          <w:tcPr>
            <w:tcW w:w="1595"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70 845.61 лв.</w:t>
            </w:r>
          </w:p>
        </w:tc>
        <w:tc>
          <w:tcPr>
            <w:tcW w:w="1773"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2.14%</w:t>
            </w:r>
          </w:p>
        </w:tc>
        <w:tc>
          <w:tcPr>
            <w:tcW w:w="850"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37</w:t>
            </w:r>
          </w:p>
        </w:tc>
        <w:tc>
          <w:tcPr>
            <w:tcW w:w="1903"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19.35%</w:t>
            </w:r>
          </w:p>
        </w:tc>
      </w:tr>
      <w:tr w:rsidR="00291639" w:rsidRPr="008E2822" w:rsidTr="00291639">
        <w:trPr>
          <w:trHeight w:val="170"/>
          <w:jc w:val="center"/>
        </w:trPr>
        <w:tc>
          <w:tcPr>
            <w:tcW w:w="1142" w:type="dxa"/>
            <w:tcBorders>
              <w:top w:val="nil"/>
              <w:left w:val="single" w:sz="4" w:space="0" w:color="auto"/>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b/>
                <w:bCs/>
                <w:color w:val="000000"/>
                <w:sz w:val="20"/>
                <w:szCs w:val="20"/>
              </w:rPr>
            </w:pPr>
            <w:r w:rsidRPr="008E2822">
              <w:rPr>
                <w:rFonts w:cs="Calibri"/>
                <w:b/>
                <w:bCs/>
                <w:color w:val="000000"/>
                <w:sz w:val="20"/>
                <w:szCs w:val="20"/>
              </w:rPr>
              <w:t>Май ‘13</w:t>
            </w:r>
          </w:p>
        </w:tc>
        <w:tc>
          <w:tcPr>
            <w:tcW w:w="884"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42 744</w:t>
            </w:r>
          </w:p>
        </w:tc>
        <w:tc>
          <w:tcPr>
            <w:tcW w:w="1930"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58.62%</w:t>
            </w:r>
          </w:p>
        </w:tc>
        <w:tc>
          <w:tcPr>
            <w:tcW w:w="1595"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117 155.80 лв.</w:t>
            </w:r>
          </w:p>
        </w:tc>
        <w:tc>
          <w:tcPr>
            <w:tcW w:w="1773"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64.67%</w:t>
            </w:r>
          </w:p>
        </w:tc>
        <w:tc>
          <w:tcPr>
            <w:tcW w:w="850"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55</w:t>
            </w:r>
          </w:p>
        </w:tc>
        <w:tc>
          <w:tcPr>
            <w:tcW w:w="1903"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292.86%</w:t>
            </w:r>
          </w:p>
        </w:tc>
      </w:tr>
      <w:tr w:rsidR="00291639" w:rsidRPr="008E2822" w:rsidTr="00291639">
        <w:trPr>
          <w:trHeight w:val="170"/>
          <w:jc w:val="center"/>
        </w:trPr>
        <w:tc>
          <w:tcPr>
            <w:tcW w:w="1142" w:type="dxa"/>
            <w:tcBorders>
              <w:top w:val="nil"/>
              <w:left w:val="single" w:sz="4" w:space="0" w:color="auto"/>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b/>
                <w:bCs/>
                <w:color w:val="000000"/>
                <w:sz w:val="20"/>
                <w:szCs w:val="20"/>
              </w:rPr>
            </w:pPr>
            <w:r w:rsidRPr="008E2822">
              <w:rPr>
                <w:rFonts w:cs="Calibri"/>
                <w:b/>
                <w:bCs/>
                <w:color w:val="000000"/>
                <w:sz w:val="20"/>
                <w:szCs w:val="20"/>
              </w:rPr>
              <w:t>Юни ‘13</w:t>
            </w:r>
          </w:p>
        </w:tc>
        <w:tc>
          <w:tcPr>
            <w:tcW w:w="884"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48 299</w:t>
            </w:r>
          </w:p>
        </w:tc>
        <w:tc>
          <w:tcPr>
            <w:tcW w:w="1930"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299.83%</w:t>
            </w:r>
          </w:p>
        </w:tc>
        <w:tc>
          <w:tcPr>
            <w:tcW w:w="1595"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131 783.62 лв.</w:t>
            </w:r>
          </w:p>
        </w:tc>
        <w:tc>
          <w:tcPr>
            <w:tcW w:w="1773"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332.08%</w:t>
            </w:r>
          </w:p>
        </w:tc>
        <w:tc>
          <w:tcPr>
            <w:tcW w:w="850"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106</w:t>
            </w:r>
          </w:p>
        </w:tc>
        <w:tc>
          <w:tcPr>
            <w:tcW w:w="1903"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960.00%</w:t>
            </w:r>
          </w:p>
        </w:tc>
      </w:tr>
    </w:tbl>
    <w:p w:rsidR="00291639" w:rsidRPr="008E2822" w:rsidRDefault="00291639" w:rsidP="001E3279">
      <w:pPr>
        <w:rPr>
          <w:rFonts w:cs="NewsGothicCyr"/>
          <w:b/>
          <w:sz w:val="20"/>
          <w:szCs w:val="20"/>
        </w:rPr>
      </w:pPr>
    </w:p>
    <w:p w:rsidR="00291639" w:rsidRPr="008E2822" w:rsidRDefault="00291639">
      <w:pPr>
        <w:widowControl/>
        <w:jc w:val="left"/>
        <w:rPr>
          <w:rFonts w:cs="NewsGothicCyr"/>
          <w:b/>
          <w:sz w:val="20"/>
          <w:szCs w:val="20"/>
        </w:rPr>
      </w:pPr>
      <w:r w:rsidRPr="008E2822">
        <w:rPr>
          <w:rFonts w:cs="NewsGothicCyr"/>
          <w:b/>
          <w:sz w:val="20"/>
          <w:szCs w:val="20"/>
        </w:rPr>
        <w:br w:type="page"/>
      </w:r>
    </w:p>
    <w:p w:rsidR="00256730" w:rsidRPr="008E2822" w:rsidRDefault="00256730" w:rsidP="00256730">
      <w:pPr>
        <w:rPr>
          <w:rFonts w:cs="NewsGothicCyr"/>
          <w:b/>
          <w:sz w:val="20"/>
          <w:szCs w:val="20"/>
        </w:rPr>
      </w:pPr>
      <w:r w:rsidRPr="008E2822">
        <w:rPr>
          <w:rFonts w:cs="NewsGothicCyr"/>
          <w:b/>
          <w:sz w:val="20"/>
          <w:szCs w:val="20"/>
        </w:rPr>
        <w:lastRenderedPageBreak/>
        <w:t xml:space="preserve">Таблица 11Б: Обем, оборот и брой сделки с акции на „БФБ-София“ – </w:t>
      </w:r>
      <w:proofErr w:type="gramStart"/>
      <w:r w:rsidRPr="008E2822">
        <w:rPr>
          <w:rFonts w:cs="NewsGothicCyr"/>
          <w:b/>
          <w:sz w:val="20"/>
          <w:szCs w:val="20"/>
        </w:rPr>
        <w:t>сравнение</w:t>
      </w:r>
      <w:proofErr w:type="gramEnd"/>
    </w:p>
    <w:tbl>
      <w:tblPr>
        <w:tblW w:w="10257" w:type="dxa"/>
        <w:jc w:val="center"/>
        <w:tblInd w:w="55" w:type="dxa"/>
        <w:tblCellMar>
          <w:left w:w="70" w:type="dxa"/>
          <w:right w:w="70" w:type="dxa"/>
        </w:tblCellMar>
        <w:tblLook w:val="04A0" w:firstRow="1" w:lastRow="0" w:firstColumn="1" w:lastColumn="0" w:noHBand="0" w:noVBand="1"/>
      </w:tblPr>
      <w:tblGrid>
        <w:gridCol w:w="1485"/>
        <w:gridCol w:w="831"/>
        <w:gridCol w:w="1778"/>
        <w:gridCol w:w="1619"/>
        <w:gridCol w:w="1818"/>
        <w:gridCol w:w="909"/>
        <w:gridCol w:w="1817"/>
      </w:tblGrid>
      <w:tr w:rsidR="00291639" w:rsidRPr="008E2822" w:rsidTr="00291639">
        <w:trPr>
          <w:trHeight w:val="170"/>
          <w:jc w:val="center"/>
        </w:trPr>
        <w:tc>
          <w:tcPr>
            <w:tcW w:w="1485"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Месец</w:t>
            </w:r>
          </w:p>
        </w:tc>
        <w:tc>
          <w:tcPr>
            <w:tcW w:w="831"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Обем</w:t>
            </w:r>
          </w:p>
        </w:tc>
        <w:tc>
          <w:tcPr>
            <w:tcW w:w="1778"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91639">
            <w:pPr>
              <w:widowControl/>
              <w:jc w:val="center"/>
              <w:rPr>
                <w:b/>
                <w:bCs/>
                <w:color w:val="FFFFFF"/>
                <w:sz w:val="20"/>
                <w:szCs w:val="20"/>
              </w:rPr>
            </w:pPr>
            <w:r w:rsidRPr="008E2822">
              <w:rPr>
                <w:rFonts w:cs="Calibri"/>
                <w:b/>
                <w:bCs/>
                <w:color w:val="FFFFFF"/>
                <w:sz w:val="20"/>
                <w:szCs w:val="20"/>
              </w:rPr>
              <w:t xml:space="preserve">% </w:t>
            </w:r>
            <w:proofErr w:type="gramStart"/>
            <w:r w:rsidRPr="008E2822">
              <w:rPr>
                <w:rFonts w:cs="Calibri"/>
                <w:b/>
                <w:bCs/>
                <w:color w:val="FFFFFF"/>
                <w:sz w:val="20"/>
                <w:szCs w:val="20"/>
              </w:rPr>
              <w:t>пром</w:t>
            </w:r>
            <w:r w:rsidR="00291639" w:rsidRPr="008E2822">
              <w:rPr>
                <w:rFonts w:cs="Calibri"/>
                <w:b/>
                <w:bCs/>
                <w:color w:val="FFFFFF"/>
                <w:sz w:val="20"/>
                <w:szCs w:val="20"/>
              </w:rPr>
              <w:t>яна</w:t>
            </w:r>
            <w:proofErr w:type="gramEnd"/>
            <w:r w:rsidR="00291639" w:rsidRPr="008E2822">
              <w:rPr>
                <w:rFonts w:cs="Calibri"/>
                <w:b/>
                <w:bCs/>
                <w:color w:val="FFFFFF"/>
                <w:sz w:val="20"/>
                <w:szCs w:val="20"/>
              </w:rPr>
              <w:t xml:space="preserve"> спрямо съответния месец на </w:t>
            </w:r>
            <w:r w:rsidRPr="008E2822">
              <w:rPr>
                <w:rFonts w:cs="Calibri"/>
                <w:b/>
                <w:bCs/>
                <w:color w:val="FFFFFF"/>
                <w:sz w:val="20"/>
                <w:szCs w:val="20"/>
              </w:rPr>
              <w:t>Q</w:t>
            </w:r>
            <w:r w:rsidR="00291639" w:rsidRPr="008E2822">
              <w:rPr>
                <w:rFonts w:cs="Calibri"/>
                <w:b/>
                <w:bCs/>
                <w:color w:val="FFFFFF"/>
                <w:sz w:val="20"/>
                <w:szCs w:val="20"/>
              </w:rPr>
              <w:t>1</w:t>
            </w:r>
            <w:r w:rsidRPr="008E2822">
              <w:rPr>
                <w:rFonts w:cs="Calibri"/>
                <w:b/>
                <w:bCs/>
                <w:color w:val="FFFFFF"/>
                <w:sz w:val="20"/>
                <w:szCs w:val="20"/>
              </w:rPr>
              <w:t xml:space="preserve"> ‘1</w:t>
            </w:r>
            <w:r w:rsidR="00291639" w:rsidRPr="008E2822">
              <w:rPr>
                <w:rFonts w:cs="Calibri"/>
                <w:b/>
                <w:bCs/>
                <w:color w:val="FFFFFF"/>
                <w:sz w:val="20"/>
                <w:szCs w:val="20"/>
              </w:rPr>
              <w:t>3</w:t>
            </w:r>
          </w:p>
        </w:tc>
        <w:tc>
          <w:tcPr>
            <w:tcW w:w="1619"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Оборот</w:t>
            </w:r>
          </w:p>
        </w:tc>
        <w:tc>
          <w:tcPr>
            <w:tcW w:w="1818"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91639">
            <w:pPr>
              <w:widowControl/>
              <w:jc w:val="center"/>
              <w:rPr>
                <w:b/>
                <w:bCs/>
                <w:color w:val="FFFFFF"/>
                <w:sz w:val="20"/>
                <w:szCs w:val="20"/>
              </w:rPr>
            </w:pPr>
            <w:r w:rsidRPr="008E2822">
              <w:rPr>
                <w:rFonts w:cs="Calibri"/>
                <w:b/>
                <w:bCs/>
                <w:color w:val="FFFFFF"/>
                <w:sz w:val="20"/>
                <w:szCs w:val="20"/>
              </w:rPr>
              <w:t xml:space="preserve">% </w:t>
            </w:r>
            <w:proofErr w:type="gramStart"/>
            <w:r w:rsidRPr="008E2822">
              <w:rPr>
                <w:rFonts w:cs="Calibri"/>
                <w:b/>
                <w:bCs/>
                <w:color w:val="FFFFFF"/>
                <w:sz w:val="20"/>
                <w:szCs w:val="20"/>
              </w:rPr>
              <w:t>пром</w:t>
            </w:r>
            <w:r w:rsidR="00291639" w:rsidRPr="008E2822">
              <w:rPr>
                <w:rFonts w:cs="Calibri"/>
                <w:b/>
                <w:bCs/>
                <w:color w:val="FFFFFF"/>
                <w:sz w:val="20"/>
                <w:szCs w:val="20"/>
              </w:rPr>
              <w:t>яна</w:t>
            </w:r>
            <w:proofErr w:type="gramEnd"/>
            <w:r w:rsidR="00291639" w:rsidRPr="008E2822">
              <w:rPr>
                <w:rFonts w:cs="Calibri"/>
                <w:b/>
                <w:bCs/>
                <w:color w:val="FFFFFF"/>
                <w:sz w:val="20"/>
                <w:szCs w:val="20"/>
              </w:rPr>
              <w:t xml:space="preserve"> спрямо съответния месец на </w:t>
            </w:r>
            <w:r w:rsidRPr="008E2822">
              <w:rPr>
                <w:rFonts w:cs="Calibri"/>
                <w:b/>
                <w:bCs/>
                <w:color w:val="FFFFFF"/>
                <w:sz w:val="20"/>
                <w:szCs w:val="20"/>
              </w:rPr>
              <w:t>Q</w:t>
            </w:r>
            <w:r w:rsidR="00291639" w:rsidRPr="008E2822">
              <w:rPr>
                <w:rFonts w:cs="Calibri"/>
                <w:b/>
                <w:bCs/>
                <w:color w:val="FFFFFF"/>
                <w:sz w:val="20"/>
                <w:szCs w:val="20"/>
              </w:rPr>
              <w:t>1</w:t>
            </w:r>
            <w:r w:rsidRPr="008E2822">
              <w:rPr>
                <w:rFonts w:cs="Calibri"/>
                <w:b/>
                <w:bCs/>
                <w:color w:val="FFFFFF"/>
                <w:sz w:val="20"/>
                <w:szCs w:val="20"/>
              </w:rPr>
              <w:t xml:space="preserve"> ‘1</w:t>
            </w:r>
            <w:r w:rsidR="00291639" w:rsidRPr="008E2822">
              <w:rPr>
                <w:rFonts w:cs="Calibri"/>
                <w:b/>
                <w:bCs/>
                <w:color w:val="FFFFFF"/>
                <w:sz w:val="20"/>
                <w:szCs w:val="20"/>
              </w:rPr>
              <w:t>3</w:t>
            </w:r>
          </w:p>
        </w:tc>
        <w:tc>
          <w:tcPr>
            <w:tcW w:w="909"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56730">
            <w:pPr>
              <w:widowControl/>
              <w:jc w:val="center"/>
              <w:rPr>
                <w:b/>
                <w:bCs/>
                <w:color w:val="FFFFFF"/>
                <w:sz w:val="20"/>
                <w:szCs w:val="20"/>
              </w:rPr>
            </w:pPr>
            <w:r w:rsidRPr="008E2822">
              <w:rPr>
                <w:rFonts w:cs="Calibri"/>
                <w:b/>
                <w:bCs/>
                <w:color w:val="FFFFFF"/>
                <w:sz w:val="20"/>
                <w:szCs w:val="20"/>
              </w:rPr>
              <w:t>Сделки</w:t>
            </w:r>
          </w:p>
        </w:tc>
        <w:tc>
          <w:tcPr>
            <w:tcW w:w="1817" w:type="dxa"/>
            <w:tcBorders>
              <w:top w:val="single" w:sz="4" w:space="0" w:color="auto"/>
              <w:left w:val="nil"/>
              <w:bottom w:val="single" w:sz="4" w:space="0" w:color="auto"/>
              <w:right w:val="single" w:sz="4" w:space="0" w:color="auto"/>
            </w:tcBorders>
            <w:shd w:val="clear" w:color="000000" w:fill="4F81BD"/>
            <w:noWrap/>
            <w:vAlign w:val="center"/>
            <w:hideMark/>
          </w:tcPr>
          <w:p w:rsidR="00256730" w:rsidRPr="008E2822" w:rsidRDefault="00256730" w:rsidP="00291639">
            <w:pPr>
              <w:widowControl/>
              <w:jc w:val="center"/>
              <w:rPr>
                <w:b/>
                <w:bCs/>
                <w:color w:val="FFFFFF"/>
                <w:sz w:val="20"/>
                <w:szCs w:val="20"/>
              </w:rPr>
            </w:pPr>
            <w:r w:rsidRPr="008E2822">
              <w:rPr>
                <w:rFonts w:cs="Calibri"/>
                <w:b/>
                <w:bCs/>
                <w:color w:val="FFFFFF"/>
                <w:sz w:val="20"/>
                <w:szCs w:val="20"/>
              </w:rPr>
              <w:t xml:space="preserve">% </w:t>
            </w:r>
            <w:proofErr w:type="gramStart"/>
            <w:r w:rsidRPr="008E2822">
              <w:rPr>
                <w:rFonts w:cs="Calibri"/>
                <w:b/>
                <w:bCs/>
                <w:color w:val="FFFFFF"/>
                <w:sz w:val="20"/>
                <w:szCs w:val="20"/>
              </w:rPr>
              <w:t>пром</w:t>
            </w:r>
            <w:r w:rsidR="00291639" w:rsidRPr="008E2822">
              <w:rPr>
                <w:rFonts w:cs="Calibri"/>
                <w:b/>
                <w:bCs/>
                <w:color w:val="FFFFFF"/>
                <w:sz w:val="20"/>
                <w:szCs w:val="20"/>
              </w:rPr>
              <w:t>яна</w:t>
            </w:r>
            <w:proofErr w:type="gramEnd"/>
            <w:r w:rsidR="00291639" w:rsidRPr="008E2822">
              <w:rPr>
                <w:rFonts w:cs="Calibri"/>
                <w:b/>
                <w:bCs/>
                <w:color w:val="FFFFFF"/>
                <w:sz w:val="20"/>
                <w:szCs w:val="20"/>
              </w:rPr>
              <w:t xml:space="preserve"> спрямо съответния месец на </w:t>
            </w:r>
            <w:r w:rsidRPr="008E2822">
              <w:rPr>
                <w:rFonts w:cs="Calibri"/>
                <w:b/>
                <w:bCs/>
                <w:color w:val="FFFFFF"/>
                <w:sz w:val="20"/>
                <w:szCs w:val="20"/>
              </w:rPr>
              <w:t>Q</w:t>
            </w:r>
            <w:r w:rsidR="00291639" w:rsidRPr="008E2822">
              <w:rPr>
                <w:rFonts w:cs="Calibri"/>
                <w:b/>
                <w:bCs/>
                <w:color w:val="FFFFFF"/>
                <w:sz w:val="20"/>
                <w:szCs w:val="20"/>
              </w:rPr>
              <w:t>1</w:t>
            </w:r>
            <w:r w:rsidRPr="008E2822">
              <w:rPr>
                <w:rFonts w:cs="Calibri"/>
                <w:b/>
                <w:bCs/>
                <w:color w:val="FFFFFF"/>
                <w:sz w:val="20"/>
                <w:szCs w:val="20"/>
              </w:rPr>
              <w:t xml:space="preserve"> ‘1</w:t>
            </w:r>
            <w:r w:rsidR="00291639" w:rsidRPr="008E2822">
              <w:rPr>
                <w:rFonts w:cs="Calibri"/>
                <w:b/>
                <w:bCs/>
                <w:color w:val="FFFFFF"/>
                <w:sz w:val="20"/>
                <w:szCs w:val="20"/>
              </w:rPr>
              <w:t>3</w:t>
            </w:r>
          </w:p>
        </w:tc>
      </w:tr>
      <w:tr w:rsidR="00291639" w:rsidRPr="008E2822" w:rsidTr="00291639">
        <w:trPr>
          <w:trHeight w:val="170"/>
          <w:jc w:val="center"/>
        </w:trPr>
        <w:tc>
          <w:tcPr>
            <w:tcW w:w="1485" w:type="dxa"/>
            <w:tcBorders>
              <w:top w:val="nil"/>
              <w:left w:val="single" w:sz="4" w:space="0" w:color="auto"/>
              <w:bottom w:val="single" w:sz="4" w:space="0" w:color="auto"/>
              <w:right w:val="single" w:sz="4" w:space="0" w:color="auto"/>
            </w:tcBorders>
            <w:shd w:val="clear" w:color="auto" w:fill="auto"/>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Януари '13</w:t>
            </w:r>
          </w:p>
        </w:tc>
        <w:tc>
          <w:tcPr>
            <w:tcW w:w="831"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7 674</w:t>
            </w:r>
          </w:p>
        </w:tc>
        <w:tc>
          <w:tcPr>
            <w:tcW w:w="1778"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1619"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22 372.44 лв.</w:t>
            </w:r>
          </w:p>
        </w:tc>
        <w:tc>
          <w:tcPr>
            <w:tcW w:w="1818"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30</w:t>
            </w:r>
          </w:p>
        </w:tc>
        <w:tc>
          <w:tcPr>
            <w:tcW w:w="1817"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r>
      <w:tr w:rsidR="00291639" w:rsidRPr="008E2822" w:rsidTr="00291639">
        <w:trPr>
          <w:trHeight w:val="170"/>
          <w:jc w:val="center"/>
        </w:trPr>
        <w:tc>
          <w:tcPr>
            <w:tcW w:w="1485" w:type="dxa"/>
            <w:tcBorders>
              <w:top w:val="nil"/>
              <w:left w:val="single" w:sz="4" w:space="0" w:color="auto"/>
              <w:bottom w:val="single" w:sz="4" w:space="0" w:color="auto"/>
              <w:right w:val="single" w:sz="4" w:space="0" w:color="auto"/>
            </w:tcBorders>
            <w:shd w:val="clear" w:color="auto" w:fill="auto"/>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Февруари '13</w:t>
            </w:r>
          </w:p>
        </w:tc>
        <w:tc>
          <w:tcPr>
            <w:tcW w:w="831"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72 042</w:t>
            </w:r>
          </w:p>
        </w:tc>
        <w:tc>
          <w:tcPr>
            <w:tcW w:w="1778"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1619"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218 440.41 лв.</w:t>
            </w:r>
          </w:p>
        </w:tc>
        <w:tc>
          <w:tcPr>
            <w:tcW w:w="1818"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84</w:t>
            </w:r>
          </w:p>
        </w:tc>
        <w:tc>
          <w:tcPr>
            <w:tcW w:w="1817"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r>
      <w:tr w:rsidR="00291639" w:rsidRPr="008E2822" w:rsidTr="00291639">
        <w:trPr>
          <w:trHeight w:val="170"/>
          <w:jc w:val="center"/>
        </w:trPr>
        <w:tc>
          <w:tcPr>
            <w:tcW w:w="1485" w:type="dxa"/>
            <w:tcBorders>
              <w:top w:val="nil"/>
              <w:left w:val="single" w:sz="4" w:space="0" w:color="auto"/>
              <w:bottom w:val="single" w:sz="4" w:space="0" w:color="auto"/>
              <w:right w:val="single" w:sz="4" w:space="0" w:color="auto"/>
            </w:tcBorders>
            <w:shd w:val="clear" w:color="auto" w:fill="auto"/>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Март '13</w:t>
            </w:r>
          </w:p>
        </w:tc>
        <w:tc>
          <w:tcPr>
            <w:tcW w:w="831"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34 126</w:t>
            </w:r>
          </w:p>
        </w:tc>
        <w:tc>
          <w:tcPr>
            <w:tcW w:w="1778"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1619"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92 607.53 лв.</w:t>
            </w:r>
          </w:p>
        </w:tc>
        <w:tc>
          <w:tcPr>
            <w:tcW w:w="1818"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51</w:t>
            </w:r>
          </w:p>
        </w:tc>
        <w:tc>
          <w:tcPr>
            <w:tcW w:w="1817" w:type="dxa"/>
            <w:tcBorders>
              <w:top w:val="nil"/>
              <w:left w:val="nil"/>
              <w:bottom w:val="single" w:sz="4" w:space="0" w:color="auto"/>
              <w:right w:val="single" w:sz="4" w:space="0" w:color="auto"/>
            </w:tcBorders>
            <w:shd w:val="clear" w:color="auto" w:fill="auto"/>
            <w:noWrap/>
            <w:vAlign w:val="bottom"/>
            <w:hideMark/>
          </w:tcPr>
          <w:p w:rsidR="00256730" w:rsidRPr="008E2822" w:rsidRDefault="00256730" w:rsidP="00256730">
            <w:pPr>
              <w:widowControl/>
              <w:jc w:val="left"/>
              <w:rPr>
                <w:color w:val="000000"/>
                <w:sz w:val="20"/>
                <w:szCs w:val="20"/>
              </w:rPr>
            </w:pPr>
            <w:r w:rsidRPr="008E2822">
              <w:rPr>
                <w:color w:val="000000"/>
                <w:sz w:val="20"/>
                <w:szCs w:val="20"/>
              </w:rPr>
              <w:t> </w:t>
            </w:r>
          </w:p>
        </w:tc>
      </w:tr>
      <w:tr w:rsidR="00291639" w:rsidRPr="008E2822" w:rsidTr="00291639">
        <w:trPr>
          <w:trHeight w:val="170"/>
          <w:jc w:val="center"/>
        </w:trPr>
        <w:tc>
          <w:tcPr>
            <w:tcW w:w="1485" w:type="dxa"/>
            <w:tcBorders>
              <w:top w:val="nil"/>
              <w:left w:val="single" w:sz="4" w:space="0" w:color="auto"/>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b/>
                <w:bCs/>
                <w:color w:val="000000"/>
                <w:sz w:val="20"/>
                <w:szCs w:val="20"/>
              </w:rPr>
            </w:pPr>
            <w:r w:rsidRPr="008E2822">
              <w:rPr>
                <w:rFonts w:cs="Calibri"/>
                <w:b/>
                <w:bCs/>
                <w:color w:val="000000"/>
                <w:sz w:val="20"/>
                <w:szCs w:val="20"/>
              </w:rPr>
              <w:t>Април ‘13</w:t>
            </w:r>
          </w:p>
        </w:tc>
        <w:tc>
          <w:tcPr>
            <w:tcW w:w="831"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25 259</w:t>
            </w:r>
          </w:p>
        </w:tc>
        <w:tc>
          <w:tcPr>
            <w:tcW w:w="1778"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229.15%</w:t>
            </w:r>
          </w:p>
        </w:tc>
        <w:tc>
          <w:tcPr>
            <w:tcW w:w="1619"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70 845.61 лв.</w:t>
            </w:r>
          </w:p>
        </w:tc>
        <w:tc>
          <w:tcPr>
            <w:tcW w:w="1818"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216.66%</w:t>
            </w:r>
          </w:p>
        </w:tc>
        <w:tc>
          <w:tcPr>
            <w:tcW w:w="909"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37</w:t>
            </w:r>
          </w:p>
        </w:tc>
        <w:tc>
          <w:tcPr>
            <w:tcW w:w="1817"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23.33%</w:t>
            </w:r>
          </w:p>
        </w:tc>
      </w:tr>
      <w:tr w:rsidR="00291639" w:rsidRPr="008E2822" w:rsidTr="00291639">
        <w:trPr>
          <w:trHeight w:val="170"/>
          <w:jc w:val="center"/>
        </w:trPr>
        <w:tc>
          <w:tcPr>
            <w:tcW w:w="1485" w:type="dxa"/>
            <w:tcBorders>
              <w:top w:val="nil"/>
              <w:left w:val="single" w:sz="4" w:space="0" w:color="auto"/>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b/>
                <w:bCs/>
                <w:color w:val="000000"/>
                <w:sz w:val="20"/>
                <w:szCs w:val="20"/>
              </w:rPr>
            </w:pPr>
            <w:r w:rsidRPr="008E2822">
              <w:rPr>
                <w:rFonts w:cs="Calibri"/>
                <w:b/>
                <w:bCs/>
                <w:color w:val="000000"/>
                <w:sz w:val="20"/>
                <w:szCs w:val="20"/>
              </w:rPr>
              <w:t>Май ‘13</w:t>
            </w:r>
          </w:p>
        </w:tc>
        <w:tc>
          <w:tcPr>
            <w:tcW w:w="831"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42 744</w:t>
            </w:r>
          </w:p>
        </w:tc>
        <w:tc>
          <w:tcPr>
            <w:tcW w:w="1778"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proofErr w:type="gramStart"/>
            <w:r w:rsidRPr="008E2822">
              <w:rPr>
                <w:color w:val="000000"/>
                <w:sz w:val="20"/>
                <w:szCs w:val="20"/>
              </w:rPr>
              <w:t>-40</w:t>
            </w:r>
            <w:proofErr w:type="gramEnd"/>
            <w:r w:rsidRPr="008E2822">
              <w:rPr>
                <w:color w:val="000000"/>
                <w:sz w:val="20"/>
                <w:szCs w:val="20"/>
              </w:rPr>
              <w:t>.67%</w:t>
            </w:r>
          </w:p>
        </w:tc>
        <w:tc>
          <w:tcPr>
            <w:tcW w:w="1619"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117 155.80 лв.</w:t>
            </w:r>
          </w:p>
        </w:tc>
        <w:tc>
          <w:tcPr>
            <w:tcW w:w="1818"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proofErr w:type="gramStart"/>
            <w:r w:rsidRPr="008E2822">
              <w:rPr>
                <w:color w:val="000000"/>
                <w:sz w:val="20"/>
                <w:szCs w:val="20"/>
              </w:rPr>
              <w:t>-46</w:t>
            </w:r>
            <w:proofErr w:type="gramEnd"/>
            <w:r w:rsidRPr="008E2822">
              <w:rPr>
                <w:color w:val="000000"/>
                <w:sz w:val="20"/>
                <w:szCs w:val="20"/>
              </w:rPr>
              <w:t>.37%</w:t>
            </w:r>
          </w:p>
        </w:tc>
        <w:tc>
          <w:tcPr>
            <w:tcW w:w="909"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55</w:t>
            </w:r>
          </w:p>
        </w:tc>
        <w:tc>
          <w:tcPr>
            <w:tcW w:w="1817"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proofErr w:type="gramStart"/>
            <w:r w:rsidRPr="008E2822">
              <w:rPr>
                <w:color w:val="000000"/>
                <w:sz w:val="20"/>
                <w:szCs w:val="20"/>
              </w:rPr>
              <w:t>-34</w:t>
            </w:r>
            <w:proofErr w:type="gramEnd"/>
            <w:r w:rsidRPr="008E2822">
              <w:rPr>
                <w:color w:val="000000"/>
                <w:sz w:val="20"/>
                <w:szCs w:val="20"/>
              </w:rPr>
              <w:t>.52%</w:t>
            </w:r>
          </w:p>
        </w:tc>
      </w:tr>
      <w:tr w:rsidR="00291639" w:rsidRPr="008E2822" w:rsidTr="00291639">
        <w:trPr>
          <w:trHeight w:val="170"/>
          <w:jc w:val="center"/>
        </w:trPr>
        <w:tc>
          <w:tcPr>
            <w:tcW w:w="1485" w:type="dxa"/>
            <w:tcBorders>
              <w:top w:val="nil"/>
              <w:left w:val="single" w:sz="4" w:space="0" w:color="auto"/>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b/>
                <w:bCs/>
                <w:color w:val="000000"/>
                <w:sz w:val="20"/>
                <w:szCs w:val="20"/>
              </w:rPr>
            </w:pPr>
            <w:r w:rsidRPr="008E2822">
              <w:rPr>
                <w:rFonts w:cs="Calibri"/>
                <w:b/>
                <w:bCs/>
                <w:color w:val="000000"/>
                <w:sz w:val="20"/>
                <w:szCs w:val="20"/>
              </w:rPr>
              <w:t>Юни ‘13</w:t>
            </w:r>
          </w:p>
        </w:tc>
        <w:tc>
          <w:tcPr>
            <w:tcW w:w="831"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48 299</w:t>
            </w:r>
          </w:p>
        </w:tc>
        <w:tc>
          <w:tcPr>
            <w:tcW w:w="1778"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41.53%</w:t>
            </w:r>
          </w:p>
        </w:tc>
        <w:tc>
          <w:tcPr>
            <w:tcW w:w="1619"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131 783.62 лв.</w:t>
            </w:r>
          </w:p>
        </w:tc>
        <w:tc>
          <w:tcPr>
            <w:tcW w:w="1818"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42.30%</w:t>
            </w:r>
          </w:p>
        </w:tc>
        <w:tc>
          <w:tcPr>
            <w:tcW w:w="909" w:type="dxa"/>
            <w:tcBorders>
              <w:top w:val="nil"/>
              <w:left w:val="nil"/>
              <w:bottom w:val="single" w:sz="4" w:space="0" w:color="auto"/>
              <w:right w:val="single" w:sz="4" w:space="0" w:color="auto"/>
            </w:tcBorders>
            <w:shd w:val="clear" w:color="000000" w:fill="F2F2F2"/>
            <w:noWrap/>
            <w:vAlign w:val="bottom"/>
            <w:hideMark/>
          </w:tcPr>
          <w:p w:rsidR="00256730" w:rsidRPr="008E2822" w:rsidRDefault="00256730" w:rsidP="00256730">
            <w:pPr>
              <w:widowControl/>
              <w:jc w:val="right"/>
              <w:rPr>
                <w:color w:val="000000"/>
                <w:sz w:val="20"/>
                <w:szCs w:val="20"/>
              </w:rPr>
            </w:pPr>
            <w:r w:rsidRPr="008E2822">
              <w:rPr>
                <w:color w:val="000000"/>
                <w:sz w:val="20"/>
                <w:szCs w:val="20"/>
              </w:rPr>
              <w:t>106</w:t>
            </w:r>
          </w:p>
        </w:tc>
        <w:tc>
          <w:tcPr>
            <w:tcW w:w="1817" w:type="dxa"/>
            <w:tcBorders>
              <w:top w:val="nil"/>
              <w:left w:val="nil"/>
              <w:bottom w:val="single" w:sz="4" w:space="0" w:color="auto"/>
              <w:right w:val="single" w:sz="4" w:space="0" w:color="auto"/>
            </w:tcBorders>
            <w:shd w:val="clear" w:color="000000" w:fill="F2F2F2"/>
            <w:noWrap/>
            <w:vAlign w:val="center"/>
            <w:hideMark/>
          </w:tcPr>
          <w:p w:rsidR="00256730" w:rsidRPr="008E2822" w:rsidRDefault="00256730" w:rsidP="00256730">
            <w:pPr>
              <w:widowControl/>
              <w:jc w:val="right"/>
              <w:rPr>
                <w:color w:val="000000"/>
                <w:sz w:val="20"/>
                <w:szCs w:val="20"/>
              </w:rPr>
            </w:pPr>
            <w:r w:rsidRPr="008E2822">
              <w:rPr>
                <w:color w:val="000000"/>
                <w:sz w:val="20"/>
                <w:szCs w:val="20"/>
              </w:rPr>
              <w:t>107.84%</w:t>
            </w:r>
          </w:p>
        </w:tc>
      </w:tr>
    </w:tbl>
    <w:p w:rsidR="00154650" w:rsidRPr="008E2822" w:rsidRDefault="00154650" w:rsidP="00BA4CF8">
      <w:pPr>
        <w:pStyle w:val="SubNumbers"/>
        <w:outlineLvl w:val="1"/>
      </w:pPr>
      <w:bookmarkStart w:id="35" w:name="_Toc362884500"/>
      <w:r w:rsidRPr="008E2822">
        <w:t xml:space="preserve">Индекс </w:t>
      </w:r>
      <w:r w:rsidRPr="008E2822">
        <w:rPr>
          <w:lang w:val="en-US"/>
        </w:rPr>
        <w:t>CGIX</w:t>
      </w:r>
      <w:bookmarkEnd w:id="35"/>
    </w:p>
    <w:p w:rsidR="00154650" w:rsidRPr="008E2822" w:rsidRDefault="00154650" w:rsidP="00154650">
      <w:pPr>
        <w:pStyle w:val="NoSpacing"/>
      </w:pPr>
      <w:r w:rsidRPr="008E2822">
        <w:t xml:space="preserve">На свое заседание, проведено на 05.06.2013 г. Националната Комисия по Корпоративно Управление (НККУ), съгласно реда, определен в Правилата за изчисляване на индекса CGIX взе решение за промяна в неговия състав за следващия едногодишен период. Както е известно, CGIX се състои от 7 емисии обикновени акции, отговарящи на изискванията и определени по реда на Правилата за изчисляването му. </w:t>
      </w:r>
    </w:p>
    <w:p w:rsidR="00154650" w:rsidRPr="008E2822" w:rsidRDefault="00154650" w:rsidP="00154650">
      <w:pPr>
        <w:pStyle w:val="NoSpacing"/>
      </w:pPr>
    </w:p>
    <w:p w:rsidR="00154650" w:rsidRPr="008E2822" w:rsidRDefault="00154650" w:rsidP="00154650">
      <w:pPr>
        <w:pStyle w:val="NoSpacing"/>
      </w:pPr>
      <w:r w:rsidRPr="008E2822">
        <w:t>Съгласно предоставените от БФБ-София АД данни, на минималните оперативни изисквания и критерии за ликвидност по т. 4 от Правилата (с изключение на изискването по б. „</w:t>
      </w:r>
      <w:r w:rsidR="00291639" w:rsidRPr="008E2822">
        <w:t>"ж”) отговарят следните емисии:</w:t>
      </w:r>
    </w:p>
    <w:p w:rsidR="00154650" w:rsidRPr="008E2822" w:rsidRDefault="00154650" w:rsidP="00154650">
      <w:pPr>
        <w:pStyle w:val="NoSpacing"/>
      </w:pPr>
      <w:r w:rsidRPr="008E2822">
        <w:t>1. Софарма АД-</w:t>
      </w:r>
      <w:proofErr w:type="gramStart"/>
      <w:r w:rsidRPr="008E2822">
        <w:t xml:space="preserve">София </w:t>
      </w:r>
      <w:proofErr w:type="gramEnd"/>
    </w:p>
    <w:p w:rsidR="00154650" w:rsidRPr="008E2822" w:rsidRDefault="00154650" w:rsidP="00154650">
      <w:pPr>
        <w:pStyle w:val="NoSpacing"/>
      </w:pPr>
      <w:r w:rsidRPr="008E2822">
        <w:t>2. Каолин АД-</w:t>
      </w:r>
      <w:proofErr w:type="gramStart"/>
      <w:r w:rsidRPr="008E2822">
        <w:t xml:space="preserve">Сеново </w:t>
      </w:r>
      <w:proofErr w:type="gramEnd"/>
    </w:p>
    <w:p w:rsidR="00154650" w:rsidRPr="008E2822" w:rsidRDefault="00154650" w:rsidP="00154650">
      <w:pPr>
        <w:pStyle w:val="NoSpacing"/>
      </w:pPr>
      <w:r w:rsidRPr="008E2822">
        <w:t>3. Монбат АД-</w:t>
      </w:r>
      <w:proofErr w:type="gramStart"/>
      <w:r w:rsidRPr="008E2822">
        <w:t xml:space="preserve">София </w:t>
      </w:r>
      <w:proofErr w:type="gramEnd"/>
    </w:p>
    <w:p w:rsidR="00154650" w:rsidRPr="008E2822" w:rsidRDefault="00154650" w:rsidP="00154650">
      <w:pPr>
        <w:pStyle w:val="NoSpacing"/>
      </w:pPr>
      <w:r w:rsidRPr="008E2822">
        <w:t xml:space="preserve">4. </w:t>
      </w:r>
      <w:proofErr w:type="spellStart"/>
      <w:r w:rsidRPr="008E2822">
        <w:t>Химимпорт</w:t>
      </w:r>
      <w:proofErr w:type="spellEnd"/>
      <w:r w:rsidRPr="008E2822">
        <w:t xml:space="preserve"> АД-</w:t>
      </w:r>
      <w:proofErr w:type="gramStart"/>
      <w:r w:rsidRPr="008E2822">
        <w:t xml:space="preserve">София </w:t>
      </w:r>
      <w:proofErr w:type="gramEnd"/>
    </w:p>
    <w:p w:rsidR="00154650" w:rsidRPr="008E2822" w:rsidRDefault="00154650" w:rsidP="00154650">
      <w:pPr>
        <w:pStyle w:val="NoSpacing"/>
      </w:pPr>
      <w:r w:rsidRPr="008E2822">
        <w:t xml:space="preserve">5. </w:t>
      </w:r>
      <w:proofErr w:type="spellStart"/>
      <w:r w:rsidRPr="008E2822">
        <w:t>Еврохолд</w:t>
      </w:r>
      <w:proofErr w:type="spellEnd"/>
      <w:r w:rsidRPr="008E2822">
        <w:t xml:space="preserve"> България АД-</w:t>
      </w:r>
      <w:proofErr w:type="gramStart"/>
      <w:r w:rsidRPr="008E2822">
        <w:t xml:space="preserve">София </w:t>
      </w:r>
      <w:proofErr w:type="gramEnd"/>
    </w:p>
    <w:p w:rsidR="00154650" w:rsidRPr="008E2822" w:rsidRDefault="00154650" w:rsidP="00154650">
      <w:pPr>
        <w:pStyle w:val="NoSpacing"/>
      </w:pPr>
      <w:r w:rsidRPr="008E2822">
        <w:t>6. ТБ Корпоративна търговска банка АД-</w:t>
      </w:r>
      <w:proofErr w:type="gramStart"/>
      <w:r w:rsidRPr="008E2822">
        <w:t xml:space="preserve">София </w:t>
      </w:r>
      <w:proofErr w:type="gramEnd"/>
    </w:p>
    <w:p w:rsidR="00154650" w:rsidRPr="008E2822" w:rsidRDefault="00154650" w:rsidP="00154650">
      <w:pPr>
        <w:pStyle w:val="NoSpacing"/>
      </w:pPr>
      <w:r w:rsidRPr="008E2822">
        <w:t xml:space="preserve">7. Стара планина </w:t>
      </w:r>
      <w:proofErr w:type="spellStart"/>
      <w:r w:rsidRPr="008E2822">
        <w:t>Холд</w:t>
      </w:r>
      <w:proofErr w:type="spellEnd"/>
      <w:r w:rsidRPr="008E2822">
        <w:t xml:space="preserve"> АД-</w:t>
      </w:r>
      <w:proofErr w:type="gramStart"/>
      <w:r w:rsidRPr="008E2822">
        <w:t xml:space="preserve">София </w:t>
      </w:r>
      <w:proofErr w:type="gramEnd"/>
    </w:p>
    <w:p w:rsidR="00154650" w:rsidRPr="008E2822" w:rsidRDefault="00154650" w:rsidP="00154650">
      <w:pPr>
        <w:pStyle w:val="NoSpacing"/>
      </w:pPr>
      <w:r w:rsidRPr="008E2822">
        <w:t>8. ТБ Първа Инвестиционна Банка АД-</w:t>
      </w:r>
      <w:proofErr w:type="gramStart"/>
      <w:r w:rsidRPr="008E2822">
        <w:t xml:space="preserve">София </w:t>
      </w:r>
      <w:proofErr w:type="gramEnd"/>
    </w:p>
    <w:p w:rsidR="00154650" w:rsidRPr="008E2822" w:rsidRDefault="00154650" w:rsidP="00154650">
      <w:pPr>
        <w:pStyle w:val="NoSpacing"/>
      </w:pPr>
      <w:r w:rsidRPr="008E2822">
        <w:t>9. ТБ Централна кооперативна банка АД-</w:t>
      </w:r>
      <w:proofErr w:type="gramStart"/>
      <w:r w:rsidRPr="008E2822">
        <w:t xml:space="preserve">София </w:t>
      </w:r>
      <w:proofErr w:type="gramEnd"/>
    </w:p>
    <w:p w:rsidR="00154650" w:rsidRPr="008E2822" w:rsidRDefault="00154650" w:rsidP="00154650">
      <w:pPr>
        <w:pStyle w:val="NoSpacing"/>
      </w:pPr>
      <w:r w:rsidRPr="008E2822">
        <w:t>10. Индустриален Холдинг България АД-</w:t>
      </w:r>
      <w:proofErr w:type="gramStart"/>
      <w:r w:rsidRPr="008E2822">
        <w:t xml:space="preserve">София </w:t>
      </w:r>
      <w:proofErr w:type="gramEnd"/>
    </w:p>
    <w:p w:rsidR="00154650" w:rsidRPr="008E2822" w:rsidRDefault="00154650" w:rsidP="00154650">
      <w:pPr>
        <w:pStyle w:val="NoSpacing"/>
      </w:pPr>
      <w:r w:rsidRPr="008E2822">
        <w:t>11. Енемона АД-</w:t>
      </w:r>
      <w:proofErr w:type="gramStart"/>
      <w:r w:rsidRPr="008E2822">
        <w:t xml:space="preserve">Козлодуй </w:t>
      </w:r>
      <w:proofErr w:type="gramEnd"/>
    </w:p>
    <w:p w:rsidR="00154650" w:rsidRPr="008E2822" w:rsidRDefault="00154650" w:rsidP="00154650">
      <w:pPr>
        <w:pStyle w:val="NoSpacing"/>
      </w:pPr>
      <w:r w:rsidRPr="008E2822">
        <w:t>12. Доверие Обединен Холдинг АД-</w:t>
      </w:r>
      <w:proofErr w:type="gramStart"/>
      <w:r w:rsidRPr="008E2822">
        <w:t xml:space="preserve">София </w:t>
      </w:r>
      <w:proofErr w:type="gramEnd"/>
    </w:p>
    <w:p w:rsidR="00154650" w:rsidRPr="008E2822" w:rsidRDefault="00154650" w:rsidP="00154650">
      <w:pPr>
        <w:pStyle w:val="NoSpacing"/>
      </w:pPr>
      <w:r w:rsidRPr="008E2822">
        <w:t xml:space="preserve">13. </w:t>
      </w:r>
      <w:proofErr w:type="spellStart"/>
      <w:r w:rsidRPr="008E2822">
        <w:t>Трейс</w:t>
      </w:r>
      <w:proofErr w:type="spellEnd"/>
      <w:r w:rsidRPr="008E2822">
        <w:t xml:space="preserve"> </w:t>
      </w:r>
      <w:proofErr w:type="spellStart"/>
      <w:r w:rsidRPr="008E2822">
        <w:t>груп</w:t>
      </w:r>
      <w:proofErr w:type="spellEnd"/>
      <w:r w:rsidRPr="008E2822">
        <w:t xml:space="preserve"> </w:t>
      </w:r>
      <w:proofErr w:type="spellStart"/>
      <w:r w:rsidRPr="008E2822">
        <w:t>холд</w:t>
      </w:r>
      <w:proofErr w:type="spellEnd"/>
      <w:r w:rsidRPr="008E2822">
        <w:t xml:space="preserve"> АД-</w:t>
      </w:r>
      <w:proofErr w:type="gramStart"/>
      <w:r w:rsidRPr="008E2822">
        <w:t xml:space="preserve">София </w:t>
      </w:r>
      <w:proofErr w:type="gramEnd"/>
    </w:p>
    <w:p w:rsidR="00154650" w:rsidRPr="008E2822" w:rsidRDefault="00154650" w:rsidP="00154650">
      <w:pPr>
        <w:pStyle w:val="NoSpacing"/>
      </w:pPr>
    </w:p>
    <w:p w:rsidR="00154650" w:rsidRPr="008E2822" w:rsidRDefault="00154650" w:rsidP="00154650">
      <w:pPr>
        <w:pStyle w:val="NoSpacing"/>
      </w:pPr>
      <w:r w:rsidRPr="008E2822">
        <w:t xml:space="preserve">Съгласно т. 25 от </w:t>
      </w:r>
      <w:proofErr w:type="spellStart"/>
      <w:r w:rsidRPr="008E2822">
        <w:t>Правилaта</w:t>
      </w:r>
      <w:proofErr w:type="spellEnd"/>
      <w:r w:rsidRPr="008E2822">
        <w:t>, промяната на базата на индекса се извършва въз основа на картата за самооценка, одобрена от НККУ и предоставяща в цифрово изражение обща оценка на нивото на корпоративно управление за дружество и съответствието на дейността му с принципите на Националния кодекс. Съгласно т. 26 от Правилата, картата се представя в срока по 100н, ал. 1 от ЗППЦК, т.е. до 90 дни от завърш</w:t>
      </w:r>
      <w:r w:rsidR="00291639" w:rsidRPr="008E2822">
        <w:t xml:space="preserve">ването на календарната година. </w:t>
      </w:r>
    </w:p>
    <w:p w:rsidR="00154650" w:rsidRPr="008E2822" w:rsidRDefault="00154650" w:rsidP="00154650">
      <w:pPr>
        <w:pStyle w:val="NoSpacing"/>
      </w:pPr>
      <w:r w:rsidRPr="008E2822">
        <w:t>От горепосочените дружества, в този срок попълнени карти за самооценка са предст</w:t>
      </w:r>
      <w:r w:rsidR="00291639" w:rsidRPr="008E2822">
        <w:t>авили:</w:t>
      </w:r>
    </w:p>
    <w:p w:rsidR="00154650" w:rsidRPr="008E2822" w:rsidRDefault="00154650" w:rsidP="00154650">
      <w:pPr>
        <w:pStyle w:val="NoSpacing"/>
      </w:pPr>
      <w:r w:rsidRPr="008E2822">
        <w:t>1. Софарма АД-</w:t>
      </w:r>
      <w:proofErr w:type="gramStart"/>
      <w:r w:rsidRPr="008E2822">
        <w:t xml:space="preserve">София </w:t>
      </w:r>
      <w:proofErr w:type="gramEnd"/>
    </w:p>
    <w:p w:rsidR="00154650" w:rsidRPr="008E2822" w:rsidRDefault="00154650" w:rsidP="00154650">
      <w:pPr>
        <w:pStyle w:val="NoSpacing"/>
      </w:pPr>
      <w:r w:rsidRPr="008E2822">
        <w:t>2. Каолин АД-</w:t>
      </w:r>
      <w:proofErr w:type="gramStart"/>
      <w:r w:rsidRPr="008E2822">
        <w:t xml:space="preserve">Сеново </w:t>
      </w:r>
      <w:proofErr w:type="gramEnd"/>
    </w:p>
    <w:p w:rsidR="00154650" w:rsidRPr="008E2822" w:rsidRDefault="00154650" w:rsidP="00154650">
      <w:pPr>
        <w:pStyle w:val="NoSpacing"/>
      </w:pPr>
      <w:r w:rsidRPr="008E2822">
        <w:t>3. Монбат АД-</w:t>
      </w:r>
      <w:proofErr w:type="gramStart"/>
      <w:r w:rsidRPr="008E2822">
        <w:t xml:space="preserve">София </w:t>
      </w:r>
      <w:proofErr w:type="gramEnd"/>
    </w:p>
    <w:p w:rsidR="00154650" w:rsidRPr="008E2822" w:rsidRDefault="00154650" w:rsidP="00154650">
      <w:pPr>
        <w:pStyle w:val="NoSpacing"/>
      </w:pPr>
      <w:r w:rsidRPr="008E2822">
        <w:t>4. ТБ Корпоративна търговска банка АД-</w:t>
      </w:r>
      <w:proofErr w:type="gramStart"/>
      <w:r w:rsidRPr="008E2822">
        <w:t xml:space="preserve">София </w:t>
      </w:r>
      <w:proofErr w:type="gramEnd"/>
    </w:p>
    <w:p w:rsidR="00154650" w:rsidRPr="008E2822" w:rsidRDefault="00154650" w:rsidP="00154650">
      <w:pPr>
        <w:pStyle w:val="NoSpacing"/>
      </w:pPr>
      <w:r w:rsidRPr="008E2822">
        <w:t xml:space="preserve">5. Стара планина </w:t>
      </w:r>
      <w:proofErr w:type="spellStart"/>
      <w:r w:rsidRPr="008E2822">
        <w:t>Холд</w:t>
      </w:r>
      <w:proofErr w:type="spellEnd"/>
      <w:r w:rsidRPr="008E2822">
        <w:t xml:space="preserve"> АД-</w:t>
      </w:r>
      <w:proofErr w:type="gramStart"/>
      <w:r w:rsidRPr="008E2822">
        <w:t xml:space="preserve">София </w:t>
      </w:r>
      <w:proofErr w:type="gramEnd"/>
    </w:p>
    <w:p w:rsidR="00154650" w:rsidRPr="008E2822" w:rsidRDefault="00154650" w:rsidP="00154650">
      <w:pPr>
        <w:pStyle w:val="NoSpacing"/>
      </w:pPr>
      <w:r w:rsidRPr="008E2822">
        <w:lastRenderedPageBreak/>
        <w:t>6. ТБ Първа Инвестиционна Банка АД-</w:t>
      </w:r>
      <w:proofErr w:type="gramStart"/>
      <w:r w:rsidRPr="008E2822">
        <w:t xml:space="preserve">София </w:t>
      </w:r>
      <w:proofErr w:type="gramEnd"/>
    </w:p>
    <w:p w:rsidR="00154650" w:rsidRPr="008E2822" w:rsidRDefault="00154650" w:rsidP="00154650">
      <w:pPr>
        <w:pStyle w:val="NoSpacing"/>
      </w:pPr>
      <w:r w:rsidRPr="008E2822">
        <w:t>7. ТБ Централна кооперативна банка АД-</w:t>
      </w:r>
      <w:proofErr w:type="gramStart"/>
      <w:r w:rsidRPr="008E2822">
        <w:t xml:space="preserve">София </w:t>
      </w:r>
      <w:proofErr w:type="gramEnd"/>
    </w:p>
    <w:p w:rsidR="00154650" w:rsidRPr="008E2822" w:rsidRDefault="00154650" w:rsidP="00154650">
      <w:pPr>
        <w:pStyle w:val="NoSpacing"/>
      </w:pPr>
      <w:r w:rsidRPr="008E2822">
        <w:t>8. Индустриален Холдинг България АД-</w:t>
      </w:r>
      <w:proofErr w:type="gramStart"/>
      <w:r w:rsidRPr="008E2822">
        <w:t xml:space="preserve">София </w:t>
      </w:r>
      <w:proofErr w:type="gramEnd"/>
    </w:p>
    <w:p w:rsidR="00154650" w:rsidRPr="008E2822" w:rsidRDefault="00154650" w:rsidP="00154650">
      <w:pPr>
        <w:pStyle w:val="NoSpacing"/>
      </w:pPr>
      <w:r w:rsidRPr="008E2822">
        <w:t>9. Енемона АД-</w:t>
      </w:r>
      <w:proofErr w:type="gramStart"/>
      <w:r w:rsidRPr="008E2822">
        <w:t xml:space="preserve">Козлодуй </w:t>
      </w:r>
      <w:proofErr w:type="gramEnd"/>
    </w:p>
    <w:p w:rsidR="00154650" w:rsidRPr="008E2822" w:rsidRDefault="00154650" w:rsidP="00154650">
      <w:pPr>
        <w:pStyle w:val="NoSpacing"/>
      </w:pPr>
      <w:r w:rsidRPr="008E2822">
        <w:t>10. Доверие Обединен Холдинг АД-</w:t>
      </w:r>
      <w:proofErr w:type="gramStart"/>
      <w:r w:rsidRPr="008E2822">
        <w:t xml:space="preserve">София </w:t>
      </w:r>
      <w:proofErr w:type="gramEnd"/>
    </w:p>
    <w:p w:rsidR="00154650" w:rsidRPr="008E2822" w:rsidRDefault="00291639" w:rsidP="00154650">
      <w:pPr>
        <w:pStyle w:val="NoSpacing"/>
      </w:pPr>
      <w:r w:rsidRPr="008E2822">
        <w:t xml:space="preserve">11. </w:t>
      </w:r>
      <w:proofErr w:type="spellStart"/>
      <w:r w:rsidRPr="008E2822">
        <w:t>Трейс</w:t>
      </w:r>
      <w:proofErr w:type="spellEnd"/>
      <w:r w:rsidRPr="008E2822">
        <w:t xml:space="preserve"> </w:t>
      </w:r>
      <w:proofErr w:type="spellStart"/>
      <w:r w:rsidRPr="008E2822">
        <w:t>груп</w:t>
      </w:r>
      <w:proofErr w:type="spellEnd"/>
      <w:r w:rsidRPr="008E2822">
        <w:t xml:space="preserve"> </w:t>
      </w:r>
      <w:proofErr w:type="spellStart"/>
      <w:r w:rsidRPr="008E2822">
        <w:t>холд</w:t>
      </w:r>
      <w:proofErr w:type="spellEnd"/>
      <w:r w:rsidRPr="008E2822">
        <w:t xml:space="preserve"> АД-</w:t>
      </w:r>
      <w:proofErr w:type="gramStart"/>
      <w:r w:rsidRPr="008E2822">
        <w:t xml:space="preserve">София </w:t>
      </w:r>
      <w:proofErr w:type="gramEnd"/>
    </w:p>
    <w:p w:rsidR="00154650" w:rsidRPr="008E2822" w:rsidRDefault="00154650" w:rsidP="00154650">
      <w:pPr>
        <w:pStyle w:val="NoSpacing"/>
      </w:pPr>
      <w:r w:rsidRPr="008E2822">
        <w:t>Всички останали компании или не са спазили срока за представяне, или до настоящия момент не са представили карта за самооценка, т.е. не отговарят на</w:t>
      </w:r>
      <w:r w:rsidR="00291639" w:rsidRPr="008E2822">
        <w:t xml:space="preserve"> изискването на т. 4, б. „"ж”.</w:t>
      </w:r>
    </w:p>
    <w:p w:rsidR="00154650" w:rsidRPr="008E2822" w:rsidRDefault="00154650" w:rsidP="00154650">
      <w:pPr>
        <w:pStyle w:val="NoSpacing"/>
      </w:pPr>
      <w:r w:rsidRPr="008E2822">
        <w:t xml:space="preserve">Във връзка с горното и след извършена преценка доколко резултатите от картата за самооценка съответстват с реалното прилагане на принципите на Националния кодекс от всяка от горните компании, отговарящи на всички изисквания на правилата, НККУ взе решение за следващия едногодишен период, считано от 24.06.2013 г., съставът на индекса да бъде както </w:t>
      </w:r>
      <w:proofErr w:type="gramStart"/>
      <w:r w:rsidRPr="008E2822">
        <w:t xml:space="preserve">следва: </w:t>
      </w:r>
      <w:proofErr w:type="gramEnd"/>
    </w:p>
    <w:p w:rsidR="00154650" w:rsidRPr="008E2822" w:rsidRDefault="00154650" w:rsidP="00154650">
      <w:pPr>
        <w:pStyle w:val="NoSpacing"/>
      </w:pPr>
      <w:r w:rsidRPr="008E2822">
        <w:t>1. Софарма АД-</w:t>
      </w:r>
      <w:proofErr w:type="gramStart"/>
      <w:r w:rsidRPr="008E2822">
        <w:t xml:space="preserve">София </w:t>
      </w:r>
      <w:proofErr w:type="gramEnd"/>
    </w:p>
    <w:p w:rsidR="00154650" w:rsidRPr="008E2822" w:rsidRDefault="00154650" w:rsidP="00154650">
      <w:pPr>
        <w:pStyle w:val="NoSpacing"/>
      </w:pPr>
      <w:r w:rsidRPr="008E2822">
        <w:t>2. Каолин АД-</w:t>
      </w:r>
      <w:proofErr w:type="gramStart"/>
      <w:r w:rsidRPr="008E2822">
        <w:t xml:space="preserve">Сеново </w:t>
      </w:r>
      <w:proofErr w:type="gramEnd"/>
    </w:p>
    <w:p w:rsidR="00154650" w:rsidRPr="008E2822" w:rsidRDefault="00154650" w:rsidP="00154650">
      <w:pPr>
        <w:pStyle w:val="NoSpacing"/>
      </w:pPr>
      <w:r w:rsidRPr="008E2822">
        <w:t>3. Монбат АД-</w:t>
      </w:r>
      <w:proofErr w:type="gramStart"/>
      <w:r w:rsidRPr="008E2822">
        <w:t xml:space="preserve">София </w:t>
      </w:r>
      <w:proofErr w:type="gramEnd"/>
    </w:p>
    <w:p w:rsidR="00154650" w:rsidRPr="008E2822" w:rsidRDefault="00154650" w:rsidP="00154650">
      <w:pPr>
        <w:pStyle w:val="NoSpacing"/>
      </w:pPr>
      <w:r w:rsidRPr="008E2822">
        <w:t xml:space="preserve">4. Стара планина </w:t>
      </w:r>
      <w:proofErr w:type="spellStart"/>
      <w:r w:rsidRPr="008E2822">
        <w:t>Холд</w:t>
      </w:r>
      <w:proofErr w:type="spellEnd"/>
      <w:r w:rsidRPr="008E2822">
        <w:t xml:space="preserve"> АД-</w:t>
      </w:r>
      <w:proofErr w:type="gramStart"/>
      <w:r w:rsidRPr="008E2822">
        <w:t xml:space="preserve">София </w:t>
      </w:r>
      <w:proofErr w:type="gramEnd"/>
    </w:p>
    <w:p w:rsidR="00154650" w:rsidRPr="008E2822" w:rsidRDefault="00154650" w:rsidP="00154650">
      <w:pPr>
        <w:pStyle w:val="NoSpacing"/>
      </w:pPr>
      <w:r w:rsidRPr="008E2822">
        <w:t>5. ТБ Първа Инвестиционна Банка АД-</w:t>
      </w:r>
      <w:proofErr w:type="gramStart"/>
      <w:r w:rsidRPr="008E2822">
        <w:t xml:space="preserve">София </w:t>
      </w:r>
      <w:proofErr w:type="gramEnd"/>
    </w:p>
    <w:p w:rsidR="00154650" w:rsidRPr="008E2822" w:rsidRDefault="00154650" w:rsidP="00154650">
      <w:pPr>
        <w:pStyle w:val="NoSpacing"/>
      </w:pPr>
      <w:r w:rsidRPr="008E2822">
        <w:t>6. Индустриален Холдинг България АД-</w:t>
      </w:r>
      <w:proofErr w:type="gramStart"/>
      <w:r w:rsidRPr="008E2822">
        <w:t xml:space="preserve">София </w:t>
      </w:r>
      <w:proofErr w:type="gramEnd"/>
    </w:p>
    <w:p w:rsidR="00154650" w:rsidRPr="008E2822" w:rsidRDefault="00154650" w:rsidP="00154650">
      <w:pPr>
        <w:pStyle w:val="NoSpacing"/>
      </w:pPr>
      <w:r w:rsidRPr="008E2822">
        <w:t>7. Доверие Обединен Холдинг АД-</w:t>
      </w:r>
      <w:proofErr w:type="gramStart"/>
      <w:r w:rsidRPr="008E2822">
        <w:t xml:space="preserve">София </w:t>
      </w:r>
      <w:proofErr w:type="gramEnd"/>
    </w:p>
    <w:p w:rsidR="008E2822" w:rsidRPr="008E2822" w:rsidRDefault="008E2822" w:rsidP="008E2822">
      <w:pPr>
        <w:pStyle w:val="NoSpacing"/>
        <w:rPr>
          <w:lang w:val="en-US"/>
        </w:rPr>
      </w:pPr>
    </w:p>
    <w:p w:rsidR="008E2822" w:rsidRPr="008E2822" w:rsidRDefault="008E2822" w:rsidP="008E2822">
      <w:pPr>
        <w:pStyle w:val="NoSpacing"/>
      </w:pPr>
      <w:r w:rsidRPr="008E2822">
        <w:rPr>
          <w:noProof/>
        </w:rPr>
        <w:drawing>
          <wp:anchor distT="0" distB="0" distL="114300" distR="114300" simplePos="0" relativeHeight="251659264" behindDoc="0" locked="0" layoutInCell="1" allowOverlap="1" wp14:anchorId="4B77AE34" wp14:editId="4962DC61">
            <wp:simplePos x="0" y="0"/>
            <wp:positionH relativeFrom="column">
              <wp:posOffset>-8255</wp:posOffset>
            </wp:positionH>
            <wp:positionV relativeFrom="paragraph">
              <wp:posOffset>26670</wp:posOffset>
            </wp:positionV>
            <wp:extent cx="3801745" cy="1950720"/>
            <wp:effectExtent l="38100" t="38100" r="103505" b="87630"/>
            <wp:wrapSquare wrapText="bothSides"/>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Pr="008E2822">
        <w:t xml:space="preserve">Както и останалите индекси на </w:t>
      </w:r>
      <w:proofErr w:type="gramStart"/>
      <w:r w:rsidRPr="008E2822">
        <w:t>българският капиталов пазар</w:t>
      </w:r>
      <w:proofErr w:type="gramEnd"/>
      <w:r w:rsidRPr="008E2822">
        <w:t xml:space="preserve">, през второто тримесечие на 2013 година индексът </w:t>
      </w:r>
      <w:r w:rsidRPr="008E2822">
        <w:rPr>
          <w:lang w:val="en-US"/>
        </w:rPr>
        <w:t xml:space="preserve">CGIX </w:t>
      </w:r>
      <w:r w:rsidRPr="008E2822">
        <w:t>повиши стойността си от 86,98 до 95,15 пункта, което представлява нарастване от 9,39%. Най-високата стойност на индекса през тримесечието е достигната на 11 юни и е 97,71 пункта, а най-ниската – 84,36 пункта.</w:t>
      </w:r>
    </w:p>
    <w:p w:rsidR="008E2822" w:rsidRPr="008E2822" w:rsidRDefault="008E2822" w:rsidP="00154650">
      <w:pPr>
        <w:pStyle w:val="NoSpacing"/>
      </w:pPr>
    </w:p>
    <w:p w:rsidR="00326727" w:rsidRPr="008E2822" w:rsidRDefault="00326727" w:rsidP="00BA4CF8">
      <w:pPr>
        <w:pStyle w:val="SubNumbers"/>
        <w:outlineLvl w:val="1"/>
      </w:pPr>
      <w:bookmarkStart w:id="36" w:name="_Toc362884501"/>
      <w:r w:rsidRPr="008E2822">
        <w:t>Корпоративно управление</w:t>
      </w:r>
      <w:bookmarkEnd w:id="34"/>
      <w:bookmarkEnd w:id="36"/>
    </w:p>
    <w:p w:rsidR="001E3279" w:rsidRPr="008E2822" w:rsidRDefault="001E3279" w:rsidP="001E3279">
      <w:pPr>
        <w:autoSpaceDE w:val="0"/>
        <w:autoSpaceDN w:val="0"/>
        <w:adjustRightInd w:val="0"/>
        <w:rPr>
          <w:szCs w:val="22"/>
        </w:rPr>
      </w:pPr>
      <w:r w:rsidRPr="008E2822">
        <w:rPr>
          <w:szCs w:val="22"/>
        </w:rPr>
        <w:t xml:space="preserve">Във връзка със законовите задължения на БФБ-София в качеството й на публично дружество, </w:t>
      </w:r>
      <w:r w:rsidR="003815A7" w:rsidRPr="008E2822">
        <w:rPr>
          <w:szCs w:val="22"/>
        </w:rPr>
        <w:t xml:space="preserve">през </w:t>
      </w:r>
      <w:r w:rsidR="00797096" w:rsidRPr="008E2822">
        <w:rPr>
          <w:szCs w:val="22"/>
        </w:rPr>
        <w:t>второто</w:t>
      </w:r>
      <w:r w:rsidR="003815A7" w:rsidRPr="008E2822">
        <w:rPr>
          <w:szCs w:val="22"/>
        </w:rPr>
        <w:t xml:space="preserve"> тримесечие на 201</w:t>
      </w:r>
      <w:r w:rsidR="00486D0C" w:rsidRPr="008E2822">
        <w:rPr>
          <w:szCs w:val="22"/>
        </w:rPr>
        <w:t>3</w:t>
      </w:r>
      <w:r w:rsidR="003815A7" w:rsidRPr="008E2822">
        <w:rPr>
          <w:szCs w:val="22"/>
        </w:rPr>
        <w:t xml:space="preserve"> година </w:t>
      </w:r>
      <w:r w:rsidRPr="008E2822">
        <w:rPr>
          <w:szCs w:val="22"/>
        </w:rPr>
        <w:t>борсата оповести пред публичността и изпрати в Комисията за финансов надзор следната информация:</w:t>
      </w:r>
    </w:p>
    <w:p w:rsidR="00486D0C" w:rsidRPr="008E2822" w:rsidRDefault="00797096" w:rsidP="008B513B">
      <w:pPr>
        <w:numPr>
          <w:ilvl w:val="0"/>
          <w:numId w:val="3"/>
        </w:numPr>
        <w:autoSpaceDE w:val="0"/>
        <w:autoSpaceDN w:val="0"/>
        <w:adjustRightInd w:val="0"/>
      </w:pPr>
      <w:r w:rsidRPr="008E2822">
        <w:t>08</w:t>
      </w:r>
      <w:r w:rsidR="00486D0C" w:rsidRPr="008E2822">
        <w:t>.</w:t>
      </w:r>
      <w:r w:rsidRPr="008E2822">
        <w:t>04</w:t>
      </w:r>
      <w:r w:rsidR="00486D0C" w:rsidRPr="008E2822">
        <w:t xml:space="preserve">.2013 г. - </w:t>
      </w:r>
      <w:r w:rsidRPr="008E2822">
        <w:t>Одитиран консолидиран годишен финансов отчет на Група "Българска фондова борса - София" за 2012 г.</w:t>
      </w:r>
      <w:r w:rsidR="00486D0C" w:rsidRPr="008E2822">
        <w:t>;</w:t>
      </w:r>
    </w:p>
    <w:p w:rsidR="003815A7" w:rsidRPr="008E2822" w:rsidRDefault="00797096" w:rsidP="008B513B">
      <w:pPr>
        <w:numPr>
          <w:ilvl w:val="0"/>
          <w:numId w:val="3"/>
        </w:numPr>
        <w:autoSpaceDE w:val="0"/>
        <w:autoSpaceDN w:val="0"/>
        <w:adjustRightInd w:val="0"/>
      </w:pPr>
      <w:r w:rsidRPr="008E2822">
        <w:t>09</w:t>
      </w:r>
      <w:r w:rsidR="00486D0C" w:rsidRPr="008E2822">
        <w:t>.</w:t>
      </w:r>
      <w:r w:rsidRPr="008E2822">
        <w:t>04</w:t>
      </w:r>
      <w:r w:rsidR="00486D0C" w:rsidRPr="008E2822">
        <w:t xml:space="preserve">.2013 г. - </w:t>
      </w:r>
      <w:r w:rsidRPr="008E2822">
        <w:t>Обявяване на покана за ОСА на "Българска фондова борса - София" АД в Търговския регистър. Изпращане на поканата и материалите в КФН и публикуване на интернет страницата на борсата</w:t>
      </w:r>
      <w:r w:rsidR="00486D0C" w:rsidRPr="008E2822">
        <w:t>;</w:t>
      </w:r>
    </w:p>
    <w:p w:rsidR="00797096" w:rsidRPr="008E2822" w:rsidRDefault="00797096" w:rsidP="008B513B">
      <w:pPr>
        <w:numPr>
          <w:ilvl w:val="0"/>
          <w:numId w:val="3"/>
        </w:numPr>
        <w:autoSpaceDE w:val="0"/>
        <w:autoSpaceDN w:val="0"/>
        <w:adjustRightInd w:val="0"/>
      </w:pPr>
      <w:r w:rsidRPr="008E2822">
        <w:t>29</w:t>
      </w:r>
      <w:r w:rsidR="00486D0C" w:rsidRPr="008E2822">
        <w:t>.0</w:t>
      </w:r>
      <w:r w:rsidRPr="008E2822">
        <w:t>4</w:t>
      </w:r>
      <w:r w:rsidR="00486D0C" w:rsidRPr="008E2822">
        <w:t xml:space="preserve">.2013 г. - </w:t>
      </w:r>
      <w:r w:rsidRPr="008E2822">
        <w:t>Междинен отчет на "Българска фондова борса - София" АД за първото тримесечие на 2013 г.</w:t>
      </w:r>
    </w:p>
    <w:p w:rsidR="00486D0C" w:rsidRPr="008E2822" w:rsidRDefault="00797096" w:rsidP="008B513B">
      <w:pPr>
        <w:numPr>
          <w:ilvl w:val="0"/>
          <w:numId w:val="3"/>
        </w:numPr>
        <w:autoSpaceDE w:val="0"/>
        <w:autoSpaceDN w:val="0"/>
        <w:adjustRightInd w:val="0"/>
      </w:pPr>
      <w:r w:rsidRPr="008E2822">
        <w:lastRenderedPageBreak/>
        <w:t>29.04.2013 г.- Документ по чл. 82б, ал. 1 от ЗППЦК</w:t>
      </w:r>
      <w:r w:rsidR="00486D0C" w:rsidRPr="008E2822">
        <w:t>;</w:t>
      </w:r>
    </w:p>
    <w:p w:rsidR="00797096" w:rsidRPr="008E2822" w:rsidRDefault="00797096" w:rsidP="008B513B">
      <w:pPr>
        <w:numPr>
          <w:ilvl w:val="0"/>
          <w:numId w:val="3"/>
        </w:numPr>
        <w:autoSpaceDE w:val="0"/>
        <w:autoSpaceDN w:val="0"/>
        <w:adjustRightInd w:val="0"/>
      </w:pPr>
      <w:r w:rsidRPr="008E2822">
        <w:t>13</w:t>
      </w:r>
      <w:r w:rsidR="00486D0C" w:rsidRPr="008E2822">
        <w:t>.</w:t>
      </w:r>
      <w:r w:rsidRPr="008E2822">
        <w:t>05.2013 г -</w:t>
      </w:r>
      <w:r w:rsidR="00486D0C" w:rsidRPr="008E2822">
        <w:t xml:space="preserve"> </w:t>
      </w:r>
      <w:r w:rsidRPr="008E2822">
        <w:t xml:space="preserve">Уведомление </w:t>
      </w:r>
      <w:proofErr w:type="gramStart"/>
      <w:r w:rsidRPr="008E2822">
        <w:t>относно</w:t>
      </w:r>
      <w:proofErr w:type="gramEnd"/>
      <w:r w:rsidRPr="008E2822">
        <w:t xml:space="preserve"> вида и размера на раздавания от "Българска фондова борса - София" АД дивидент за 2012 г.</w:t>
      </w:r>
    </w:p>
    <w:p w:rsidR="00486D0C" w:rsidRPr="008E2822" w:rsidRDefault="00797096" w:rsidP="008B513B">
      <w:pPr>
        <w:numPr>
          <w:ilvl w:val="0"/>
          <w:numId w:val="3"/>
        </w:numPr>
        <w:autoSpaceDE w:val="0"/>
        <w:autoSpaceDN w:val="0"/>
        <w:adjustRightInd w:val="0"/>
      </w:pPr>
      <w:r w:rsidRPr="008E2822">
        <w:t>13.05.2013 г. - Представяне на протокол от ОСА</w:t>
      </w:r>
      <w:r w:rsidR="00486D0C" w:rsidRPr="008E2822">
        <w:t>;</w:t>
      </w:r>
    </w:p>
    <w:p w:rsidR="00797096" w:rsidRPr="008E2822" w:rsidRDefault="00797096" w:rsidP="008B513B">
      <w:pPr>
        <w:numPr>
          <w:ilvl w:val="0"/>
          <w:numId w:val="3"/>
        </w:numPr>
        <w:autoSpaceDE w:val="0"/>
        <w:autoSpaceDN w:val="0"/>
        <w:adjustRightInd w:val="0"/>
      </w:pPr>
      <w:r w:rsidRPr="008E2822">
        <w:t>13</w:t>
      </w:r>
      <w:r w:rsidR="00486D0C" w:rsidRPr="008E2822">
        <w:t>.0</w:t>
      </w:r>
      <w:r w:rsidRPr="008E2822">
        <w:t>5</w:t>
      </w:r>
      <w:r w:rsidR="00486D0C" w:rsidRPr="008E2822">
        <w:t xml:space="preserve">.2013 г. – </w:t>
      </w:r>
      <w:r w:rsidRPr="008E2822">
        <w:t>Уведомление за упражняване на гласове в ОСА чрез представители.</w:t>
      </w:r>
    </w:p>
    <w:p w:rsidR="00486D0C" w:rsidRPr="008E2822" w:rsidRDefault="00797096" w:rsidP="008B513B">
      <w:pPr>
        <w:numPr>
          <w:ilvl w:val="0"/>
          <w:numId w:val="3"/>
        </w:numPr>
        <w:autoSpaceDE w:val="0"/>
        <w:autoSpaceDN w:val="0"/>
        <w:adjustRightInd w:val="0"/>
      </w:pPr>
      <w:r w:rsidRPr="008E2822">
        <w:t>28.05.2013 г.</w:t>
      </w:r>
      <w:r w:rsidRPr="008E2822">
        <w:tab/>
        <w:t>Консолидиран междинен отчет на "Българска фондова борса - София" АД за първото тримесечие на 2013 г.</w:t>
      </w:r>
    </w:p>
    <w:p w:rsidR="001E3279" w:rsidRPr="008E2822" w:rsidRDefault="001E3279" w:rsidP="001E3279">
      <w:pPr>
        <w:autoSpaceDE w:val="0"/>
        <w:autoSpaceDN w:val="0"/>
        <w:adjustRightInd w:val="0"/>
        <w:ind w:firstLine="360"/>
        <w:rPr>
          <w:szCs w:val="22"/>
        </w:rPr>
      </w:pPr>
      <w:r w:rsidRPr="008E2822">
        <w:rPr>
          <w:szCs w:val="22"/>
        </w:rPr>
        <w:t xml:space="preserve">Финансовите отчети на дружеството </w:t>
      </w:r>
      <w:r w:rsidR="003815A7" w:rsidRPr="008E2822">
        <w:rPr>
          <w:szCs w:val="22"/>
        </w:rPr>
        <w:t xml:space="preserve">и новините </w:t>
      </w:r>
      <w:r w:rsidRPr="008E2822">
        <w:rPr>
          <w:szCs w:val="22"/>
        </w:rPr>
        <w:t>бяха оповестени едновременно на български и английски език.</w:t>
      </w:r>
    </w:p>
    <w:p w:rsidR="00326727" w:rsidRPr="008E2822" w:rsidRDefault="00326727" w:rsidP="00BA4CF8">
      <w:pPr>
        <w:pStyle w:val="Mainnumbers"/>
        <w:outlineLvl w:val="0"/>
      </w:pPr>
      <w:bookmarkStart w:id="37" w:name="_Toc283112121"/>
      <w:bookmarkStart w:id="38" w:name="_Toc362884502"/>
      <w:r w:rsidRPr="008E2822">
        <w:t>Информационни технологии</w:t>
      </w:r>
      <w:bookmarkEnd w:id="37"/>
      <w:bookmarkEnd w:id="38"/>
    </w:p>
    <w:p w:rsidR="00721F40" w:rsidRPr="008E2822" w:rsidRDefault="00721F40" w:rsidP="00BA4CF8">
      <w:pPr>
        <w:pStyle w:val="SubNumbers"/>
        <w:outlineLvl w:val="1"/>
      </w:pPr>
      <w:bookmarkStart w:id="39" w:name="_Toc307235653"/>
      <w:bookmarkStart w:id="40" w:name="_Toc362884503"/>
      <w:bookmarkStart w:id="41" w:name="_Toc283112122"/>
      <w:r w:rsidRPr="008E2822">
        <w:t>Информационни продукти</w:t>
      </w:r>
      <w:bookmarkEnd w:id="39"/>
      <w:bookmarkEnd w:id="40"/>
    </w:p>
    <w:p w:rsidR="00EC61A1" w:rsidRPr="008E2822" w:rsidRDefault="00F44AC4" w:rsidP="00EC61A1">
      <w:pPr>
        <w:widowControl/>
        <w:ind w:left="706"/>
        <w:rPr>
          <w:szCs w:val="22"/>
        </w:rPr>
      </w:pPr>
      <w:r w:rsidRPr="008E2822">
        <w:rPr>
          <w:szCs w:val="22"/>
        </w:rPr>
        <w:t>През второто тримесечие</w:t>
      </w:r>
      <w:r w:rsidR="00EC61A1" w:rsidRPr="008E2822">
        <w:rPr>
          <w:szCs w:val="22"/>
        </w:rPr>
        <w:t xml:space="preserve"> на 2013 в БФБ-София беше внедрена и пусната в тестов режим,</w:t>
      </w:r>
      <w:r w:rsidR="00E060B3" w:rsidRPr="008E2822">
        <w:rPr>
          <w:szCs w:val="22"/>
        </w:rPr>
        <w:t xml:space="preserve"> </w:t>
      </w:r>
      <w:r w:rsidR="00EC61A1" w:rsidRPr="008E2822">
        <w:rPr>
          <w:szCs w:val="22"/>
        </w:rPr>
        <w:t>система за автоматично п</w:t>
      </w:r>
      <w:r w:rsidRPr="008E2822">
        <w:rPr>
          <w:szCs w:val="22"/>
        </w:rPr>
        <w:t>осрещане на телефонни обаждания</w:t>
      </w:r>
      <w:r w:rsidR="00EC61A1" w:rsidRPr="008E2822">
        <w:rPr>
          <w:szCs w:val="22"/>
        </w:rPr>
        <w:t>.</w:t>
      </w:r>
    </w:p>
    <w:p w:rsidR="00F44AC4" w:rsidRPr="008E2822" w:rsidRDefault="00F44AC4" w:rsidP="00EC61A1">
      <w:pPr>
        <w:widowControl/>
        <w:ind w:left="706"/>
        <w:rPr>
          <w:szCs w:val="22"/>
        </w:rPr>
      </w:pPr>
    </w:p>
    <w:p w:rsidR="00EC61A1" w:rsidRPr="008E2822" w:rsidRDefault="00EC61A1" w:rsidP="00EC61A1">
      <w:pPr>
        <w:widowControl/>
        <w:ind w:left="706"/>
        <w:rPr>
          <w:szCs w:val="22"/>
        </w:rPr>
      </w:pPr>
      <w:r w:rsidRPr="008E2822">
        <w:rPr>
          <w:szCs w:val="22"/>
        </w:rPr>
        <w:t>Приключи разработката и тестовете на нова секция за сегмент акции Premium в официалната страница на БФБ-София.</w:t>
      </w:r>
      <w:r w:rsidR="00F44AC4" w:rsidRPr="008E2822">
        <w:rPr>
          <w:szCs w:val="22"/>
        </w:rPr>
        <w:t xml:space="preserve"> </w:t>
      </w:r>
      <w:r w:rsidRPr="008E2822">
        <w:rPr>
          <w:szCs w:val="22"/>
        </w:rPr>
        <w:t>Новото съдържание предоставя обобщена и сравнителна информация по следните показатели:</w:t>
      </w:r>
    </w:p>
    <w:p w:rsidR="00EC61A1" w:rsidRPr="008E2822" w:rsidRDefault="00EC61A1" w:rsidP="008B513B">
      <w:pPr>
        <w:pStyle w:val="ListParagraph"/>
        <w:widowControl/>
        <w:numPr>
          <w:ilvl w:val="0"/>
          <w:numId w:val="7"/>
        </w:numPr>
        <w:rPr>
          <w:szCs w:val="22"/>
        </w:rPr>
      </w:pPr>
      <w:r w:rsidRPr="008E2822">
        <w:rPr>
          <w:szCs w:val="22"/>
        </w:rPr>
        <w:t>графика с движението на цените на акциите на дружествата от сегмента</w:t>
      </w:r>
    </w:p>
    <w:p w:rsidR="00EC61A1" w:rsidRPr="008E2822" w:rsidRDefault="00EC61A1" w:rsidP="008B513B">
      <w:pPr>
        <w:pStyle w:val="ListParagraph"/>
        <w:widowControl/>
        <w:numPr>
          <w:ilvl w:val="0"/>
          <w:numId w:val="7"/>
        </w:numPr>
        <w:rPr>
          <w:szCs w:val="22"/>
        </w:rPr>
      </w:pPr>
      <w:r w:rsidRPr="008E2822">
        <w:rPr>
          <w:szCs w:val="22"/>
        </w:rPr>
        <w:t>графика за реализирания оборот и реализираните сделки</w:t>
      </w:r>
    </w:p>
    <w:p w:rsidR="00EC61A1" w:rsidRPr="008E2822" w:rsidRDefault="00EC61A1" w:rsidP="008B513B">
      <w:pPr>
        <w:pStyle w:val="ListParagraph"/>
        <w:widowControl/>
        <w:numPr>
          <w:ilvl w:val="0"/>
          <w:numId w:val="7"/>
        </w:numPr>
        <w:rPr>
          <w:szCs w:val="22"/>
        </w:rPr>
      </w:pPr>
      <w:proofErr w:type="gramStart"/>
      <w:r w:rsidRPr="008E2822">
        <w:rPr>
          <w:szCs w:val="22"/>
        </w:rPr>
        <w:t>пазарна</w:t>
      </w:r>
      <w:proofErr w:type="gramEnd"/>
      <w:r w:rsidRPr="008E2822">
        <w:rPr>
          <w:szCs w:val="22"/>
        </w:rPr>
        <w:t xml:space="preserve"> капитализация</w:t>
      </w:r>
    </w:p>
    <w:p w:rsidR="00EC61A1" w:rsidRPr="008E2822" w:rsidRDefault="00EC61A1" w:rsidP="008B513B">
      <w:pPr>
        <w:pStyle w:val="ListParagraph"/>
        <w:widowControl/>
        <w:numPr>
          <w:ilvl w:val="0"/>
          <w:numId w:val="7"/>
        </w:numPr>
        <w:rPr>
          <w:szCs w:val="22"/>
        </w:rPr>
      </w:pPr>
      <w:proofErr w:type="gramStart"/>
      <w:r w:rsidRPr="008E2822">
        <w:rPr>
          <w:szCs w:val="22"/>
        </w:rPr>
        <w:t>новини</w:t>
      </w:r>
      <w:proofErr w:type="gramEnd"/>
    </w:p>
    <w:p w:rsidR="00F44AC4" w:rsidRPr="008E2822" w:rsidRDefault="00F44AC4" w:rsidP="00EC61A1">
      <w:pPr>
        <w:widowControl/>
        <w:ind w:left="706"/>
        <w:rPr>
          <w:szCs w:val="22"/>
        </w:rPr>
      </w:pPr>
    </w:p>
    <w:p w:rsidR="00445A2B" w:rsidRPr="008E2822" w:rsidRDefault="00EC61A1" w:rsidP="00EC61A1">
      <w:pPr>
        <w:widowControl/>
        <w:ind w:left="706"/>
        <w:rPr>
          <w:szCs w:val="22"/>
        </w:rPr>
      </w:pPr>
      <w:r w:rsidRPr="008E2822">
        <w:rPr>
          <w:szCs w:val="22"/>
        </w:rPr>
        <w:t xml:space="preserve">Беше извършени пренастройки на свързаността през наета линия и интернет до </w:t>
      </w:r>
      <w:proofErr w:type="spellStart"/>
      <w:r w:rsidRPr="008E2822">
        <w:rPr>
          <w:szCs w:val="22"/>
        </w:rPr>
        <w:t>Дойче</w:t>
      </w:r>
      <w:proofErr w:type="spellEnd"/>
      <w:r w:rsidRPr="008E2822">
        <w:rPr>
          <w:szCs w:val="22"/>
        </w:rPr>
        <w:t xml:space="preserve"> </w:t>
      </w:r>
      <w:proofErr w:type="spellStart"/>
      <w:r w:rsidRPr="008E2822">
        <w:rPr>
          <w:szCs w:val="22"/>
        </w:rPr>
        <w:t>Б</w:t>
      </w:r>
      <w:r w:rsidR="008E2822" w:rsidRPr="008E2822">
        <w:rPr>
          <w:szCs w:val="22"/>
        </w:rPr>
        <w:t>ь</w:t>
      </w:r>
      <w:r w:rsidRPr="008E2822">
        <w:rPr>
          <w:szCs w:val="22"/>
        </w:rPr>
        <w:t>орсе</w:t>
      </w:r>
      <w:proofErr w:type="spellEnd"/>
      <w:r w:rsidRPr="008E2822">
        <w:rPr>
          <w:szCs w:val="22"/>
        </w:rPr>
        <w:t>.</w:t>
      </w:r>
      <w:r w:rsidR="00F44AC4" w:rsidRPr="008E2822">
        <w:rPr>
          <w:szCs w:val="22"/>
        </w:rPr>
        <w:t xml:space="preserve"> </w:t>
      </w:r>
      <w:r w:rsidRPr="008E2822">
        <w:rPr>
          <w:szCs w:val="22"/>
        </w:rPr>
        <w:t>След извършените промени българските инвестиционни посредници, членове на немския оператор, могат да търгуват продукти на пазар XETRA FFM2.</w:t>
      </w:r>
    </w:p>
    <w:p w:rsidR="00721F40" w:rsidRPr="008E2822" w:rsidRDefault="00721F40" w:rsidP="00BA4CF8">
      <w:pPr>
        <w:pStyle w:val="SubNumbers"/>
        <w:outlineLvl w:val="1"/>
      </w:pPr>
      <w:bookmarkStart w:id="42" w:name="_Toc362884504"/>
      <w:r w:rsidRPr="008E2822">
        <w:t>COBOS</w:t>
      </w:r>
      <w:bookmarkEnd w:id="42"/>
    </w:p>
    <w:p w:rsidR="00721F40" w:rsidRPr="008E2822" w:rsidRDefault="00721F40" w:rsidP="00445A2B">
      <w:r w:rsidRPr="008E2822">
        <w:t>Системата COBOS, разработена от експерти на БФБ-София, бе стартирана през 2003г. с идеята да се предостави възможност на инвеститорите за електронно подаване на поръчки към инвестиционните посредници. Улесняването на инвестиционният процес, което COBOS осигурява, е от значение и за привличането на повече инвеститори на българския капиталов пазар.</w:t>
      </w:r>
    </w:p>
    <w:p w:rsidR="00F44AC4" w:rsidRPr="008E2822" w:rsidRDefault="00F44AC4" w:rsidP="00721F40">
      <w:r w:rsidRPr="008E2822">
        <w:t xml:space="preserve">В края на първото полугодие на 2013 година клиентите на системата са 652, а в края на първото полугодие на 2012 г. те са 728, което представлява намаление с 10,44%. В сравнение с края на предходното тримесечие намалението е от 711 до 652 или -8,3%. </w:t>
      </w:r>
      <w:r w:rsidRPr="008E2822">
        <w:rPr>
          <w:rFonts w:cs="NewsGothicCyr"/>
        </w:rPr>
        <w:t>Основната причина за спада е както неблагоприятната пазарна среда и ниската ликвидност, така и прехвърлянето на част от клиентите на някои от водещите инвестиционни посредници към собствените им платформи за електронно подаване на поръчки, пуснати в експлоатация през последните години.</w:t>
      </w:r>
    </w:p>
    <w:p w:rsidR="00721F40" w:rsidRPr="008E2822" w:rsidRDefault="00F44AC4" w:rsidP="00721F40">
      <w:pPr>
        <w:rPr>
          <w:rFonts w:cs="NewsGothicCyr"/>
          <w:szCs w:val="22"/>
        </w:rPr>
      </w:pPr>
      <w:r w:rsidRPr="008E2822">
        <w:rPr>
          <w:rFonts w:cs="NewsGothicCyr"/>
        </w:rPr>
        <w:t xml:space="preserve">Въпреки намалението на абонатите на системата, подадените поръчки през полугодието бяха 69 687, което е с близо 15 хиляди нареждания повече от аналогичния период на 2012, когато са </w:t>
      </w:r>
      <w:bookmarkStart w:id="43" w:name="OLE_LINK12"/>
      <w:r w:rsidRPr="008E2822">
        <w:rPr>
          <w:rFonts w:cs="NewsGothicCyr"/>
        </w:rPr>
        <w:t>55</w:t>
      </w:r>
      <w:r w:rsidRPr="008E2822">
        <w:t> </w:t>
      </w:r>
      <w:bookmarkEnd w:id="43"/>
      <w:r w:rsidRPr="008E2822">
        <w:t>072</w:t>
      </w:r>
      <w:r w:rsidRPr="008E2822">
        <w:rPr>
          <w:rFonts w:cs="NewsGothicCyr"/>
        </w:rPr>
        <w:t>. Сключените сделки също нарастват от 12 949 до 18 930. Оборотът в абсолютно изражение през системата нараства значително с 68,44%</w:t>
      </w:r>
      <w:r w:rsidR="00F74DF8" w:rsidRPr="008E2822">
        <w:rPr>
          <w:rFonts w:cs="NewsGothicCyr"/>
          <w:szCs w:val="22"/>
        </w:rPr>
        <w:t>.</w:t>
      </w:r>
    </w:p>
    <w:p w:rsidR="00326727" w:rsidRPr="008E2822" w:rsidRDefault="00326727" w:rsidP="00BA4CF8">
      <w:pPr>
        <w:pStyle w:val="Mainnumbers"/>
        <w:outlineLvl w:val="0"/>
      </w:pPr>
      <w:bookmarkStart w:id="44" w:name="_Toc283112128"/>
      <w:bookmarkStart w:id="45" w:name="_Toc362884505"/>
      <w:bookmarkEnd w:id="41"/>
      <w:r w:rsidRPr="008E2822">
        <w:lastRenderedPageBreak/>
        <w:t>Международна дейност</w:t>
      </w:r>
      <w:bookmarkEnd w:id="44"/>
      <w:bookmarkEnd w:id="45"/>
    </w:p>
    <w:p w:rsidR="008E2822" w:rsidRPr="00C67619" w:rsidRDefault="008E2822" w:rsidP="008E2822">
      <w:pPr>
        <w:pStyle w:val="ListParagraph"/>
        <w:numPr>
          <w:ilvl w:val="0"/>
          <w:numId w:val="8"/>
        </w:numPr>
        <w:spacing w:after="200"/>
      </w:pPr>
      <w:r w:rsidRPr="00C67619">
        <w:t xml:space="preserve">В периода 16-18 април 2013 г. </w:t>
      </w:r>
      <w:r>
        <w:t xml:space="preserve">изпълнителният директор </w:t>
      </w:r>
      <w:r w:rsidRPr="00C67619">
        <w:t>Иван Такев участва в международното финансово изложение TradeTech като един от т.нар. roundtabe contributors в поредица от кръгли маси, посветени на промените в регулаторната среда и съпътстващите ги промени в инфраструктурите на пазарите.</w:t>
      </w:r>
    </w:p>
    <w:p w:rsidR="008E2822" w:rsidRPr="00C67619" w:rsidRDefault="008E2822" w:rsidP="008E2822">
      <w:pPr>
        <w:pStyle w:val="ListParagraph"/>
        <w:numPr>
          <w:ilvl w:val="0"/>
          <w:numId w:val="8"/>
        </w:numPr>
        <w:spacing w:after="200"/>
      </w:pPr>
      <w:r w:rsidRPr="00C67619">
        <w:t>На 24 април, Георги Български, член на СД и директор на дирекция "Търговия, емитенти и членство" взе участие в LondonCityWeek, като проведе поредица от срещи с представители на различни групи пазари участници от финансовия сектор.</w:t>
      </w:r>
    </w:p>
    <w:p w:rsidR="008E2822" w:rsidRPr="00C67619" w:rsidRDefault="008E2822" w:rsidP="008E2822">
      <w:pPr>
        <w:pStyle w:val="ListParagraph"/>
        <w:numPr>
          <w:ilvl w:val="0"/>
          <w:numId w:val="8"/>
        </w:numPr>
        <w:spacing w:after="200"/>
      </w:pPr>
      <w:r w:rsidRPr="00C67619">
        <w:t xml:space="preserve">На 9-10 май 2013 год. в </w:t>
      </w:r>
      <w:proofErr w:type="gramStart"/>
      <w:r w:rsidRPr="00C67619">
        <w:t>гр.</w:t>
      </w:r>
      <w:proofErr w:type="gramEnd"/>
      <w:r w:rsidRPr="00C67619">
        <w:t xml:space="preserve">Скопие, Македония се проведе традиционната Годишна финансова конференция с международно участие, организирана от Македонската фондова борса. В хода на конференцията бе обсъдена възможността за засилване на сътрудничеството между борсите в региона, по-широката обмяна на информация и привличането на големите чуждестранни инвеститори на пазарите в Югоизточна Европа чрез изграждането на обща платформа за търговия.  </w:t>
      </w:r>
    </w:p>
    <w:p w:rsidR="00EE769F" w:rsidRPr="008E2822" w:rsidRDefault="008E2822" w:rsidP="008E2822">
      <w:pPr>
        <w:pStyle w:val="ListParagraph"/>
        <w:numPr>
          <w:ilvl w:val="0"/>
          <w:numId w:val="8"/>
        </w:numPr>
        <w:spacing w:after="200"/>
        <w:rPr>
          <w:sz w:val="20"/>
          <w:szCs w:val="20"/>
        </w:rPr>
      </w:pPr>
      <w:r w:rsidRPr="00C67619">
        <w:t xml:space="preserve">Иван Такев взе участие във финансовото изложение The Trading Show Chicago, което се проведе на 24 и 25 юни 2013 г. в Чикаго, САЩ. Г-н Такев участва за втори път по покана на организаторите в престижния финансов форум и беше </w:t>
      </w:r>
      <w:proofErr w:type="spellStart"/>
      <w:r w:rsidRPr="00C67619">
        <w:t>панелист</w:t>
      </w:r>
      <w:proofErr w:type="spellEnd"/>
      <w:r w:rsidRPr="00C67619">
        <w:t xml:space="preserve"> в една от основните дискусии: „Глобални перспективи пред технологиите, нови инструменти и партньорства” (Big Exchange Panel: Global perspectives on technology, new tools and partnerships). Заедно с останалите участници, </w:t>
      </w:r>
      <w:r>
        <w:t>Иван</w:t>
      </w:r>
      <w:r w:rsidRPr="00C67619">
        <w:t xml:space="preserve"> Такев дискутира нарастващото значение на технологиите във финансовата индустрия, очакванията на клиентите към новите технологични услуги и развитието на местните борси на база на сътрудничеството с другите пазари.</w:t>
      </w:r>
    </w:p>
    <w:p w:rsidR="006C79E6" w:rsidRPr="008E2822" w:rsidRDefault="006C79E6" w:rsidP="00BA4CF8">
      <w:pPr>
        <w:pStyle w:val="Mainnumbers"/>
        <w:outlineLvl w:val="0"/>
      </w:pPr>
      <w:bookmarkStart w:id="46" w:name="_Toc362884506"/>
      <w:bookmarkStart w:id="47" w:name="_Toc283112129"/>
      <w:r w:rsidRPr="008E2822">
        <w:t xml:space="preserve">Основни рискове и </w:t>
      </w:r>
      <w:proofErr w:type="spellStart"/>
      <w:r w:rsidRPr="008E2822">
        <w:t>несигурности</w:t>
      </w:r>
      <w:proofErr w:type="spellEnd"/>
      <w:r w:rsidRPr="008E2822">
        <w:t>, пред които е изправена БФБ-София</w:t>
      </w:r>
      <w:bookmarkEnd w:id="46"/>
    </w:p>
    <w:p w:rsidR="006C79E6" w:rsidRPr="008E2822" w:rsidRDefault="006C79E6" w:rsidP="006C79E6">
      <w:pPr>
        <w:rPr>
          <w:szCs w:val="22"/>
        </w:rPr>
      </w:pPr>
      <w:r w:rsidRPr="008E2822">
        <w:rPr>
          <w:szCs w:val="22"/>
        </w:rPr>
        <w:t xml:space="preserve">Като лицензиран пазарен оператор </w:t>
      </w:r>
      <w:r w:rsidR="00840B0D" w:rsidRPr="008E2822">
        <w:rPr>
          <w:szCs w:val="22"/>
        </w:rPr>
        <w:t>БФБ-София</w:t>
      </w:r>
      <w:r w:rsidRPr="008E2822">
        <w:rPr>
          <w:szCs w:val="22"/>
        </w:rPr>
        <w:t xml:space="preserve"> организира дейността и операциите на регулирания пазар съобразно изискванията на закона и актовете по прилагането му. Организацията и управлението на </w:t>
      </w:r>
      <w:r w:rsidR="00840B0D" w:rsidRPr="008E2822">
        <w:rPr>
          <w:szCs w:val="22"/>
        </w:rPr>
        <w:t xml:space="preserve">БФБ-София </w:t>
      </w:r>
      <w:r w:rsidRPr="008E2822">
        <w:rPr>
          <w:szCs w:val="22"/>
        </w:rPr>
        <w:t>се извършват въз основа на правилник за дейността, който се приема от Съвета на директорите на Борсата и се одобрява от Комисията за финансов надзор. Правилника за дейността на БФБ-София урежда всички аспекти от дейността на дружеството, в т.ч. и:</w:t>
      </w:r>
    </w:p>
    <w:p w:rsidR="006C79E6" w:rsidRPr="008E2822" w:rsidRDefault="006C79E6" w:rsidP="006C79E6">
      <w:pPr>
        <w:rPr>
          <w:szCs w:val="22"/>
        </w:rPr>
      </w:pPr>
      <w:r w:rsidRPr="008E2822">
        <w:rPr>
          <w:szCs w:val="22"/>
        </w:rPr>
        <w:t xml:space="preserve">1. </w:t>
      </w:r>
      <w:proofErr w:type="gramStart"/>
      <w:r w:rsidRPr="008E2822">
        <w:rPr>
          <w:szCs w:val="22"/>
        </w:rPr>
        <w:t>идентифицирането</w:t>
      </w:r>
      <w:proofErr w:type="gramEnd"/>
      <w:r w:rsidR="00CD2679" w:rsidRPr="008E2822">
        <w:rPr>
          <w:szCs w:val="22"/>
        </w:rPr>
        <w:t xml:space="preserve"> </w:t>
      </w:r>
      <w:r w:rsidRPr="008E2822">
        <w:rPr>
          <w:szCs w:val="22"/>
        </w:rPr>
        <w:t>на</w:t>
      </w:r>
      <w:r w:rsidR="00CD2679" w:rsidRPr="008E2822">
        <w:rPr>
          <w:szCs w:val="22"/>
        </w:rPr>
        <w:t xml:space="preserve"> </w:t>
      </w:r>
      <w:r w:rsidRPr="008E2822">
        <w:rPr>
          <w:szCs w:val="22"/>
        </w:rPr>
        <w:t>възможните</w:t>
      </w:r>
      <w:r w:rsidR="00CD2679" w:rsidRPr="008E2822">
        <w:rPr>
          <w:szCs w:val="22"/>
        </w:rPr>
        <w:t xml:space="preserve"> </w:t>
      </w:r>
      <w:r w:rsidRPr="008E2822">
        <w:rPr>
          <w:szCs w:val="22"/>
        </w:rPr>
        <w:t>заплахи</w:t>
      </w:r>
      <w:r w:rsidR="00CD2679" w:rsidRPr="008E2822">
        <w:rPr>
          <w:szCs w:val="22"/>
        </w:rPr>
        <w:t xml:space="preserve"> </w:t>
      </w:r>
      <w:r w:rsidRPr="008E2822">
        <w:rPr>
          <w:szCs w:val="22"/>
        </w:rPr>
        <w:t>и</w:t>
      </w:r>
      <w:r w:rsidR="00CD2679" w:rsidRPr="008E2822">
        <w:rPr>
          <w:szCs w:val="22"/>
        </w:rPr>
        <w:t xml:space="preserve"> </w:t>
      </w:r>
      <w:r w:rsidRPr="008E2822">
        <w:rPr>
          <w:szCs w:val="22"/>
        </w:rPr>
        <w:t>рискове,</w:t>
      </w:r>
      <w:r w:rsidR="00CD2679" w:rsidRPr="008E2822">
        <w:rPr>
          <w:szCs w:val="22"/>
        </w:rPr>
        <w:t xml:space="preserve"> </w:t>
      </w:r>
      <w:r w:rsidRPr="008E2822">
        <w:rPr>
          <w:szCs w:val="22"/>
        </w:rPr>
        <w:t>които</w:t>
      </w:r>
      <w:r w:rsidR="00CD2679" w:rsidRPr="008E2822">
        <w:rPr>
          <w:szCs w:val="22"/>
        </w:rPr>
        <w:t xml:space="preserve"> </w:t>
      </w:r>
      <w:r w:rsidRPr="008E2822">
        <w:rPr>
          <w:szCs w:val="22"/>
        </w:rPr>
        <w:t>биха</w:t>
      </w:r>
      <w:r w:rsidR="00CD2679" w:rsidRPr="008E2822">
        <w:rPr>
          <w:szCs w:val="22"/>
        </w:rPr>
        <w:t xml:space="preserve"> </w:t>
      </w:r>
      <w:r w:rsidRPr="008E2822">
        <w:rPr>
          <w:szCs w:val="22"/>
        </w:rPr>
        <w:t>могли</w:t>
      </w:r>
      <w:r w:rsidR="00CD2679" w:rsidRPr="008E2822">
        <w:rPr>
          <w:szCs w:val="22"/>
        </w:rPr>
        <w:t xml:space="preserve"> </w:t>
      </w:r>
      <w:r w:rsidRPr="008E2822">
        <w:rPr>
          <w:szCs w:val="22"/>
        </w:rPr>
        <w:t>да</w:t>
      </w:r>
      <w:r w:rsidR="00CD2679" w:rsidRPr="008E2822">
        <w:rPr>
          <w:szCs w:val="22"/>
        </w:rPr>
        <w:t xml:space="preserve"> </w:t>
      </w:r>
      <w:r w:rsidRPr="008E2822">
        <w:rPr>
          <w:szCs w:val="22"/>
        </w:rPr>
        <w:t>причинят потенциални</w:t>
      </w:r>
      <w:r w:rsidR="00CD2679" w:rsidRPr="008E2822">
        <w:rPr>
          <w:szCs w:val="22"/>
        </w:rPr>
        <w:t xml:space="preserve"> </w:t>
      </w:r>
      <w:r w:rsidRPr="008E2822">
        <w:rPr>
          <w:szCs w:val="22"/>
        </w:rPr>
        <w:t>загуби и прекъсване на процесите на</w:t>
      </w:r>
      <w:r w:rsidR="00CD2679" w:rsidRPr="008E2822">
        <w:rPr>
          <w:szCs w:val="22"/>
        </w:rPr>
        <w:t xml:space="preserve"> </w:t>
      </w:r>
      <w:r w:rsidRPr="008E2822">
        <w:rPr>
          <w:szCs w:val="22"/>
        </w:rPr>
        <w:t xml:space="preserve">търговия, осигурявани, осъществявани и поддържани от Борсата; </w:t>
      </w:r>
    </w:p>
    <w:p w:rsidR="006C79E6" w:rsidRPr="008E2822" w:rsidRDefault="006C79E6" w:rsidP="006C79E6">
      <w:pPr>
        <w:rPr>
          <w:szCs w:val="22"/>
        </w:rPr>
      </w:pPr>
      <w:r w:rsidRPr="008E2822">
        <w:rPr>
          <w:szCs w:val="22"/>
        </w:rPr>
        <w:t xml:space="preserve">2. </w:t>
      </w:r>
      <w:proofErr w:type="gramStart"/>
      <w:r w:rsidRPr="008E2822">
        <w:rPr>
          <w:szCs w:val="22"/>
        </w:rPr>
        <w:t>средствата</w:t>
      </w:r>
      <w:proofErr w:type="gramEnd"/>
      <w:r w:rsidRPr="008E2822">
        <w:rPr>
          <w:szCs w:val="22"/>
        </w:rPr>
        <w:t xml:space="preserve"> за контрол и управление на идентифицираните заплахи и рискове; </w:t>
      </w:r>
    </w:p>
    <w:p w:rsidR="006C79E6" w:rsidRPr="008E2822" w:rsidRDefault="006C79E6" w:rsidP="006C79E6">
      <w:pPr>
        <w:rPr>
          <w:szCs w:val="22"/>
        </w:rPr>
      </w:pPr>
      <w:r w:rsidRPr="008E2822">
        <w:rPr>
          <w:szCs w:val="22"/>
        </w:rPr>
        <w:t xml:space="preserve">3. </w:t>
      </w:r>
      <w:proofErr w:type="gramStart"/>
      <w:r w:rsidRPr="008E2822">
        <w:rPr>
          <w:szCs w:val="22"/>
        </w:rPr>
        <w:t>разпределението</w:t>
      </w:r>
      <w:proofErr w:type="gramEnd"/>
      <w:r w:rsidR="00CD2679" w:rsidRPr="008E2822">
        <w:rPr>
          <w:szCs w:val="22"/>
        </w:rPr>
        <w:t xml:space="preserve"> </w:t>
      </w:r>
      <w:r w:rsidRPr="008E2822">
        <w:rPr>
          <w:szCs w:val="22"/>
        </w:rPr>
        <w:t>на</w:t>
      </w:r>
      <w:r w:rsidR="00CD2679" w:rsidRPr="008E2822">
        <w:rPr>
          <w:szCs w:val="22"/>
        </w:rPr>
        <w:t xml:space="preserve"> </w:t>
      </w:r>
      <w:r w:rsidRPr="008E2822">
        <w:rPr>
          <w:szCs w:val="22"/>
        </w:rPr>
        <w:t>отговорностите</w:t>
      </w:r>
      <w:r w:rsidR="00CD2679" w:rsidRPr="008E2822">
        <w:rPr>
          <w:szCs w:val="22"/>
        </w:rPr>
        <w:t xml:space="preserve"> </w:t>
      </w:r>
      <w:r w:rsidRPr="008E2822">
        <w:rPr>
          <w:szCs w:val="22"/>
        </w:rPr>
        <w:t>между</w:t>
      </w:r>
      <w:r w:rsidR="00CD2679" w:rsidRPr="008E2822">
        <w:rPr>
          <w:szCs w:val="22"/>
        </w:rPr>
        <w:t xml:space="preserve"> </w:t>
      </w:r>
      <w:r w:rsidRPr="008E2822">
        <w:rPr>
          <w:szCs w:val="22"/>
        </w:rPr>
        <w:t>служителите</w:t>
      </w:r>
      <w:r w:rsidR="00CD2679" w:rsidRPr="008E2822">
        <w:rPr>
          <w:szCs w:val="22"/>
        </w:rPr>
        <w:t xml:space="preserve"> </w:t>
      </w:r>
      <w:r w:rsidRPr="008E2822">
        <w:rPr>
          <w:szCs w:val="22"/>
        </w:rPr>
        <w:t>на</w:t>
      </w:r>
      <w:r w:rsidR="00CD2679" w:rsidRPr="008E2822">
        <w:rPr>
          <w:szCs w:val="22"/>
        </w:rPr>
        <w:t xml:space="preserve"> </w:t>
      </w:r>
      <w:r w:rsidRPr="008E2822">
        <w:rPr>
          <w:szCs w:val="22"/>
        </w:rPr>
        <w:t>Борсата</w:t>
      </w:r>
      <w:r w:rsidR="00CD2679" w:rsidRPr="008E2822">
        <w:rPr>
          <w:szCs w:val="22"/>
        </w:rPr>
        <w:t xml:space="preserve"> </w:t>
      </w:r>
      <w:r w:rsidRPr="008E2822">
        <w:rPr>
          <w:szCs w:val="22"/>
        </w:rPr>
        <w:t>във</w:t>
      </w:r>
      <w:r w:rsidR="00CD2679" w:rsidRPr="008E2822">
        <w:rPr>
          <w:szCs w:val="22"/>
        </w:rPr>
        <w:t xml:space="preserve"> </w:t>
      </w:r>
      <w:r w:rsidRPr="008E2822">
        <w:rPr>
          <w:szCs w:val="22"/>
        </w:rPr>
        <w:t>връзка</w:t>
      </w:r>
      <w:r w:rsidR="00CD2679" w:rsidRPr="008E2822">
        <w:rPr>
          <w:szCs w:val="22"/>
        </w:rPr>
        <w:t xml:space="preserve"> </w:t>
      </w:r>
      <w:r w:rsidRPr="008E2822">
        <w:rPr>
          <w:szCs w:val="22"/>
        </w:rPr>
        <w:t>с Управлението на рисковете.</w:t>
      </w:r>
    </w:p>
    <w:p w:rsidR="006C79E6" w:rsidRPr="008E2822" w:rsidRDefault="006C79E6" w:rsidP="006C79E6">
      <w:pPr>
        <w:rPr>
          <w:szCs w:val="22"/>
        </w:rPr>
      </w:pPr>
      <w:r w:rsidRPr="008E2822">
        <w:rPr>
          <w:szCs w:val="22"/>
        </w:rPr>
        <w:t xml:space="preserve">Основните видове рискове, </w:t>
      </w:r>
      <w:proofErr w:type="spellStart"/>
      <w:r w:rsidRPr="008E2822">
        <w:rPr>
          <w:szCs w:val="22"/>
        </w:rPr>
        <w:t>относими</w:t>
      </w:r>
      <w:proofErr w:type="spellEnd"/>
      <w:r w:rsidRPr="008E2822">
        <w:rPr>
          <w:szCs w:val="22"/>
        </w:rPr>
        <w:t xml:space="preserve"> към дейността </w:t>
      </w:r>
      <w:r w:rsidR="00840B0D" w:rsidRPr="008E2822">
        <w:rPr>
          <w:szCs w:val="22"/>
        </w:rPr>
        <w:t>дружеството</w:t>
      </w:r>
      <w:r w:rsidRPr="008E2822">
        <w:rPr>
          <w:szCs w:val="22"/>
        </w:rPr>
        <w:t xml:space="preserve"> и политиката по тяхното </w:t>
      </w:r>
      <w:proofErr w:type="gramStart"/>
      <w:r w:rsidRPr="008E2822">
        <w:rPr>
          <w:szCs w:val="22"/>
        </w:rPr>
        <w:t>управление са регламентирани в част VІ - Правила за управление</w:t>
      </w:r>
      <w:proofErr w:type="gramEnd"/>
      <w:r w:rsidRPr="008E2822">
        <w:rPr>
          <w:szCs w:val="22"/>
        </w:rPr>
        <w:t xml:space="preserve"> на риска от Правилника за дейността на БФБ-София.</w:t>
      </w:r>
    </w:p>
    <w:p w:rsidR="006C79E6" w:rsidRPr="008E2822" w:rsidRDefault="006C79E6" w:rsidP="006C79E6">
      <w:pPr>
        <w:rPr>
          <w:szCs w:val="22"/>
        </w:rPr>
      </w:pPr>
      <w:r w:rsidRPr="008E2822">
        <w:rPr>
          <w:szCs w:val="22"/>
        </w:rPr>
        <w:t xml:space="preserve">Политиката по управлението на рисковете се прилага интегрирано и съобразно с всички останали политики и принципи, регламентирани във вътрешните актове на </w:t>
      </w:r>
      <w:r w:rsidR="00840B0D" w:rsidRPr="008E2822">
        <w:rPr>
          <w:szCs w:val="22"/>
        </w:rPr>
        <w:t>БФБ-София</w:t>
      </w:r>
      <w:r w:rsidRPr="008E2822">
        <w:rPr>
          <w:szCs w:val="22"/>
        </w:rPr>
        <w:t xml:space="preserve">. Правилата за управление на риска на БФБ-София документират мерките и процедурите по установяване, управление и оценка на рисковете, свързани с </w:t>
      </w:r>
      <w:r w:rsidRPr="008E2822">
        <w:rPr>
          <w:szCs w:val="22"/>
        </w:rPr>
        <w:lastRenderedPageBreak/>
        <w:t>дейността на Борсата по реда на чл. 86, ал. 1, т. 3 от Закона за пазарите на финансови инструменти.</w:t>
      </w:r>
    </w:p>
    <w:p w:rsidR="006C79E6" w:rsidRPr="008E2822" w:rsidRDefault="006C79E6" w:rsidP="006C79E6">
      <w:pPr>
        <w:rPr>
          <w:szCs w:val="22"/>
        </w:rPr>
      </w:pPr>
    </w:p>
    <w:p w:rsidR="006C79E6" w:rsidRPr="008E2822" w:rsidRDefault="006C79E6" w:rsidP="006C79E6">
      <w:pPr>
        <w:rPr>
          <w:szCs w:val="22"/>
        </w:rPr>
      </w:pPr>
      <w:r w:rsidRPr="008E2822">
        <w:rPr>
          <w:szCs w:val="22"/>
        </w:rPr>
        <w:t xml:space="preserve">Правилата за управление на риска на </w:t>
      </w:r>
      <w:r w:rsidR="00840B0D" w:rsidRPr="008E2822">
        <w:rPr>
          <w:szCs w:val="22"/>
        </w:rPr>
        <w:t xml:space="preserve">БФБ-София </w:t>
      </w:r>
      <w:r w:rsidRPr="008E2822">
        <w:rPr>
          <w:szCs w:val="22"/>
        </w:rPr>
        <w:t>дефинират следните видове рискове, свързани с дейностите, процедурите и системите на дружеството:</w:t>
      </w:r>
    </w:p>
    <w:p w:rsidR="006C79E6" w:rsidRPr="008E2822" w:rsidRDefault="006C79E6" w:rsidP="006C79E6">
      <w:pPr>
        <w:rPr>
          <w:szCs w:val="22"/>
        </w:rPr>
      </w:pPr>
    </w:p>
    <w:p w:rsidR="006C79E6" w:rsidRPr="008E2822" w:rsidRDefault="006C79E6" w:rsidP="006C79E6">
      <w:pPr>
        <w:rPr>
          <w:szCs w:val="22"/>
        </w:rPr>
      </w:pPr>
      <w:r w:rsidRPr="008E2822">
        <w:rPr>
          <w:szCs w:val="22"/>
        </w:rPr>
        <w:t xml:space="preserve">1. </w:t>
      </w:r>
      <w:r w:rsidRPr="008E2822">
        <w:rPr>
          <w:b/>
          <w:szCs w:val="22"/>
        </w:rPr>
        <w:t>Вътрешни</w:t>
      </w:r>
      <w:r w:rsidRPr="008E2822">
        <w:rPr>
          <w:szCs w:val="22"/>
        </w:rPr>
        <w:t xml:space="preserve"> - свързани с организацията на работа на Борсата, </w:t>
      </w:r>
      <w:proofErr w:type="gramStart"/>
      <w:r w:rsidRPr="008E2822">
        <w:rPr>
          <w:szCs w:val="22"/>
        </w:rPr>
        <w:t>представляващи:</w:t>
      </w:r>
      <w:r w:rsidR="00DB64D4" w:rsidRPr="008E2822">
        <w:rPr>
          <w:szCs w:val="22"/>
        </w:rPr>
        <w:t xml:space="preserve"> </w:t>
      </w:r>
      <w:proofErr w:type="gramEnd"/>
    </w:p>
    <w:p w:rsidR="006C79E6" w:rsidRPr="008E2822" w:rsidRDefault="006C79E6" w:rsidP="006C79E6">
      <w:pPr>
        <w:rPr>
          <w:szCs w:val="22"/>
        </w:rPr>
      </w:pPr>
      <w:r w:rsidRPr="008E2822">
        <w:rPr>
          <w:szCs w:val="22"/>
        </w:rPr>
        <w:t xml:space="preserve">а) Рискове, свързани с </w:t>
      </w:r>
      <w:proofErr w:type="gramStart"/>
      <w:r w:rsidRPr="008E2822">
        <w:rPr>
          <w:szCs w:val="22"/>
        </w:rPr>
        <w:t xml:space="preserve">процесите; </w:t>
      </w:r>
      <w:proofErr w:type="gramEnd"/>
    </w:p>
    <w:p w:rsidR="006C79E6" w:rsidRPr="008E2822" w:rsidRDefault="006C79E6" w:rsidP="006C79E6">
      <w:pPr>
        <w:ind w:firstLine="708"/>
        <w:rPr>
          <w:szCs w:val="22"/>
        </w:rPr>
      </w:pPr>
      <w:r w:rsidRPr="008E2822">
        <w:rPr>
          <w:szCs w:val="22"/>
        </w:rPr>
        <w:t xml:space="preserve">- </w:t>
      </w:r>
      <w:proofErr w:type="gramStart"/>
      <w:r w:rsidRPr="008E2822">
        <w:rPr>
          <w:szCs w:val="22"/>
        </w:rPr>
        <w:t>рискове</w:t>
      </w:r>
      <w:proofErr w:type="gramEnd"/>
      <w:r w:rsidRPr="008E2822">
        <w:rPr>
          <w:szCs w:val="22"/>
        </w:rPr>
        <w:t>, свързани с изпълнението на основните функции на Борсата</w:t>
      </w:r>
    </w:p>
    <w:p w:rsidR="006C79E6" w:rsidRPr="008E2822" w:rsidRDefault="006C79E6" w:rsidP="006C79E6">
      <w:pPr>
        <w:ind w:firstLine="708"/>
        <w:rPr>
          <w:szCs w:val="22"/>
        </w:rPr>
      </w:pPr>
      <w:r w:rsidRPr="008E2822">
        <w:rPr>
          <w:szCs w:val="22"/>
        </w:rPr>
        <w:t xml:space="preserve">- </w:t>
      </w:r>
      <w:proofErr w:type="gramStart"/>
      <w:r w:rsidRPr="008E2822">
        <w:rPr>
          <w:szCs w:val="22"/>
        </w:rPr>
        <w:t>рискове</w:t>
      </w:r>
      <w:proofErr w:type="gramEnd"/>
      <w:r w:rsidRPr="008E2822">
        <w:rPr>
          <w:szCs w:val="22"/>
        </w:rPr>
        <w:t>, свързани с предлаганите услуги и</w:t>
      </w:r>
    </w:p>
    <w:p w:rsidR="006C79E6" w:rsidRPr="008E2822" w:rsidRDefault="006C79E6" w:rsidP="006C79E6">
      <w:pPr>
        <w:ind w:firstLine="708"/>
        <w:rPr>
          <w:szCs w:val="22"/>
        </w:rPr>
      </w:pPr>
      <w:r w:rsidRPr="008E2822">
        <w:rPr>
          <w:szCs w:val="22"/>
        </w:rPr>
        <w:t xml:space="preserve">- </w:t>
      </w:r>
      <w:proofErr w:type="gramStart"/>
      <w:r w:rsidRPr="008E2822">
        <w:rPr>
          <w:szCs w:val="22"/>
        </w:rPr>
        <w:t>проектни</w:t>
      </w:r>
      <w:proofErr w:type="gramEnd"/>
      <w:r w:rsidRPr="008E2822">
        <w:rPr>
          <w:szCs w:val="22"/>
        </w:rPr>
        <w:t xml:space="preserve"> рискове</w:t>
      </w:r>
    </w:p>
    <w:p w:rsidR="006C79E6" w:rsidRPr="008E2822" w:rsidRDefault="006C79E6" w:rsidP="006C79E6">
      <w:pPr>
        <w:rPr>
          <w:szCs w:val="22"/>
        </w:rPr>
      </w:pPr>
    </w:p>
    <w:p w:rsidR="006C79E6" w:rsidRPr="008E2822" w:rsidRDefault="006C79E6" w:rsidP="006C79E6">
      <w:pPr>
        <w:rPr>
          <w:szCs w:val="22"/>
        </w:rPr>
      </w:pPr>
      <w:r w:rsidRPr="008E2822">
        <w:rPr>
          <w:szCs w:val="22"/>
        </w:rPr>
        <w:t xml:space="preserve">б) Рискове, свързани със </w:t>
      </w:r>
      <w:proofErr w:type="gramStart"/>
      <w:r w:rsidRPr="008E2822">
        <w:rPr>
          <w:szCs w:val="22"/>
        </w:rPr>
        <w:t xml:space="preserve">системите; </w:t>
      </w:r>
      <w:proofErr w:type="gramEnd"/>
    </w:p>
    <w:p w:rsidR="006C79E6" w:rsidRPr="008E2822" w:rsidRDefault="006C79E6" w:rsidP="006C79E6">
      <w:pPr>
        <w:ind w:firstLine="708"/>
        <w:rPr>
          <w:szCs w:val="22"/>
        </w:rPr>
      </w:pPr>
      <w:r w:rsidRPr="008E2822">
        <w:rPr>
          <w:szCs w:val="22"/>
        </w:rPr>
        <w:t xml:space="preserve">- </w:t>
      </w:r>
      <w:proofErr w:type="gramStart"/>
      <w:r w:rsidRPr="008E2822">
        <w:rPr>
          <w:szCs w:val="22"/>
        </w:rPr>
        <w:t>пълна</w:t>
      </w:r>
      <w:proofErr w:type="gramEnd"/>
      <w:r w:rsidRPr="008E2822">
        <w:rPr>
          <w:szCs w:val="22"/>
        </w:rPr>
        <w:t xml:space="preserve"> или частична недостоверност и пропуск в пълнотата на данните;</w:t>
      </w:r>
    </w:p>
    <w:p w:rsidR="006C79E6" w:rsidRPr="008E2822" w:rsidRDefault="006C79E6" w:rsidP="006C79E6">
      <w:pPr>
        <w:ind w:firstLine="708"/>
        <w:rPr>
          <w:szCs w:val="22"/>
        </w:rPr>
      </w:pPr>
      <w:r w:rsidRPr="008E2822">
        <w:rPr>
          <w:szCs w:val="22"/>
        </w:rPr>
        <w:t xml:space="preserve">- </w:t>
      </w:r>
      <w:proofErr w:type="gramStart"/>
      <w:r w:rsidRPr="008E2822">
        <w:rPr>
          <w:szCs w:val="22"/>
        </w:rPr>
        <w:t>последващо</w:t>
      </w:r>
      <w:proofErr w:type="gramEnd"/>
      <w:r w:rsidRPr="008E2822">
        <w:rPr>
          <w:szCs w:val="22"/>
        </w:rPr>
        <w:t xml:space="preserve"> проявление на проблемите с достоверността и пълнотата на данните;</w:t>
      </w:r>
    </w:p>
    <w:p w:rsidR="006C79E6" w:rsidRPr="008E2822" w:rsidRDefault="006C79E6" w:rsidP="006C79E6">
      <w:pPr>
        <w:ind w:firstLine="708"/>
        <w:rPr>
          <w:szCs w:val="22"/>
        </w:rPr>
      </w:pPr>
      <w:r w:rsidRPr="008E2822">
        <w:rPr>
          <w:szCs w:val="22"/>
        </w:rPr>
        <w:t xml:space="preserve">- </w:t>
      </w:r>
      <w:proofErr w:type="gramStart"/>
      <w:r w:rsidRPr="008E2822">
        <w:rPr>
          <w:szCs w:val="22"/>
        </w:rPr>
        <w:t>липса</w:t>
      </w:r>
      <w:proofErr w:type="gramEnd"/>
      <w:r w:rsidRPr="008E2822">
        <w:rPr>
          <w:szCs w:val="22"/>
        </w:rPr>
        <w:t xml:space="preserve"> на прецизност в методите на обработка</w:t>
      </w:r>
    </w:p>
    <w:p w:rsidR="006C79E6" w:rsidRPr="008E2822" w:rsidRDefault="006C79E6" w:rsidP="006C79E6">
      <w:pPr>
        <w:ind w:firstLine="708"/>
        <w:rPr>
          <w:szCs w:val="22"/>
        </w:rPr>
      </w:pPr>
      <w:r w:rsidRPr="008E2822">
        <w:rPr>
          <w:szCs w:val="22"/>
        </w:rPr>
        <w:t xml:space="preserve">- </w:t>
      </w:r>
      <w:proofErr w:type="gramStart"/>
      <w:r w:rsidRPr="008E2822">
        <w:rPr>
          <w:szCs w:val="22"/>
        </w:rPr>
        <w:t>грешки</w:t>
      </w:r>
      <w:proofErr w:type="gramEnd"/>
      <w:r w:rsidRPr="008E2822">
        <w:rPr>
          <w:szCs w:val="22"/>
        </w:rPr>
        <w:t xml:space="preserve"> на софтуерни продукти;</w:t>
      </w:r>
    </w:p>
    <w:p w:rsidR="006C79E6" w:rsidRPr="008E2822" w:rsidRDefault="006C79E6" w:rsidP="006C79E6">
      <w:pPr>
        <w:ind w:firstLine="708"/>
        <w:rPr>
          <w:szCs w:val="22"/>
        </w:rPr>
      </w:pPr>
      <w:r w:rsidRPr="008E2822">
        <w:rPr>
          <w:szCs w:val="22"/>
        </w:rPr>
        <w:t xml:space="preserve">- </w:t>
      </w:r>
      <w:proofErr w:type="gramStart"/>
      <w:r w:rsidRPr="008E2822">
        <w:rPr>
          <w:szCs w:val="22"/>
        </w:rPr>
        <w:t>несъвършенство</w:t>
      </w:r>
      <w:proofErr w:type="gramEnd"/>
      <w:r w:rsidRPr="008E2822">
        <w:rPr>
          <w:szCs w:val="22"/>
        </w:rPr>
        <w:t xml:space="preserve"> на използваните технологии;</w:t>
      </w:r>
    </w:p>
    <w:p w:rsidR="006C79E6" w:rsidRPr="008E2822" w:rsidRDefault="006C79E6" w:rsidP="006C79E6">
      <w:pPr>
        <w:ind w:firstLine="708"/>
        <w:rPr>
          <w:szCs w:val="22"/>
        </w:rPr>
      </w:pPr>
      <w:r w:rsidRPr="008E2822">
        <w:rPr>
          <w:szCs w:val="22"/>
        </w:rPr>
        <w:t xml:space="preserve">- </w:t>
      </w:r>
      <w:proofErr w:type="gramStart"/>
      <w:r w:rsidRPr="008E2822">
        <w:rPr>
          <w:szCs w:val="22"/>
        </w:rPr>
        <w:t>срив</w:t>
      </w:r>
      <w:proofErr w:type="gramEnd"/>
      <w:r w:rsidRPr="008E2822">
        <w:rPr>
          <w:szCs w:val="22"/>
        </w:rPr>
        <w:t xml:space="preserve"> на системата на регулирания пазар, информационните и комуникационни системи.</w:t>
      </w:r>
    </w:p>
    <w:p w:rsidR="006C79E6" w:rsidRPr="008E2822" w:rsidRDefault="006C79E6" w:rsidP="006C79E6">
      <w:pPr>
        <w:rPr>
          <w:szCs w:val="22"/>
        </w:rPr>
      </w:pPr>
      <w:r w:rsidRPr="008E2822">
        <w:rPr>
          <w:szCs w:val="22"/>
        </w:rPr>
        <w:t xml:space="preserve">в) Рискове, свързани с </w:t>
      </w:r>
      <w:proofErr w:type="gramStart"/>
      <w:r w:rsidRPr="008E2822">
        <w:rPr>
          <w:szCs w:val="22"/>
        </w:rPr>
        <w:t xml:space="preserve">персонала; </w:t>
      </w:r>
      <w:proofErr w:type="gramEnd"/>
    </w:p>
    <w:p w:rsidR="006C79E6" w:rsidRPr="008E2822" w:rsidRDefault="006C79E6" w:rsidP="006C79E6">
      <w:pPr>
        <w:ind w:firstLine="708"/>
        <w:rPr>
          <w:szCs w:val="22"/>
        </w:rPr>
      </w:pPr>
      <w:r w:rsidRPr="008E2822">
        <w:rPr>
          <w:szCs w:val="22"/>
        </w:rPr>
        <w:t xml:space="preserve">- </w:t>
      </w:r>
      <w:proofErr w:type="gramStart"/>
      <w:r w:rsidRPr="008E2822">
        <w:rPr>
          <w:szCs w:val="22"/>
        </w:rPr>
        <w:t>напускане</w:t>
      </w:r>
      <w:proofErr w:type="gramEnd"/>
      <w:r w:rsidRPr="008E2822">
        <w:rPr>
          <w:szCs w:val="22"/>
        </w:rPr>
        <w:t xml:space="preserve"> на ключови служители; </w:t>
      </w:r>
    </w:p>
    <w:p w:rsidR="006C79E6" w:rsidRPr="008E2822" w:rsidRDefault="006C79E6" w:rsidP="006C79E6">
      <w:pPr>
        <w:ind w:firstLine="708"/>
        <w:rPr>
          <w:szCs w:val="22"/>
        </w:rPr>
      </w:pPr>
      <w:r w:rsidRPr="008E2822">
        <w:rPr>
          <w:szCs w:val="22"/>
        </w:rPr>
        <w:t xml:space="preserve">- </w:t>
      </w:r>
      <w:proofErr w:type="gramStart"/>
      <w:r w:rsidRPr="008E2822">
        <w:rPr>
          <w:szCs w:val="22"/>
        </w:rPr>
        <w:t>недобросъвестно</w:t>
      </w:r>
      <w:proofErr w:type="gramEnd"/>
      <w:r w:rsidRPr="008E2822">
        <w:rPr>
          <w:szCs w:val="22"/>
        </w:rPr>
        <w:t xml:space="preserve"> поведение от страна на служителите на Борсата; </w:t>
      </w:r>
    </w:p>
    <w:p w:rsidR="006C79E6" w:rsidRPr="008E2822" w:rsidRDefault="006C79E6" w:rsidP="006C79E6">
      <w:pPr>
        <w:ind w:firstLine="708"/>
        <w:rPr>
          <w:szCs w:val="22"/>
        </w:rPr>
      </w:pPr>
      <w:r w:rsidRPr="008E2822">
        <w:rPr>
          <w:szCs w:val="22"/>
        </w:rPr>
        <w:t xml:space="preserve">- </w:t>
      </w:r>
      <w:proofErr w:type="gramStart"/>
      <w:r w:rsidRPr="008E2822">
        <w:rPr>
          <w:szCs w:val="22"/>
        </w:rPr>
        <w:t>недостатъчна</w:t>
      </w:r>
      <w:proofErr w:type="gramEnd"/>
      <w:r w:rsidR="00CD2679" w:rsidRPr="008E2822">
        <w:rPr>
          <w:szCs w:val="22"/>
        </w:rPr>
        <w:t xml:space="preserve"> </w:t>
      </w:r>
      <w:r w:rsidRPr="008E2822">
        <w:rPr>
          <w:szCs w:val="22"/>
        </w:rPr>
        <w:t>квалификация</w:t>
      </w:r>
      <w:r w:rsidR="00CD2679" w:rsidRPr="008E2822">
        <w:rPr>
          <w:szCs w:val="22"/>
        </w:rPr>
        <w:t xml:space="preserve"> </w:t>
      </w:r>
      <w:r w:rsidRPr="008E2822">
        <w:rPr>
          <w:szCs w:val="22"/>
        </w:rPr>
        <w:t>и</w:t>
      </w:r>
      <w:r w:rsidR="00CD2679" w:rsidRPr="008E2822">
        <w:rPr>
          <w:szCs w:val="22"/>
        </w:rPr>
        <w:t xml:space="preserve"> </w:t>
      </w:r>
      <w:r w:rsidRPr="008E2822">
        <w:rPr>
          <w:szCs w:val="22"/>
        </w:rPr>
        <w:t>липса</w:t>
      </w:r>
      <w:r w:rsidR="00CD2679" w:rsidRPr="008E2822">
        <w:rPr>
          <w:szCs w:val="22"/>
        </w:rPr>
        <w:t xml:space="preserve"> </w:t>
      </w:r>
      <w:r w:rsidRPr="008E2822">
        <w:rPr>
          <w:szCs w:val="22"/>
        </w:rPr>
        <w:t>на</w:t>
      </w:r>
      <w:r w:rsidR="00CD2679" w:rsidRPr="008E2822">
        <w:rPr>
          <w:szCs w:val="22"/>
        </w:rPr>
        <w:t xml:space="preserve"> </w:t>
      </w:r>
      <w:r w:rsidRPr="008E2822">
        <w:rPr>
          <w:szCs w:val="22"/>
        </w:rPr>
        <w:t>подготовка</w:t>
      </w:r>
      <w:r w:rsidR="00CD2679" w:rsidRPr="008E2822">
        <w:rPr>
          <w:szCs w:val="22"/>
        </w:rPr>
        <w:t xml:space="preserve"> </w:t>
      </w:r>
      <w:r w:rsidRPr="008E2822">
        <w:rPr>
          <w:szCs w:val="22"/>
        </w:rPr>
        <w:t>на</w:t>
      </w:r>
      <w:r w:rsidR="00CD2679" w:rsidRPr="008E2822">
        <w:rPr>
          <w:szCs w:val="22"/>
        </w:rPr>
        <w:t xml:space="preserve"> </w:t>
      </w:r>
      <w:r w:rsidRPr="008E2822">
        <w:rPr>
          <w:szCs w:val="22"/>
        </w:rPr>
        <w:t>лицата,</w:t>
      </w:r>
      <w:r w:rsidR="00CD2679" w:rsidRPr="008E2822">
        <w:rPr>
          <w:szCs w:val="22"/>
        </w:rPr>
        <w:t xml:space="preserve"> </w:t>
      </w:r>
      <w:r w:rsidRPr="008E2822">
        <w:rPr>
          <w:szCs w:val="22"/>
        </w:rPr>
        <w:t>работещи</w:t>
      </w:r>
      <w:r w:rsidR="00CD2679" w:rsidRPr="008E2822">
        <w:rPr>
          <w:szCs w:val="22"/>
        </w:rPr>
        <w:t xml:space="preserve"> </w:t>
      </w:r>
      <w:r w:rsidRPr="008E2822">
        <w:rPr>
          <w:szCs w:val="22"/>
        </w:rPr>
        <w:t>по</w:t>
      </w:r>
      <w:r w:rsidR="00CD2679" w:rsidRPr="008E2822">
        <w:rPr>
          <w:szCs w:val="22"/>
        </w:rPr>
        <w:t xml:space="preserve"> </w:t>
      </w:r>
      <w:r w:rsidRPr="008E2822">
        <w:rPr>
          <w:szCs w:val="22"/>
        </w:rPr>
        <w:t>договор</w:t>
      </w:r>
      <w:r w:rsidR="00CD2679" w:rsidRPr="008E2822">
        <w:rPr>
          <w:szCs w:val="22"/>
        </w:rPr>
        <w:t xml:space="preserve"> </w:t>
      </w:r>
      <w:r w:rsidRPr="008E2822">
        <w:rPr>
          <w:szCs w:val="22"/>
        </w:rPr>
        <w:t xml:space="preserve">за Борсата; </w:t>
      </w:r>
    </w:p>
    <w:p w:rsidR="006C79E6" w:rsidRPr="008E2822" w:rsidRDefault="006C79E6" w:rsidP="006C79E6">
      <w:pPr>
        <w:ind w:firstLine="708"/>
        <w:rPr>
          <w:szCs w:val="22"/>
        </w:rPr>
      </w:pPr>
      <w:r w:rsidRPr="008E2822">
        <w:rPr>
          <w:szCs w:val="22"/>
        </w:rPr>
        <w:t xml:space="preserve">- </w:t>
      </w:r>
      <w:proofErr w:type="gramStart"/>
      <w:r w:rsidRPr="008E2822">
        <w:rPr>
          <w:szCs w:val="22"/>
        </w:rPr>
        <w:t>неблагоприятни</w:t>
      </w:r>
      <w:proofErr w:type="gramEnd"/>
      <w:r w:rsidRPr="008E2822">
        <w:rPr>
          <w:szCs w:val="22"/>
        </w:rPr>
        <w:t xml:space="preserve"> изменения в трудовото законодателство; </w:t>
      </w:r>
    </w:p>
    <w:p w:rsidR="006C79E6" w:rsidRPr="008E2822" w:rsidRDefault="006C79E6" w:rsidP="006C79E6">
      <w:pPr>
        <w:ind w:firstLine="708"/>
        <w:rPr>
          <w:szCs w:val="22"/>
        </w:rPr>
      </w:pPr>
      <w:r w:rsidRPr="008E2822">
        <w:rPr>
          <w:szCs w:val="22"/>
        </w:rPr>
        <w:t xml:space="preserve">- </w:t>
      </w:r>
      <w:proofErr w:type="gramStart"/>
      <w:r w:rsidRPr="008E2822">
        <w:rPr>
          <w:szCs w:val="22"/>
        </w:rPr>
        <w:t>неосигурена</w:t>
      </w:r>
      <w:proofErr w:type="gramEnd"/>
      <w:r w:rsidRPr="008E2822">
        <w:rPr>
          <w:szCs w:val="22"/>
        </w:rPr>
        <w:t xml:space="preserve"> безопасност на трудовата среда; </w:t>
      </w:r>
    </w:p>
    <w:p w:rsidR="006C79E6" w:rsidRPr="008E2822" w:rsidRDefault="006C79E6" w:rsidP="006C79E6">
      <w:pPr>
        <w:ind w:firstLine="708"/>
        <w:rPr>
          <w:szCs w:val="22"/>
        </w:rPr>
      </w:pPr>
      <w:r w:rsidRPr="008E2822">
        <w:rPr>
          <w:szCs w:val="22"/>
        </w:rPr>
        <w:t xml:space="preserve">- </w:t>
      </w:r>
      <w:proofErr w:type="gramStart"/>
      <w:r w:rsidRPr="008E2822">
        <w:rPr>
          <w:szCs w:val="22"/>
        </w:rPr>
        <w:t>недостатъчна</w:t>
      </w:r>
      <w:proofErr w:type="gramEnd"/>
      <w:r w:rsidRPr="008E2822">
        <w:rPr>
          <w:szCs w:val="22"/>
        </w:rPr>
        <w:t xml:space="preserve"> или неадекватна мотивация на служителите; </w:t>
      </w:r>
    </w:p>
    <w:p w:rsidR="006C79E6" w:rsidRPr="008E2822" w:rsidRDefault="006C79E6" w:rsidP="006C79E6">
      <w:pPr>
        <w:ind w:firstLine="708"/>
        <w:rPr>
          <w:szCs w:val="22"/>
        </w:rPr>
      </w:pPr>
      <w:r w:rsidRPr="008E2822">
        <w:rPr>
          <w:szCs w:val="22"/>
        </w:rPr>
        <w:t xml:space="preserve">- </w:t>
      </w:r>
      <w:proofErr w:type="gramStart"/>
      <w:r w:rsidRPr="008E2822">
        <w:rPr>
          <w:szCs w:val="22"/>
        </w:rPr>
        <w:t>честа</w:t>
      </w:r>
      <w:proofErr w:type="gramEnd"/>
      <w:r w:rsidR="00CD2679" w:rsidRPr="008E2822">
        <w:rPr>
          <w:szCs w:val="22"/>
        </w:rPr>
        <w:t xml:space="preserve"> </w:t>
      </w:r>
      <w:r w:rsidRPr="008E2822">
        <w:rPr>
          <w:szCs w:val="22"/>
        </w:rPr>
        <w:t>смяна на</w:t>
      </w:r>
      <w:r w:rsidR="00CD2679" w:rsidRPr="008E2822">
        <w:rPr>
          <w:szCs w:val="22"/>
        </w:rPr>
        <w:t xml:space="preserve"> </w:t>
      </w:r>
      <w:r w:rsidRPr="008E2822">
        <w:rPr>
          <w:szCs w:val="22"/>
        </w:rPr>
        <w:t>заетите</w:t>
      </w:r>
      <w:r w:rsidR="00CD2679" w:rsidRPr="008E2822">
        <w:rPr>
          <w:szCs w:val="22"/>
        </w:rPr>
        <w:t xml:space="preserve"> </w:t>
      </w:r>
      <w:r w:rsidRPr="008E2822">
        <w:rPr>
          <w:szCs w:val="22"/>
        </w:rPr>
        <w:t>служители,</w:t>
      </w:r>
      <w:r w:rsidR="00CD2679" w:rsidRPr="008E2822">
        <w:rPr>
          <w:szCs w:val="22"/>
        </w:rPr>
        <w:t xml:space="preserve"> </w:t>
      </w:r>
      <w:r w:rsidRPr="008E2822">
        <w:rPr>
          <w:szCs w:val="22"/>
        </w:rPr>
        <w:t>водеща</w:t>
      </w:r>
      <w:r w:rsidR="00CD2679" w:rsidRPr="008E2822">
        <w:rPr>
          <w:szCs w:val="22"/>
        </w:rPr>
        <w:t xml:space="preserve"> </w:t>
      </w:r>
      <w:r w:rsidRPr="008E2822">
        <w:rPr>
          <w:szCs w:val="22"/>
        </w:rPr>
        <w:t>до невъзможност</w:t>
      </w:r>
      <w:r w:rsidR="00CD2679" w:rsidRPr="008E2822">
        <w:rPr>
          <w:szCs w:val="22"/>
        </w:rPr>
        <w:t xml:space="preserve"> </w:t>
      </w:r>
      <w:r w:rsidRPr="008E2822">
        <w:rPr>
          <w:szCs w:val="22"/>
        </w:rPr>
        <w:t>за</w:t>
      </w:r>
      <w:r w:rsidR="00CD2679" w:rsidRPr="008E2822">
        <w:rPr>
          <w:szCs w:val="22"/>
        </w:rPr>
        <w:t xml:space="preserve"> </w:t>
      </w:r>
      <w:r w:rsidRPr="008E2822">
        <w:rPr>
          <w:szCs w:val="22"/>
        </w:rPr>
        <w:t xml:space="preserve">адекватно изпълнение на функциите. </w:t>
      </w:r>
    </w:p>
    <w:p w:rsidR="006C79E6" w:rsidRPr="008E2822" w:rsidRDefault="006C79E6" w:rsidP="006C79E6">
      <w:pPr>
        <w:rPr>
          <w:szCs w:val="22"/>
        </w:rPr>
      </w:pPr>
    </w:p>
    <w:p w:rsidR="006C79E6" w:rsidRPr="008E2822" w:rsidRDefault="006C79E6" w:rsidP="006C79E6">
      <w:pPr>
        <w:rPr>
          <w:szCs w:val="22"/>
        </w:rPr>
      </w:pPr>
      <w:r w:rsidRPr="008E2822">
        <w:rPr>
          <w:szCs w:val="22"/>
        </w:rPr>
        <w:t xml:space="preserve">2. </w:t>
      </w:r>
      <w:r w:rsidRPr="008E2822">
        <w:rPr>
          <w:b/>
          <w:szCs w:val="22"/>
        </w:rPr>
        <w:t>Външни</w:t>
      </w:r>
      <w:r w:rsidRPr="008E2822">
        <w:rPr>
          <w:szCs w:val="22"/>
        </w:rPr>
        <w:t xml:space="preserve"> -</w:t>
      </w:r>
      <w:r w:rsidR="00CD2679" w:rsidRPr="008E2822">
        <w:rPr>
          <w:szCs w:val="22"/>
        </w:rPr>
        <w:t xml:space="preserve"> </w:t>
      </w:r>
      <w:r w:rsidRPr="008E2822">
        <w:rPr>
          <w:szCs w:val="22"/>
        </w:rPr>
        <w:t>свързани</w:t>
      </w:r>
      <w:r w:rsidR="00CD2679" w:rsidRPr="008E2822">
        <w:rPr>
          <w:szCs w:val="22"/>
        </w:rPr>
        <w:t xml:space="preserve"> </w:t>
      </w:r>
      <w:r w:rsidRPr="008E2822">
        <w:rPr>
          <w:szCs w:val="22"/>
        </w:rPr>
        <w:t>с</w:t>
      </w:r>
      <w:r w:rsidR="00CD2679" w:rsidRPr="008E2822">
        <w:rPr>
          <w:szCs w:val="22"/>
        </w:rPr>
        <w:t xml:space="preserve"> </w:t>
      </w:r>
      <w:r w:rsidRPr="008E2822">
        <w:rPr>
          <w:szCs w:val="22"/>
        </w:rPr>
        <w:t>макроикономически,</w:t>
      </w:r>
      <w:r w:rsidR="00CD2679" w:rsidRPr="008E2822">
        <w:rPr>
          <w:szCs w:val="22"/>
        </w:rPr>
        <w:t xml:space="preserve"> </w:t>
      </w:r>
      <w:r w:rsidRPr="008E2822">
        <w:rPr>
          <w:szCs w:val="22"/>
        </w:rPr>
        <w:t>политически</w:t>
      </w:r>
      <w:r w:rsidR="00CD2679" w:rsidRPr="008E2822">
        <w:rPr>
          <w:szCs w:val="22"/>
        </w:rPr>
        <w:t xml:space="preserve"> </w:t>
      </w:r>
      <w:r w:rsidRPr="008E2822">
        <w:rPr>
          <w:szCs w:val="22"/>
        </w:rPr>
        <w:t>и</w:t>
      </w:r>
      <w:r w:rsidR="00CD2679" w:rsidRPr="008E2822">
        <w:rPr>
          <w:szCs w:val="22"/>
        </w:rPr>
        <w:t xml:space="preserve"> </w:t>
      </w:r>
      <w:r w:rsidRPr="008E2822">
        <w:rPr>
          <w:szCs w:val="22"/>
        </w:rPr>
        <w:t>други</w:t>
      </w:r>
      <w:r w:rsidR="00CD2679" w:rsidRPr="008E2822">
        <w:rPr>
          <w:szCs w:val="22"/>
        </w:rPr>
        <w:t xml:space="preserve"> </w:t>
      </w:r>
      <w:r w:rsidRPr="008E2822">
        <w:rPr>
          <w:szCs w:val="22"/>
        </w:rPr>
        <w:t>фактори,</w:t>
      </w:r>
      <w:r w:rsidR="00CD2679" w:rsidRPr="008E2822">
        <w:rPr>
          <w:szCs w:val="22"/>
        </w:rPr>
        <w:t xml:space="preserve"> </w:t>
      </w:r>
      <w:r w:rsidRPr="008E2822">
        <w:rPr>
          <w:szCs w:val="22"/>
        </w:rPr>
        <w:t>които</w:t>
      </w:r>
      <w:r w:rsidR="00CD2679" w:rsidRPr="008E2822">
        <w:rPr>
          <w:szCs w:val="22"/>
        </w:rPr>
        <w:t xml:space="preserve"> </w:t>
      </w:r>
      <w:r w:rsidRPr="008E2822">
        <w:rPr>
          <w:szCs w:val="22"/>
        </w:rPr>
        <w:t xml:space="preserve">оказват и/или могат да окажат влияние върху </w:t>
      </w:r>
      <w:r w:rsidR="00885186" w:rsidRPr="008E2822">
        <w:rPr>
          <w:szCs w:val="22"/>
        </w:rPr>
        <w:t>дейността на Борсата, например:</w:t>
      </w:r>
    </w:p>
    <w:p w:rsidR="006C79E6" w:rsidRPr="008E2822" w:rsidRDefault="006C79E6" w:rsidP="006C79E6">
      <w:pPr>
        <w:ind w:firstLine="708"/>
        <w:rPr>
          <w:szCs w:val="22"/>
        </w:rPr>
      </w:pPr>
      <w:r w:rsidRPr="008E2822">
        <w:rPr>
          <w:szCs w:val="22"/>
        </w:rPr>
        <w:t xml:space="preserve">- Неблагоприятни промени в нормативната </w:t>
      </w:r>
      <w:proofErr w:type="gramStart"/>
      <w:r w:rsidRPr="008E2822">
        <w:rPr>
          <w:szCs w:val="22"/>
        </w:rPr>
        <w:t>уредба</w:t>
      </w:r>
      <w:proofErr w:type="gramEnd"/>
    </w:p>
    <w:p w:rsidR="006C79E6" w:rsidRPr="008E2822" w:rsidRDefault="006C79E6" w:rsidP="006C79E6">
      <w:pPr>
        <w:ind w:firstLine="708"/>
        <w:rPr>
          <w:szCs w:val="22"/>
        </w:rPr>
      </w:pPr>
      <w:r w:rsidRPr="008E2822">
        <w:rPr>
          <w:szCs w:val="22"/>
        </w:rPr>
        <w:t xml:space="preserve">- Рискове, свързани с прехвърлянето на важни дейности на трета страна – </w:t>
      </w:r>
      <w:proofErr w:type="gramStart"/>
      <w:r w:rsidRPr="008E2822">
        <w:rPr>
          <w:szCs w:val="22"/>
        </w:rPr>
        <w:t>изпълнител</w:t>
      </w:r>
      <w:proofErr w:type="gramEnd"/>
    </w:p>
    <w:p w:rsidR="006C79E6" w:rsidRPr="008E2822" w:rsidRDefault="006C79E6" w:rsidP="006C79E6">
      <w:pPr>
        <w:ind w:firstLine="708"/>
        <w:rPr>
          <w:szCs w:val="22"/>
        </w:rPr>
      </w:pPr>
      <w:r w:rsidRPr="008E2822">
        <w:rPr>
          <w:szCs w:val="22"/>
        </w:rPr>
        <w:t xml:space="preserve">- Политически </w:t>
      </w:r>
      <w:proofErr w:type="gramStart"/>
      <w:r w:rsidRPr="008E2822">
        <w:rPr>
          <w:szCs w:val="22"/>
        </w:rPr>
        <w:t>изменения</w:t>
      </w:r>
      <w:proofErr w:type="gramEnd"/>
    </w:p>
    <w:p w:rsidR="006C79E6" w:rsidRPr="008E2822" w:rsidRDefault="006C79E6" w:rsidP="006C79E6">
      <w:pPr>
        <w:ind w:firstLine="708"/>
        <w:rPr>
          <w:szCs w:val="22"/>
        </w:rPr>
      </w:pPr>
      <w:r w:rsidRPr="008E2822">
        <w:rPr>
          <w:szCs w:val="22"/>
        </w:rPr>
        <w:t xml:space="preserve">- Изменения в данъчната </w:t>
      </w:r>
      <w:proofErr w:type="gramStart"/>
      <w:r w:rsidRPr="008E2822">
        <w:rPr>
          <w:szCs w:val="22"/>
        </w:rPr>
        <w:t>уредба</w:t>
      </w:r>
      <w:proofErr w:type="gramEnd"/>
    </w:p>
    <w:p w:rsidR="006C79E6" w:rsidRPr="008E2822" w:rsidRDefault="006C79E6" w:rsidP="006C79E6">
      <w:pPr>
        <w:ind w:firstLine="708"/>
        <w:rPr>
          <w:szCs w:val="22"/>
        </w:rPr>
      </w:pPr>
      <w:r w:rsidRPr="008E2822">
        <w:rPr>
          <w:szCs w:val="22"/>
        </w:rPr>
        <w:t xml:space="preserve">- Рискове от физическо </w:t>
      </w:r>
      <w:proofErr w:type="gramStart"/>
      <w:r w:rsidRPr="008E2822">
        <w:rPr>
          <w:szCs w:val="22"/>
        </w:rPr>
        <w:t>вмешателство</w:t>
      </w:r>
      <w:proofErr w:type="gramEnd"/>
      <w:r w:rsidRPr="008E2822">
        <w:rPr>
          <w:szCs w:val="22"/>
        </w:rPr>
        <w:t>.</w:t>
      </w:r>
    </w:p>
    <w:p w:rsidR="006C79E6" w:rsidRPr="008E2822" w:rsidRDefault="006C79E6" w:rsidP="006C79E6">
      <w:pPr>
        <w:rPr>
          <w:szCs w:val="22"/>
        </w:rPr>
      </w:pPr>
    </w:p>
    <w:p w:rsidR="006C79E6" w:rsidRPr="008E2822" w:rsidRDefault="006C79E6" w:rsidP="006C79E6">
      <w:pPr>
        <w:rPr>
          <w:szCs w:val="22"/>
        </w:rPr>
      </w:pPr>
      <w:r w:rsidRPr="008E2822">
        <w:rPr>
          <w:szCs w:val="22"/>
        </w:rPr>
        <w:t xml:space="preserve">3. </w:t>
      </w:r>
      <w:r w:rsidRPr="008E2822">
        <w:rPr>
          <w:b/>
          <w:szCs w:val="22"/>
        </w:rPr>
        <w:t>Други рискове, свързани с дейността на БФБ-София</w:t>
      </w:r>
      <w:r w:rsidRPr="008E2822">
        <w:rPr>
          <w:szCs w:val="22"/>
        </w:rPr>
        <w:t xml:space="preserve"> – други рискове, свързани с предлаганите услуги, неидентифицирани в правилата за управление на риска на </w:t>
      </w:r>
      <w:r w:rsidR="00840B0D" w:rsidRPr="008E2822">
        <w:rPr>
          <w:szCs w:val="22"/>
        </w:rPr>
        <w:t>БФБ-</w:t>
      </w:r>
      <w:proofErr w:type="gramStart"/>
      <w:r w:rsidR="00840B0D" w:rsidRPr="008E2822">
        <w:rPr>
          <w:szCs w:val="22"/>
        </w:rPr>
        <w:t>София</w:t>
      </w:r>
      <w:proofErr w:type="gramEnd"/>
    </w:p>
    <w:p w:rsidR="006C79E6" w:rsidRPr="008E2822" w:rsidRDefault="006C79E6" w:rsidP="006C79E6">
      <w:pPr>
        <w:ind w:firstLine="708"/>
        <w:rPr>
          <w:szCs w:val="22"/>
        </w:rPr>
      </w:pPr>
      <w:r w:rsidRPr="008E2822">
        <w:rPr>
          <w:szCs w:val="22"/>
        </w:rPr>
        <w:t xml:space="preserve">- Пазарен </w:t>
      </w:r>
      <w:proofErr w:type="gramStart"/>
      <w:r w:rsidRPr="008E2822">
        <w:rPr>
          <w:szCs w:val="22"/>
        </w:rPr>
        <w:t>риск</w:t>
      </w:r>
      <w:proofErr w:type="gramEnd"/>
    </w:p>
    <w:p w:rsidR="006C79E6" w:rsidRPr="008E2822" w:rsidRDefault="006C79E6" w:rsidP="006C79E6">
      <w:pPr>
        <w:ind w:firstLine="708"/>
        <w:rPr>
          <w:szCs w:val="22"/>
        </w:rPr>
      </w:pPr>
      <w:r w:rsidRPr="008E2822">
        <w:rPr>
          <w:szCs w:val="22"/>
        </w:rPr>
        <w:t xml:space="preserve">- Ценови </w:t>
      </w:r>
      <w:proofErr w:type="gramStart"/>
      <w:r w:rsidRPr="008E2822">
        <w:rPr>
          <w:szCs w:val="22"/>
        </w:rPr>
        <w:t>риск</w:t>
      </w:r>
      <w:proofErr w:type="gramEnd"/>
    </w:p>
    <w:p w:rsidR="006C79E6" w:rsidRPr="008E2822" w:rsidRDefault="006C79E6" w:rsidP="006C79E6">
      <w:pPr>
        <w:ind w:firstLine="708"/>
        <w:rPr>
          <w:szCs w:val="22"/>
        </w:rPr>
      </w:pPr>
      <w:r w:rsidRPr="008E2822">
        <w:rPr>
          <w:szCs w:val="22"/>
        </w:rPr>
        <w:t xml:space="preserve">- Валутен </w:t>
      </w:r>
      <w:proofErr w:type="gramStart"/>
      <w:r w:rsidRPr="008E2822">
        <w:rPr>
          <w:szCs w:val="22"/>
        </w:rPr>
        <w:t>риск</w:t>
      </w:r>
      <w:proofErr w:type="gramEnd"/>
    </w:p>
    <w:p w:rsidR="006C79E6" w:rsidRPr="008E2822" w:rsidRDefault="006C79E6" w:rsidP="006C79E6">
      <w:pPr>
        <w:ind w:firstLine="708"/>
        <w:rPr>
          <w:szCs w:val="22"/>
        </w:rPr>
      </w:pPr>
      <w:r w:rsidRPr="008E2822">
        <w:rPr>
          <w:szCs w:val="22"/>
        </w:rPr>
        <w:t xml:space="preserve">- Лихвен </w:t>
      </w:r>
      <w:proofErr w:type="gramStart"/>
      <w:r w:rsidRPr="008E2822">
        <w:rPr>
          <w:szCs w:val="22"/>
        </w:rPr>
        <w:t xml:space="preserve">риск </w:t>
      </w:r>
      <w:proofErr w:type="gramEnd"/>
    </w:p>
    <w:p w:rsidR="006C79E6" w:rsidRPr="008E2822" w:rsidRDefault="006C79E6" w:rsidP="006C79E6">
      <w:pPr>
        <w:ind w:firstLine="708"/>
        <w:rPr>
          <w:szCs w:val="22"/>
        </w:rPr>
      </w:pPr>
      <w:r w:rsidRPr="008E2822">
        <w:rPr>
          <w:szCs w:val="22"/>
        </w:rPr>
        <w:t xml:space="preserve">- Ликвиден </w:t>
      </w:r>
      <w:proofErr w:type="gramStart"/>
      <w:r w:rsidRPr="008E2822">
        <w:rPr>
          <w:szCs w:val="22"/>
        </w:rPr>
        <w:t>риск</w:t>
      </w:r>
      <w:proofErr w:type="gramEnd"/>
    </w:p>
    <w:p w:rsidR="006C79E6" w:rsidRPr="008E2822" w:rsidRDefault="006C79E6" w:rsidP="006C79E6">
      <w:pPr>
        <w:rPr>
          <w:szCs w:val="22"/>
        </w:rPr>
      </w:pPr>
      <w:r w:rsidRPr="008E2822">
        <w:rPr>
          <w:szCs w:val="22"/>
        </w:rPr>
        <w:t xml:space="preserve">4. </w:t>
      </w:r>
      <w:r w:rsidRPr="008E2822">
        <w:rPr>
          <w:b/>
          <w:szCs w:val="22"/>
        </w:rPr>
        <w:t xml:space="preserve">Общи (систематични) </w:t>
      </w:r>
      <w:proofErr w:type="gramStart"/>
      <w:r w:rsidRPr="008E2822">
        <w:rPr>
          <w:b/>
          <w:szCs w:val="22"/>
        </w:rPr>
        <w:t>рискове</w:t>
      </w:r>
      <w:r w:rsidRPr="008E2822">
        <w:rPr>
          <w:szCs w:val="22"/>
        </w:rPr>
        <w:t xml:space="preserve"> - Общите рискове</w:t>
      </w:r>
      <w:proofErr w:type="gramEnd"/>
      <w:r w:rsidRPr="008E2822">
        <w:rPr>
          <w:szCs w:val="22"/>
        </w:rPr>
        <w:t xml:space="preserve"> произтичат от възможни промени </w:t>
      </w:r>
      <w:r w:rsidRPr="008E2822">
        <w:rPr>
          <w:szCs w:val="22"/>
        </w:rPr>
        <w:lastRenderedPageBreak/>
        <w:t xml:space="preserve">в цялостната икономическа система и по-конкретно, промяна на условията на финансовите пазари. Те не могат да се </w:t>
      </w:r>
      <w:proofErr w:type="spellStart"/>
      <w:r w:rsidRPr="008E2822">
        <w:rPr>
          <w:szCs w:val="22"/>
        </w:rPr>
        <w:t>диверсифицират</w:t>
      </w:r>
      <w:proofErr w:type="spellEnd"/>
      <w:r w:rsidRPr="008E2822">
        <w:rPr>
          <w:szCs w:val="22"/>
        </w:rPr>
        <w:t xml:space="preserve">, тъй като на тях са изложени всички стопански субекти в </w:t>
      </w:r>
      <w:proofErr w:type="gramStart"/>
      <w:r w:rsidRPr="008E2822">
        <w:rPr>
          <w:szCs w:val="22"/>
        </w:rPr>
        <w:t xml:space="preserve">страната. </w:t>
      </w:r>
      <w:proofErr w:type="gramEnd"/>
    </w:p>
    <w:p w:rsidR="006C79E6" w:rsidRPr="008E2822" w:rsidRDefault="006C79E6" w:rsidP="006C79E6">
      <w:pPr>
        <w:ind w:firstLine="708"/>
        <w:rPr>
          <w:szCs w:val="22"/>
        </w:rPr>
      </w:pPr>
      <w:r w:rsidRPr="008E2822">
        <w:rPr>
          <w:szCs w:val="22"/>
        </w:rPr>
        <w:t xml:space="preserve">- Кредитен </w:t>
      </w:r>
      <w:proofErr w:type="gramStart"/>
      <w:r w:rsidRPr="008E2822">
        <w:rPr>
          <w:szCs w:val="22"/>
        </w:rPr>
        <w:t>риск</w:t>
      </w:r>
      <w:proofErr w:type="gramEnd"/>
    </w:p>
    <w:p w:rsidR="006C79E6" w:rsidRPr="008E2822" w:rsidRDefault="006C79E6" w:rsidP="006C79E6">
      <w:pPr>
        <w:ind w:firstLine="708"/>
        <w:rPr>
          <w:szCs w:val="22"/>
        </w:rPr>
      </w:pPr>
      <w:r w:rsidRPr="008E2822">
        <w:rPr>
          <w:szCs w:val="22"/>
        </w:rPr>
        <w:t xml:space="preserve">- Икономически растеж и външна </w:t>
      </w:r>
      <w:proofErr w:type="gramStart"/>
      <w:r w:rsidRPr="008E2822">
        <w:rPr>
          <w:szCs w:val="22"/>
        </w:rPr>
        <w:t>задлъжнялост</w:t>
      </w:r>
      <w:proofErr w:type="gramEnd"/>
    </w:p>
    <w:p w:rsidR="006C79E6" w:rsidRPr="008E2822" w:rsidRDefault="006C79E6" w:rsidP="006C79E6">
      <w:pPr>
        <w:ind w:firstLine="708"/>
        <w:rPr>
          <w:szCs w:val="22"/>
        </w:rPr>
      </w:pPr>
      <w:r w:rsidRPr="008E2822">
        <w:rPr>
          <w:szCs w:val="22"/>
        </w:rPr>
        <w:t xml:space="preserve">- Инфлационен </w:t>
      </w:r>
      <w:proofErr w:type="gramStart"/>
      <w:r w:rsidRPr="008E2822">
        <w:rPr>
          <w:szCs w:val="22"/>
        </w:rPr>
        <w:t>риск</w:t>
      </w:r>
      <w:proofErr w:type="gramEnd"/>
    </w:p>
    <w:p w:rsidR="006C79E6" w:rsidRPr="008E2822" w:rsidRDefault="006C79E6" w:rsidP="006C79E6">
      <w:pPr>
        <w:ind w:firstLine="708"/>
        <w:rPr>
          <w:szCs w:val="22"/>
        </w:rPr>
      </w:pPr>
      <w:r w:rsidRPr="008E2822">
        <w:rPr>
          <w:szCs w:val="22"/>
        </w:rPr>
        <w:t xml:space="preserve">- </w:t>
      </w:r>
      <w:proofErr w:type="gramStart"/>
      <w:r w:rsidRPr="008E2822">
        <w:rPr>
          <w:szCs w:val="22"/>
        </w:rPr>
        <w:t>Безработица</w:t>
      </w:r>
      <w:proofErr w:type="gramEnd"/>
    </w:p>
    <w:p w:rsidR="006C79E6" w:rsidRPr="008E2822" w:rsidRDefault="006C79E6" w:rsidP="006C79E6">
      <w:pPr>
        <w:ind w:firstLine="708"/>
        <w:rPr>
          <w:szCs w:val="22"/>
        </w:rPr>
      </w:pPr>
      <w:r w:rsidRPr="008E2822">
        <w:rPr>
          <w:szCs w:val="22"/>
        </w:rPr>
        <w:t xml:space="preserve">- Валутен риск и валутен </w:t>
      </w:r>
      <w:proofErr w:type="gramStart"/>
      <w:r w:rsidRPr="008E2822">
        <w:rPr>
          <w:szCs w:val="22"/>
        </w:rPr>
        <w:t>борд</w:t>
      </w:r>
      <w:proofErr w:type="gramEnd"/>
    </w:p>
    <w:p w:rsidR="006C79E6" w:rsidRPr="008E2822" w:rsidRDefault="006C79E6" w:rsidP="006C79E6">
      <w:pPr>
        <w:ind w:firstLine="708"/>
        <w:rPr>
          <w:szCs w:val="22"/>
        </w:rPr>
      </w:pPr>
      <w:r w:rsidRPr="008E2822">
        <w:rPr>
          <w:szCs w:val="22"/>
        </w:rPr>
        <w:t xml:space="preserve">- Лихвен </w:t>
      </w:r>
      <w:proofErr w:type="gramStart"/>
      <w:r w:rsidRPr="008E2822">
        <w:rPr>
          <w:szCs w:val="22"/>
        </w:rPr>
        <w:t>риск</w:t>
      </w:r>
      <w:proofErr w:type="gramEnd"/>
    </w:p>
    <w:p w:rsidR="006C79E6" w:rsidRPr="008E2822" w:rsidRDefault="006C79E6" w:rsidP="006C79E6">
      <w:pPr>
        <w:ind w:firstLine="708"/>
        <w:rPr>
          <w:szCs w:val="22"/>
        </w:rPr>
      </w:pPr>
      <w:r w:rsidRPr="008E2822">
        <w:rPr>
          <w:szCs w:val="22"/>
        </w:rPr>
        <w:t xml:space="preserve">- Данъчно </w:t>
      </w:r>
      <w:proofErr w:type="gramStart"/>
      <w:r w:rsidRPr="008E2822">
        <w:rPr>
          <w:szCs w:val="22"/>
        </w:rPr>
        <w:t>облагане</w:t>
      </w:r>
      <w:proofErr w:type="gramEnd"/>
    </w:p>
    <w:p w:rsidR="006C79E6" w:rsidRPr="008E2822" w:rsidRDefault="006C79E6" w:rsidP="006C79E6">
      <w:pPr>
        <w:ind w:firstLine="708"/>
        <w:rPr>
          <w:szCs w:val="22"/>
        </w:rPr>
      </w:pPr>
      <w:r w:rsidRPr="008E2822">
        <w:rPr>
          <w:szCs w:val="22"/>
        </w:rPr>
        <w:t xml:space="preserve">- Други системни </w:t>
      </w:r>
      <w:proofErr w:type="gramStart"/>
      <w:r w:rsidRPr="008E2822">
        <w:rPr>
          <w:szCs w:val="22"/>
        </w:rPr>
        <w:t>рискове</w:t>
      </w:r>
      <w:proofErr w:type="gramEnd"/>
    </w:p>
    <w:p w:rsidR="006C79E6" w:rsidRPr="008E2822" w:rsidRDefault="006C79E6" w:rsidP="006C79E6">
      <w:pPr>
        <w:rPr>
          <w:szCs w:val="22"/>
        </w:rPr>
      </w:pPr>
    </w:p>
    <w:p w:rsidR="00316DE1" w:rsidRPr="008E2822" w:rsidRDefault="00316DE1" w:rsidP="006C79E6">
      <w:pPr>
        <w:rPr>
          <w:szCs w:val="22"/>
        </w:rPr>
      </w:pPr>
      <w:r w:rsidRPr="008E2822">
        <w:rPr>
          <w:szCs w:val="22"/>
        </w:rPr>
        <w:t xml:space="preserve">Подробно описание на рисковете, характерни за дейността на БФБ-София, е представено в т. 4 „Рискови фактори” от регистрационния документ (стр. 12 – 24), представляващ Част І от одобреният от комисията по финансов надзор проспект с решение № 816 – ПД/15.12.2010 г. за допускане на акциите на БФБ-София до търговия на регулиран пазар. </w:t>
      </w:r>
      <w:proofErr w:type="gramStart"/>
      <w:r w:rsidRPr="008E2822">
        <w:rPr>
          <w:szCs w:val="22"/>
        </w:rPr>
        <w:t>Проспектът може да бъде намерен на интернет страницата на БФБ-София в секция „</w:t>
      </w:r>
      <w:r w:rsidR="00885186" w:rsidRPr="008E2822">
        <w:rPr>
          <w:szCs w:val="22"/>
        </w:rPr>
        <w:t>П</w:t>
      </w:r>
      <w:r w:rsidRPr="008E2822">
        <w:rPr>
          <w:szCs w:val="22"/>
        </w:rPr>
        <w:t>роспект</w:t>
      </w:r>
      <w:proofErr w:type="gramEnd"/>
      <w:r w:rsidRPr="008E2822">
        <w:rPr>
          <w:szCs w:val="22"/>
        </w:rPr>
        <w:t xml:space="preserve"> на БФБ-София”.</w:t>
      </w:r>
    </w:p>
    <w:p w:rsidR="006C79E6" w:rsidRPr="008E2822" w:rsidRDefault="00316DE1" w:rsidP="006C79E6">
      <w:pPr>
        <w:rPr>
          <w:szCs w:val="22"/>
        </w:rPr>
      </w:pPr>
      <w:r w:rsidRPr="008E2822">
        <w:rPr>
          <w:szCs w:val="22"/>
        </w:rPr>
        <w:br w:type="page"/>
      </w:r>
    </w:p>
    <w:p w:rsidR="008C47C4" w:rsidRPr="008E2822" w:rsidRDefault="008C47C4" w:rsidP="00BA4CF8">
      <w:pPr>
        <w:pStyle w:val="Mainnumbers"/>
        <w:outlineLvl w:val="0"/>
      </w:pPr>
      <w:bookmarkStart w:id="48" w:name="_Toc362884507"/>
      <w:r w:rsidRPr="008E2822">
        <w:lastRenderedPageBreak/>
        <w:t xml:space="preserve">Акционерна структура на </w:t>
      </w:r>
      <w:r w:rsidR="001E69E4" w:rsidRPr="008E2822">
        <w:t>БФБ-</w:t>
      </w:r>
      <w:proofErr w:type="gramStart"/>
      <w:r w:rsidR="001E69E4" w:rsidRPr="008E2822">
        <w:t>София</w:t>
      </w:r>
      <w:bookmarkEnd w:id="47"/>
      <w:bookmarkEnd w:id="48"/>
      <w:r w:rsidR="001E69E4" w:rsidRPr="008E2822">
        <w:t xml:space="preserve"> </w:t>
      </w:r>
      <w:proofErr w:type="gramEnd"/>
    </w:p>
    <w:p w:rsidR="00F07BBE" w:rsidRPr="008E2822" w:rsidRDefault="00F07BBE" w:rsidP="008D1E64">
      <w:pPr>
        <w:tabs>
          <w:tab w:val="left" w:pos="360"/>
        </w:tabs>
        <w:rPr>
          <w:szCs w:val="22"/>
        </w:rPr>
      </w:pPr>
      <w:r w:rsidRPr="008E2822">
        <w:rPr>
          <w:szCs w:val="22"/>
        </w:rPr>
        <w:t xml:space="preserve">Съгласно направена справка, към </w:t>
      </w:r>
      <w:r w:rsidR="00F44AC4" w:rsidRPr="008E2822">
        <w:rPr>
          <w:szCs w:val="22"/>
        </w:rPr>
        <w:t>30</w:t>
      </w:r>
      <w:r w:rsidRPr="008E2822">
        <w:rPr>
          <w:szCs w:val="22"/>
        </w:rPr>
        <w:t xml:space="preserve"> </w:t>
      </w:r>
      <w:r w:rsidR="00F44AC4" w:rsidRPr="008E2822">
        <w:rPr>
          <w:szCs w:val="22"/>
        </w:rPr>
        <w:t xml:space="preserve">юни </w:t>
      </w:r>
      <w:r w:rsidRPr="008E2822">
        <w:rPr>
          <w:szCs w:val="22"/>
        </w:rPr>
        <w:t>20</w:t>
      </w:r>
      <w:r w:rsidR="000B79F0" w:rsidRPr="008E2822">
        <w:rPr>
          <w:szCs w:val="22"/>
        </w:rPr>
        <w:t>1</w:t>
      </w:r>
      <w:r w:rsidR="00316DE1" w:rsidRPr="008E2822">
        <w:rPr>
          <w:szCs w:val="22"/>
        </w:rPr>
        <w:t xml:space="preserve">3 </w:t>
      </w:r>
      <w:r w:rsidRPr="008E2822">
        <w:rPr>
          <w:szCs w:val="22"/>
        </w:rPr>
        <w:t xml:space="preserve">г. акционерният състав на </w:t>
      </w:r>
      <w:r w:rsidR="00725E78" w:rsidRPr="008E2822">
        <w:rPr>
          <w:szCs w:val="22"/>
        </w:rPr>
        <w:t>Б</w:t>
      </w:r>
      <w:r w:rsidRPr="008E2822">
        <w:rPr>
          <w:szCs w:val="22"/>
        </w:rPr>
        <w:t xml:space="preserve">орсата е концентриран в </w:t>
      </w:r>
      <w:r w:rsidR="00F44AC4" w:rsidRPr="008E2822">
        <w:rPr>
          <w:szCs w:val="22"/>
        </w:rPr>
        <w:t>четири</w:t>
      </w:r>
      <w:r w:rsidRPr="008E2822">
        <w:rPr>
          <w:szCs w:val="22"/>
        </w:rPr>
        <w:t xml:space="preserve"> основни вида лица, както следва:</w:t>
      </w:r>
    </w:p>
    <w:p w:rsidR="00115992" w:rsidRPr="008E2822" w:rsidRDefault="00115992" w:rsidP="008D1E64">
      <w:pPr>
        <w:pStyle w:val="a2"/>
        <w:tabs>
          <w:tab w:val="left" w:pos="360"/>
        </w:tabs>
      </w:pPr>
    </w:p>
    <w:p w:rsidR="00115992" w:rsidRPr="008E2822" w:rsidRDefault="00115992" w:rsidP="004D48E7">
      <w:pPr>
        <w:pStyle w:val="a2"/>
        <w:tabs>
          <w:tab w:val="left" w:pos="360"/>
        </w:tabs>
        <w:jc w:val="left"/>
        <w:rPr>
          <w:b/>
          <w:i w:val="0"/>
        </w:rPr>
      </w:pPr>
      <w:r w:rsidRPr="008E2822">
        <w:rPr>
          <w:b/>
          <w:i w:val="0"/>
        </w:rPr>
        <w:t xml:space="preserve">Таблица </w:t>
      </w:r>
      <w:r w:rsidR="00316DE1" w:rsidRPr="008E2822">
        <w:rPr>
          <w:b/>
          <w:i w:val="0"/>
        </w:rPr>
        <w:t>13</w:t>
      </w:r>
      <w:r w:rsidR="0098481A" w:rsidRPr="008E2822">
        <w:rPr>
          <w:b/>
          <w:i w:val="0"/>
        </w:rPr>
        <w:t xml:space="preserve">. Акционерна структура към </w:t>
      </w:r>
      <w:r w:rsidR="00127CB4" w:rsidRPr="008E2822">
        <w:rPr>
          <w:b/>
          <w:i w:val="0"/>
        </w:rPr>
        <w:t>30</w:t>
      </w:r>
      <w:r w:rsidR="0098481A" w:rsidRPr="008E2822">
        <w:rPr>
          <w:b/>
          <w:i w:val="0"/>
        </w:rPr>
        <w:t>.</w:t>
      </w:r>
      <w:r w:rsidR="00127CB4" w:rsidRPr="008E2822">
        <w:rPr>
          <w:b/>
          <w:i w:val="0"/>
        </w:rPr>
        <w:t>06</w:t>
      </w:r>
      <w:r w:rsidR="0098481A" w:rsidRPr="008E2822">
        <w:rPr>
          <w:b/>
          <w:i w:val="0"/>
        </w:rPr>
        <w:t>.201</w:t>
      </w:r>
      <w:r w:rsidR="00316DE1" w:rsidRPr="008E2822">
        <w:rPr>
          <w:b/>
          <w:i w:val="0"/>
        </w:rPr>
        <w:t>3</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46"/>
      </w:tblGrid>
      <w:tr w:rsidR="00F11C3A" w:rsidRPr="008E2822" w:rsidTr="00F70F5C">
        <w:trPr>
          <w:jc w:val="center"/>
        </w:trPr>
        <w:tc>
          <w:tcPr>
            <w:tcW w:w="8046" w:type="dxa"/>
          </w:tcPr>
          <w:tbl>
            <w:tblPr>
              <w:tblW w:w="7947" w:type="dxa"/>
              <w:jc w:val="center"/>
              <w:tblLayout w:type="fixed"/>
              <w:tblCellMar>
                <w:left w:w="70" w:type="dxa"/>
                <w:right w:w="70" w:type="dxa"/>
              </w:tblCellMar>
              <w:tblLook w:val="04A0" w:firstRow="1" w:lastRow="0" w:firstColumn="1" w:lastColumn="0" w:noHBand="0" w:noVBand="1"/>
            </w:tblPr>
            <w:tblGrid>
              <w:gridCol w:w="5000"/>
              <w:gridCol w:w="1680"/>
              <w:gridCol w:w="1267"/>
            </w:tblGrid>
            <w:tr w:rsidR="00127CB4" w:rsidRPr="008E2822" w:rsidTr="00127CB4">
              <w:trPr>
                <w:trHeight w:val="170"/>
                <w:jc w:val="center"/>
              </w:trPr>
              <w:tc>
                <w:tcPr>
                  <w:tcW w:w="5000" w:type="dxa"/>
                  <w:tcBorders>
                    <w:top w:val="single" w:sz="4" w:space="0" w:color="auto"/>
                    <w:left w:val="single" w:sz="4" w:space="0" w:color="auto"/>
                    <w:bottom w:val="single" w:sz="4" w:space="0" w:color="auto"/>
                    <w:right w:val="single" w:sz="4" w:space="0" w:color="auto"/>
                  </w:tcBorders>
                  <w:shd w:val="clear" w:color="000000" w:fill="4F81BD"/>
                  <w:noWrap/>
                  <w:vAlign w:val="center"/>
                  <w:hideMark/>
                </w:tcPr>
                <w:p w:rsidR="00127CB4" w:rsidRPr="008E2822" w:rsidRDefault="00127CB4" w:rsidP="00127CB4">
                  <w:pPr>
                    <w:widowControl/>
                    <w:jc w:val="center"/>
                    <w:rPr>
                      <w:b/>
                      <w:bCs/>
                      <w:color w:val="FFFFFF"/>
                      <w:sz w:val="20"/>
                      <w:szCs w:val="20"/>
                    </w:rPr>
                  </w:pPr>
                  <w:r w:rsidRPr="008E2822">
                    <w:rPr>
                      <w:rFonts w:cs="Arial"/>
                      <w:b/>
                      <w:bCs/>
                      <w:color w:val="FFFFFF" w:themeColor="background1"/>
                      <w:sz w:val="20"/>
                      <w:szCs w:val="20"/>
                    </w:rPr>
                    <w:t>Вид</w:t>
                  </w:r>
                </w:p>
              </w:tc>
              <w:tc>
                <w:tcPr>
                  <w:tcW w:w="1680" w:type="dxa"/>
                  <w:tcBorders>
                    <w:top w:val="single" w:sz="4" w:space="0" w:color="auto"/>
                    <w:left w:val="nil"/>
                    <w:bottom w:val="single" w:sz="4" w:space="0" w:color="auto"/>
                    <w:right w:val="single" w:sz="4" w:space="0" w:color="auto"/>
                  </w:tcBorders>
                  <w:shd w:val="clear" w:color="000000" w:fill="4F81BD"/>
                  <w:noWrap/>
                  <w:vAlign w:val="center"/>
                  <w:hideMark/>
                </w:tcPr>
                <w:p w:rsidR="00127CB4" w:rsidRPr="008E2822" w:rsidRDefault="00127CB4" w:rsidP="00127CB4">
                  <w:pPr>
                    <w:widowControl/>
                    <w:jc w:val="center"/>
                    <w:rPr>
                      <w:b/>
                      <w:bCs/>
                      <w:color w:val="FFFFFF"/>
                      <w:sz w:val="20"/>
                      <w:szCs w:val="20"/>
                    </w:rPr>
                  </w:pPr>
                  <w:r w:rsidRPr="008E2822">
                    <w:rPr>
                      <w:rFonts w:cs="Arial"/>
                      <w:b/>
                      <w:bCs/>
                      <w:color w:val="FFFFFF" w:themeColor="background1"/>
                      <w:sz w:val="20"/>
                      <w:szCs w:val="20"/>
                    </w:rPr>
                    <w:t>Брой акции</w:t>
                  </w:r>
                </w:p>
              </w:tc>
              <w:tc>
                <w:tcPr>
                  <w:tcW w:w="1267" w:type="dxa"/>
                  <w:tcBorders>
                    <w:top w:val="single" w:sz="4" w:space="0" w:color="auto"/>
                    <w:left w:val="nil"/>
                    <w:bottom w:val="single" w:sz="4" w:space="0" w:color="auto"/>
                    <w:right w:val="single" w:sz="4" w:space="0" w:color="auto"/>
                  </w:tcBorders>
                  <w:shd w:val="clear" w:color="000000" w:fill="4F81BD"/>
                  <w:noWrap/>
                  <w:vAlign w:val="center"/>
                  <w:hideMark/>
                </w:tcPr>
                <w:p w:rsidR="00127CB4" w:rsidRPr="008E2822" w:rsidRDefault="00127CB4" w:rsidP="00127CB4">
                  <w:pPr>
                    <w:widowControl/>
                    <w:jc w:val="center"/>
                    <w:rPr>
                      <w:b/>
                      <w:bCs/>
                      <w:color w:val="FFFFFF"/>
                      <w:sz w:val="20"/>
                      <w:szCs w:val="20"/>
                    </w:rPr>
                  </w:pPr>
                  <w:r w:rsidRPr="008E2822">
                    <w:rPr>
                      <w:rFonts w:cs="Arial"/>
                      <w:b/>
                      <w:bCs/>
                      <w:color w:val="FFFFFF" w:themeColor="background1"/>
                      <w:sz w:val="20"/>
                      <w:szCs w:val="20"/>
                    </w:rPr>
                    <w:t>%</w:t>
                  </w:r>
                </w:p>
              </w:tc>
            </w:tr>
            <w:tr w:rsidR="00127CB4" w:rsidRPr="008E2822" w:rsidTr="00127CB4">
              <w:trPr>
                <w:trHeight w:val="170"/>
                <w:jc w:val="center"/>
              </w:trPr>
              <w:tc>
                <w:tcPr>
                  <w:tcW w:w="5000" w:type="dxa"/>
                  <w:tcBorders>
                    <w:top w:val="nil"/>
                    <w:left w:val="single" w:sz="4" w:space="0" w:color="auto"/>
                    <w:bottom w:val="single" w:sz="4" w:space="0" w:color="auto"/>
                    <w:right w:val="single" w:sz="4" w:space="0" w:color="auto"/>
                  </w:tcBorders>
                  <w:shd w:val="clear" w:color="auto" w:fill="auto"/>
                  <w:noWrap/>
                  <w:vAlign w:val="center"/>
                  <w:hideMark/>
                </w:tcPr>
                <w:p w:rsidR="00127CB4" w:rsidRPr="008E2822" w:rsidRDefault="00127CB4" w:rsidP="00127CB4">
                  <w:pPr>
                    <w:widowControl/>
                    <w:jc w:val="left"/>
                    <w:rPr>
                      <w:color w:val="000000"/>
                      <w:sz w:val="20"/>
                      <w:szCs w:val="20"/>
                    </w:rPr>
                  </w:pPr>
                  <w:r w:rsidRPr="008E2822">
                    <w:rPr>
                      <w:color w:val="000000"/>
                      <w:sz w:val="20"/>
                      <w:szCs w:val="20"/>
                    </w:rPr>
                    <w:t>Министерство на финансите</w:t>
                  </w:r>
                </w:p>
              </w:tc>
              <w:tc>
                <w:tcPr>
                  <w:tcW w:w="1680"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color w:val="000000"/>
                      <w:sz w:val="20"/>
                      <w:szCs w:val="20"/>
                    </w:rPr>
                  </w:pPr>
                  <w:r w:rsidRPr="008E2822">
                    <w:rPr>
                      <w:color w:val="000000"/>
                      <w:sz w:val="20"/>
                      <w:szCs w:val="20"/>
                    </w:rPr>
                    <w:t>3 295 000</w:t>
                  </w:r>
                </w:p>
              </w:tc>
              <w:tc>
                <w:tcPr>
                  <w:tcW w:w="1267"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color w:val="000000"/>
                      <w:sz w:val="20"/>
                      <w:szCs w:val="20"/>
                    </w:rPr>
                  </w:pPr>
                  <w:r w:rsidRPr="008E2822">
                    <w:rPr>
                      <w:color w:val="000000"/>
                      <w:sz w:val="20"/>
                      <w:szCs w:val="20"/>
                    </w:rPr>
                    <w:t>50.05%</w:t>
                  </w:r>
                </w:p>
              </w:tc>
            </w:tr>
            <w:tr w:rsidR="00127CB4" w:rsidRPr="008E2822" w:rsidTr="00127CB4">
              <w:trPr>
                <w:trHeight w:val="170"/>
                <w:jc w:val="center"/>
              </w:trPr>
              <w:tc>
                <w:tcPr>
                  <w:tcW w:w="5000" w:type="dxa"/>
                  <w:tcBorders>
                    <w:top w:val="nil"/>
                    <w:left w:val="single" w:sz="4" w:space="0" w:color="auto"/>
                    <w:bottom w:val="single" w:sz="4" w:space="0" w:color="auto"/>
                    <w:right w:val="single" w:sz="4" w:space="0" w:color="auto"/>
                  </w:tcBorders>
                  <w:shd w:val="clear" w:color="auto" w:fill="auto"/>
                  <w:vAlign w:val="center"/>
                  <w:hideMark/>
                </w:tcPr>
                <w:p w:rsidR="00127CB4" w:rsidRPr="008E2822" w:rsidRDefault="00127CB4" w:rsidP="00127CB4">
                  <w:pPr>
                    <w:widowControl/>
                    <w:jc w:val="left"/>
                    <w:rPr>
                      <w:color w:val="000000"/>
                      <w:sz w:val="20"/>
                      <w:szCs w:val="20"/>
                    </w:rPr>
                  </w:pPr>
                  <w:r w:rsidRPr="008E2822">
                    <w:rPr>
                      <w:color w:val="000000"/>
                      <w:sz w:val="20"/>
                      <w:szCs w:val="20"/>
                    </w:rPr>
                    <w:t>Инвестиционни посредници и търговски банки</w:t>
                  </w:r>
                </w:p>
              </w:tc>
              <w:tc>
                <w:tcPr>
                  <w:tcW w:w="1680" w:type="dxa"/>
                  <w:tcBorders>
                    <w:top w:val="nil"/>
                    <w:left w:val="nil"/>
                    <w:bottom w:val="single" w:sz="4" w:space="0" w:color="auto"/>
                    <w:right w:val="single" w:sz="4" w:space="0" w:color="auto"/>
                  </w:tcBorders>
                  <w:shd w:val="clear" w:color="auto" w:fill="auto"/>
                  <w:vAlign w:val="center"/>
                  <w:hideMark/>
                </w:tcPr>
                <w:p w:rsidR="00127CB4" w:rsidRPr="008E2822" w:rsidRDefault="00127CB4" w:rsidP="00127CB4">
                  <w:pPr>
                    <w:widowControl/>
                    <w:jc w:val="right"/>
                    <w:rPr>
                      <w:color w:val="000000"/>
                      <w:sz w:val="20"/>
                      <w:szCs w:val="20"/>
                    </w:rPr>
                  </w:pPr>
                  <w:r w:rsidRPr="008E2822">
                    <w:rPr>
                      <w:color w:val="000000"/>
                      <w:sz w:val="20"/>
                      <w:szCs w:val="20"/>
                    </w:rPr>
                    <w:t>1 186 007</w:t>
                  </w:r>
                </w:p>
              </w:tc>
              <w:tc>
                <w:tcPr>
                  <w:tcW w:w="1267"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color w:val="000000"/>
                      <w:sz w:val="20"/>
                      <w:szCs w:val="20"/>
                    </w:rPr>
                  </w:pPr>
                  <w:r w:rsidRPr="008E2822">
                    <w:rPr>
                      <w:color w:val="000000"/>
                      <w:sz w:val="20"/>
                      <w:szCs w:val="20"/>
                    </w:rPr>
                    <w:t>18.02%</w:t>
                  </w:r>
                </w:p>
              </w:tc>
            </w:tr>
            <w:tr w:rsidR="00127CB4" w:rsidRPr="008E2822" w:rsidTr="00127CB4">
              <w:trPr>
                <w:trHeight w:val="170"/>
                <w:jc w:val="center"/>
              </w:trPr>
              <w:tc>
                <w:tcPr>
                  <w:tcW w:w="5000" w:type="dxa"/>
                  <w:tcBorders>
                    <w:top w:val="nil"/>
                    <w:left w:val="single" w:sz="4" w:space="0" w:color="auto"/>
                    <w:bottom w:val="single" w:sz="4" w:space="0" w:color="auto"/>
                    <w:right w:val="single" w:sz="4" w:space="0" w:color="auto"/>
                  </w:tcBorders>
                  <w:shd w:val="clear" w:color="auto" w:fill="auto"/>
                  <w:noWrap/>
                  <w:vAlign w:val="center"/>
                  <w:hideMark/>
                </w:tcPr>
                <w:p w:rsidR="00127CB4" w:rsidRPr="008E2822" w:rsidRDefault="00127CB4" w:rsidP="00127CB4">
                  <w:pPr>
                    <w:widowControl/>
                    <w:jc w:val="left"/>
                    <w:rPr>
                      <w:color w:val="000000"/>
                      <w:sz w:val="20"/>
                      <w:szCs w:val="20"/>
                    </w:rPr>
                  </w:pPr>
                  <w:r w:rsidRPr="008E2822">
                    <w:rPr>
                      <w:color w:val="000000"/>
                      <w:sz w:val="20"/>
                      <w:szCs w:val="20"/>
                    </w:rPr>
                    <w:t>Други юридически лица</w:t>
                  </w:r>
                </w:p>
              </w:tc>
              <w:tc>
                <w:tcPr>
                  <w:tcW w:w="1680" w:type="dxa"/>
                  <w:tcBorders>
                    <w:top w:val="nil"/>
                    <w:left w:val="nil"/>
                    <w:bottom w:val="single" w:sz="4" w:space="0" w:color="auto"/>
                    <w:right w:val="single" w:sz="4" w:space="0" w:color="auto"/>
                  </w:tcBorders>
                  <w:shd w:val="clear" w:color="auto" w:fill="auto"/>
                  <w:vAlign w:val="center"/>
                  <w:hideMark/>
                </w:tcPr>
                <w:p w:rsidR="00127CB4" w:rsidRPr="008E2822" w:rsidRDefault="00127CB4" w:rsidP="00127CB4">
                  <w:pPr>
                    <w:widowControl/>
                    <w:jc w:val="right"/>
                    <w:rPr>
                      <w:color w:val="000000"/>
                      <w:sz w:val="20"/>
                      <w:szCs w:val="20"/>
                    </w:rPr>
                  </w:pPr>
                  <w:r w:rsidRPr="008E2822">
                    <w:rPr>
                      <w:color w:val="000000"/>
                      <w:sz w:val="20"/>
                      <w:szCs w:val="20"/>
                    </w:rPr>
                    <w:t>1 457 870</w:t>
                  </w:r>
                </w:p>
              </w:tc>
              <w:tc>
                <w:tcPr>
                  <w:tcW w:w="1267"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color w:val="000000"/>
                      <w:sz w:val="20"/>
                      <w:szCs w:val="20"/>
                    </w:rPr>
                  </w:pPr>
                  <w:r w:rsidRPr="008E2822">
                    <w:rPr>
                      <w:color w:val="000000"/>
                      <w:sz w:val="20"/>
                      <w:szCs w:val="20"/>
                    </w:rPr>
                    <w:t>22.15%</w:t>
                  </w:r>
                </w:p>
              </w:tc>
            </w:tr>
            <w:tr w:rsidR="00127CB4" w:rsidRPr="008E2822" w:rsidTr="00127CB4">
              <w:trPr>
                <w:trHeight w:val="170"/>
                <w:jc w:val="center"/>
              </w:trPr>
              <w:tc>
                <w:tcPr>
                  <w:tcW w:w="5000" w:type="dxa"/>
                  <w:tcBorders>
                    <w:top w:val="nil"/>
                    <w:left w:val="single" w:sz="4" w:space="0" w:color="auto"/>
                    <w:bottom w:val="single" w:sz="4" w:space="0" w:color="auto"/>
                    <w:right w:val="single" w:sz="4" w:space="0" w:color="auto"/>
                  </w:tcBorders>
                  <w:shd w:val="clear" w:color="auto" w:fill="auto"/>
                  <w:noWrap/>
                  <w:vAlign w:val="center"/>
                  <w:hideMark/>
                </w:tcPr>
                <w:p w:rsidR="00127CB4" w:rsidRPr="008E2822" w:rsidRDefault="00127CB4" w:rsidP="00127CB4">
                  <w:pPr>
                    <w:widowControl/>
                    <w:jc w:val="left"/>
                    <w:rPr>
                      <w:color w:val="000000"/>
                      <w:sz w:val="20"/>
                      <w:szCs w:val="20"/>
                    </w:rPr>
                  </w:pPr>
                  <w:r w:rsidRPr="008E2822">
                    <w:rPr>
                      <w:color w:val="000000"/>
                      <w:sz w:val="20"/>
                      <w:szCs w:val="20"/>
                    </w:rPr>
                    <w:t>Физически лица</w:t>
                  </w:r>
                </w:p>
              </w:tc>
              <w:tc>
                <w:tcPr>
                  <w:tcW w:w="1680" w:type="dxa"/>
                  <w:tcBorders>
                    <w:top w:val="nil"/>
                    <w:left w:val="nil"/>
                    <w:bottom w:val="single" w:sz="4" w:space="0" w:color="auto"/>
                    <w:right w:val="single" w:sz="4" w:space="0" w:color="auto"/>
                  </w:tcBorders>
                  <w:shd w:val="clear" w:color="auto" w:fill="auto"/>
                  <w:vAlign w:val="center"/>
                  <w:hideMark/>
                </w:tcPr>
                <w:p w:rsidR="00127CB4" w:rsidRPr="008E2822" w:rsidRDefault="00127CB4" w:rsidP="00127CB4">
                  <w:pPr>
                    <w:widowControl/>
                    <w:jc w:val="right"/>
                    <w:rPr>
                      <w:color w:val="000000"/>
                      <w:sz w:val="20"/>
                      <w:szCs w:val="20"/>
                    </w:rPr>
                  </w:pPr>
                  <w:r w:rsidRPr="008E2822">
                    <w:rPr>
                      <w:color w:val="000000"/>
                      <w:sz w:val="20"/>
                      <w:szCs w:val="20"/>
                    </w:rPr>
                    <w:t>643 983</w:t>
                  </w:r>
                </w:p>
              </w:tc>
              <w:tc>
                <w:tcPr>
                  <w:tcW w:w="1267"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color w:val="000000"/>
                      <w:sz w:val="20"/>
                      <w:szCs w:val="20"/>
                    </w:rPr>
                  </w:pPr>
                  <w:r w:rsidRPr="008E2822">
                    <w:rPr>
                      <w:color w:val="000000"/>
                      <w:sz w:val="20"/>
                      <w:szCs w:val="20"/>
                    </w:rPr>
                    <w:t>9.78%</w:t>
                  </w:r>
                </w:p>
              </w:tc>
            </w:tr>
            <w:tr w:rsidR="00127CB4" w:rsidRPr="008E2822" w:rsidTr="00127CB4">
              <w:trPr>
                <w:trHeight w:val="170"/>
                <w:jc w:val="center"/>
              </w:trPr>
              <w:tc>
                <w:tcPr>
                  <w:tcW w:w="5000" w:type="dxa"/>
                  <w:tcBorders>
                    <w:top w:val="nil"/>
                    <w:left w:val="single" w:sz="4" w:space="0" w:color="auto"/>
                    <w:bottom w:val="single" w:sz="4" w:space="0" w:color="auto"/>
                    <w:right w:val="single" w:sz="4" w:space="0" w:color="auto"/>
                  </w:tcBorders>
                  <w:shd w:val="clear" w:color="auto" w:fill="auto"/>
                  <w:vAlign w:val="center"/>
                  <w:hideMark/>
                </w:tcPr>
                <w:p w:rsidR="00127CB4" w:rsidRPr="008E2822" w:rsidRDefault="00127CB4" w:rsidP="00127CB4">
                  <w:pPr>
                    <w:widowControl/>
                    <w:jc w:val="left"/>
                    <w:rPr>
                      <w:b/>
                      <w:bCs/>
                      <w:color w:val="000000"/>
                      <w:sz w:val="20"/>
                      <w:szCs w:val="20"/>
                    </w:rPr>
                  </w:pPr>
                  <w:r w:rsidRPr="008E2822">
                    <w:rPr>
                      <w:b/>
                      <w:bCs/>
                      <w:color w:val="000000"/>
                      <w:sz w:val="20"/>
                      <w:szCs w:val="20"/>
                    </w:rPr>
                    <w:t>Общо</w:t>
                  </w:r>
                </w:p>
              </w:tc>
              <w:tc>
                <w:tcPr>
                  <w:tcW w:w="1680"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b/>
                      <w:bCs/>
                      <w:color w:val="000000"/>
                      <w:sz w:val="20"/>
                      <w:szCs w:val="20"/>
                    </w:rPr>
                  </w:pPr>
                  <w:r w:rsidRPr="008E2822">
                    <w:rPr>
                      <w:b/>
                      <w:bCs/>
                      <w:color w:val="000000"/>
                      <w:sz w:val="20"/>
                      <w:szCs w:val="20"/>
                    </w:rPr>
                    <w:t>6 582 860</w:t>
                  </w:r>
                </w:p>
              </w:tc>
              <w:tc>
                <w:tcPr>
                  <w:tcW w:w="1267"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b/>
                      <w:bCs/>
                      <w:color w:val="000000"/>
                      <w:sz w:val="20"/>
                      <w:szCs w:val="20"/>
                    </w:rPr>
                  </w:pPr>
                  <w:r w:rsidRPr="008E2822">
                    <w:rPr>
                      <w:b/>
                      <w:bCs/>
                      <w:color w:val="000000"/>
                      <w:sz w:val="20"/>
                      <w:szCs w:val="20"/>
                    </w:rPr>
                    <w:t>100.00%</w:t>
                  </w:r>
                </w:p>
              </w:tc>
            </w:tr>
            <w:tr w:rsidR="00127CB4" w:rsidRPr="008E2822" w:rsidTr="00127CB4">
              <w:trPr>
                <w:trHeight w:val="170"/>
                <w:jc w:val="center"/>
              </w:trPr>
              <w:tc>
                <w:tcPr>
                  <w:tcW w:w="5000" w:type="dxa"/>
                  <w:tcBorders>
                    <w:top w:val="nil"/>
                    <w:left w:val="single" w:sz="4" w:space="0" w:color="auto"/>
                    <w:bottom w:val="single" w:sz="4" w:space="0" w:color="auto"/>
                    <w:right w:val="single" w:sz="4" w:space="0" w:color="auto"/>
                  </w:tcBorders>
                  <w:shd w:val="clear" w:color="auto" w:fill="auto"/>
                  <w:vAlign w:val="center"/>
                  <w:hideMark/>
                </w:tcPr>
                <w:p w:rsidR="00127CB4" w:rsidRPr="008E2822" w:rsidRDefault="00127CB4" w:rsidP="00127CB4">
                  <w:pPr>
                    <w:widowControl/>
                    <w:jc w:val="left"/>
                    <w:rPr>
                      <w:i/>
                      <w:iCs/>
                      <w:color w:val="000000"/>
                      <w:sz w:val="20"/>
                      <w:szCs w:val="20"/>
                    </w:rPr>
                  </w:pPr>
                  <w:r w:rsidRPr="008E2822">
                    <w:rPr>
                      <w:i/>
                      <w:iCs/>
                      <w:color w:val="000000"/>
                      <w:sz w:val="20"/>
                      <w:szCs w:val="20"/>
                    </w:rPr>
                    <w:t>В това число чуждестранни акционери</w:t>
                  </w:r>
                </w:p>
              </w:tc>
              <w:tc>
                <w:tcPr>
                  <w:tcW w:w="1680" w:type="dxa"/>
                  <w:tcBorders>
                    <w:top w:val="nil"/>
                    <w:left w:val="nil"/>
                    <w:bottom w:val="single" w:sz="4" w:space="0" w:color="auto"/>
                    <w:right w:val="single" w:sz="4" w:space="0" w:color="auto"/>
                  </w:tcBorders>
                  <w:shd w:val="clear" w:color="auto" w:fill="auto"/>
                  <w:noWrap/>
                  <w:vAlign w:val="bottom"/>
                  <w:hideMark/>
                </w:tcPr>
                <w:p w:rsidR="00127CB4" w:rsidRPr="008E2822" w:rsidRDefault="00127CB4" w:rsidP="00127CB4">
                  <w:pPr>
                    <w:widowControl/>
                    <w:jc w:val="right"/>
                    <w:rPr>
                      <w:color w:val="000000"/>
                      <w:sz w:val="20"/>
                      <w:szCs w:val="20"/>
                    </w:rPr>
                  </w:pPr>
                  <w:r w:rsidRPr="008E2822">
                    <w:rPr>
                      <w:color w:val="000000"/>
                      <w:sz w:val="20"/>
                      <w:szCs w:val="20"/>
                    </w:rPr>
                    <w:t>236 605</w:t>
                  </w:r>
                </w:p>
              </w:tc>
              <w:tc>
                <w:tcPr>
                  <w:tcW w:w="1267" w:type="dxa"/>
                  <w:tcBorders>
                    <w:top w:val="nil"/>
                    <w:left w:val="nil"/>
                    <w:bottom w:val="single" w:sz="4" w:space="0" w:color="auto"/>
                    <w:right w:val="single" w:sz="4" w:space="0" w:color="auto"/>
                  </w:tcBorders>
                  <w:shd w:val="clear" w:color="auto" w:fill="auto"/>
                  <w:noWrap/>
                  <w:vAlign w:val="center"/>
                  <w:hideMark/>
                </w:tcPr>
                <w:p w:rsidR="00127CB4" w:rsidRPr="008E2822" w:rsidRDefault="00127CB4" w:rsidP="00127CB4">
                  <w:pPr>
                    <w:widowControl/>
                    <w:jc w:val="right"/>
                    <w:rPr>
                      <w:color w:val="000000"/>
                      <w:sz w:val="20"/>
                      <w:szCs w:val="20"/>
                    </w:rPr>
                  </w:pPr>
                  <w:r w:rsidRPr="008E2822">
                    <w:rPr>
                      <w:color w:val="000000"/>
                      <w:sz w:val="20"/>
                      <w:szCs w:val="20"/>
                    </w:rPr>
                    <w:t>3.59%</w:t>
                  </w:r>
                </w:p>
              </w:tc>
            </w:tr>
          </w:tbl>
          <w:p w:rsidR="00D92336" w:rsidRPr="008E2822" w:rsidRDefault="00D92336" w:rsidP="008D1E64">
            <w:pPr>
              <w:tabs>
                <w:tab w:val="left" w:pos="360"/>
              </w:tabs>
              <w:rPr>
                <w:b/>
                <w:sz w:val="20"/>
                <w:szCs w:val="20"/>
              </w:rPr>
            </w:pPr>
          </w:p>
          <w:p w:rsidR="00F11C3A" w:rsidRPr="008E2822" w:rsidRDefault="00A13C0D" w:rsidP="008D1E64">
            <w:pPr>
              <w:tabs>
                <w:tab w:val="left" w:pos="360"/>
              </w:tabs>
              <w:rPr>
                <w:b/>
                <w:sz w:val="20"/>
                <w:szCs w:val="20"/>
              </w:rPr>
            </w:pPr>
            <w:r w:rsidRPr="008E2822">
              <w:rPr>
                <w:b/>
                <w:sz w:val="20"/>
                <w:szCs w:val="20"/>
              </w:rPr>
              <w:t xml:space="preserve">Графика 8: </w:t>
            </w:r>
            <w:r w:rsidR="00F70F5C" w:rsidRPr="008E2822">
              <w:rPr>
                <w:b/>
                <w:sz w:val="20"/>
                <w:szCs w:val="20"/>
              </w:rPr>
              <w:t xml:space="preserve">Акционерна структура </w:t>
            </w:r>
            <w:r w:rsidR="00D92336" w:rsidRPr="008E2822">
              <w:rPr>
                <w:b/>
                <w:sz w:val="20"/>
                <w:szCs w:val="20"/>
              </w:rPr>
              <w:t>на „БФБ-София“ АД към 31.03.2013</w:t>
            </w:r>
            <w:r w:rsidR="00F70F5C" w:rsidRPr="008E2822">
              <w:rPr>
                <w:b/>
                <w:sz w:val="20"/>
                <w:szCs w:val="20"/>
              </w:rPr>
              <w:t xml:space="preserve"> г.</w:t>
            </w:r>
          </w:p>
        </w:tc>
      </w:tr>
      <w:tr w:rsidR="00F11C3A" w:rsidRPr="008E2822" w:rsidTr="00127CB4">
        <w:tblPrEx>
          <w:tblCellMar>
            <w:left w:w="70" w:type="dxa"/>
            <w:right w:w="70" w:type="dxa"/>
          </w:tblCellMar>
        </w:tblPrEx>
        <w:trPr>
          <w:jc w:val="center"/>
        </w:trPr>
        <w:tc>
          <w:tcPr>
            <w:tcW w:w="8046" w:type="dxa"/>
          </w:tcPr>
          <w:p w:rsidR="00F11C3A" w:rsidRPr="008E2822" w:rsidRDefault="00127CB4" w:rsidP="00F70F5C">
            <w:pPr>
              <w:tabs>
                <w:tab w:val="left" w:pos="360"/>
              </w:tabs>
              <w:jc w:val="center"/>
            </w:pPr>
            <w:r w:rsidRPr="008E2822">
              <w:rPr>
                <w:noProof/>
              </w:rPr>
              <w:drawing>
                <wp:inline distT="0" distB="0" distL="0" distR="0" wp14:anchorId="70AD46C2" wp14:editId="4280724B">
                  <wp:extent cx="5251116" cy="27432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8C47C4" w:rsidRPr="008E2822" w:rsidRDefault="00A916CF" w:rsidP="00BA4CF8">
      <w:pPr>
        <w:pStyle w:val="Mainnumbers"/>
        <w:outlineLvl w:val="0"/>
      </w:pPr>
      <w:r w:rsidRPr="008E2822">
        <w:br w:type="page"/>
      </w:r>
      <w:bookmarkStart w:id="49" w:name="_Toc283112130"/>
      <w:bookmarkStart w:id="50" w:name="_Toc362884508"/>
      <w:r w:rsidR="002735FE" w:rsidRPr="008E2822">
        <w:lastRenderedPageBreak/>
        <w:t>Ч</w:t>
      </w:r>
      <w:r w:rsidR="008C47C4" w:rsidRPr="008E2822">
        <w:t xml:space="preserve">ленове на </w:t>
      </w:r>
      <w:r w:rsidR="001E69E4" w:rsidRPr="008E2822">
        <w:t>БФБ-София</w:t>
      </w:r>
      <w:bookmarkEnd w:id="49"/>
      <w:bookmarkEnd w:id="50"/>
    </w:p>
    <w:p w:rsidR="006C61AA" w:rsidRPr="008E2822" w:rsidRDefault="008E2822" w:rsidP="008E2822">
      <w:bookmarkStart w:id="51" w:name="_Toc142469810"/>
      <w:r w:rsidRPr="008E2822">
        <w:t>В края на второто тримесечие членовете на Борсата са 68 (виж Таблица 14). За сравнение, към 31.03.2013 г. членове на Борсата са 69 лицензирани инвестиционни посредници и търговски банки.</w:t>
      </w:r>
    </w:p>
    <w:p w:rsidR="006C61AA" w:rsidRPr="008E2822" w:rsidRDefault="006C61AA" w:rsidP="008E2822"/>
    <w:p w:rsidR="00EF62E9" w:rsidRPr="008E2822" w:rsidRDefault="00885186" w:rsidP="008E2822">
      <w:pPr>
        <w:rPr>
          <w:b/>
        </w:rPr>
      </w:pPr>
      <w:r w:rsidRPr="008E2822">
        <w:rPr>
          <w:b/>
        </w:rPr>
        <w:t>Таблица 14</w:t>
      </w:r>
      <w:r w:rsidR="00EF62E9" w:rsidRPr="008E2822">
        <w:rPr>
          <w:b/>
        </w:rPr>
        <w:t xml:space="preserve">. Членове на БФБ-София към </w:t>
      </w:r>
      <w:r w:rsidR="004B2AB6" w:rsidRPr="008E2822">
        <w:rPr>
          <w:b/>
        </w:rPr>
        <w:t>30</w:t>
      </w:r>
      <w:r w:rsidR="00EF62E9" w:rsidRPr="008E2822">
        <w:rPr>
          <w:b/>
        </w:rPr>
        <w:t>.</w:t>
      </w:r>
      <w:r w:rsidR="004B2AB6" w:rsidRPr="008E2822">
        <w:rPr>
          <w:b/>
        </w:rPr>
        <w:t>06</w:t>
      </w:r>
      <w:r w:rsidR="00316DE1" w:rsidRPr="008E2822">
        <w:rPr>
          <w:b/>
        </w:rPr>
        <w:t>.2013</w:t>
      </w:r>
      <w:r w:rsidR="00EF62E9" w:rsidRPr="008E2822">
        <w:rPr>
          <w:b/>
        </w:rPr>
        <w:t xml:space="preserve"> г.</w:t>
      </w:r>
    </w:p>
    <w:tbl>
      <w:tblPr>
        <w:tblW w:w="9343" w:type="dxa"/>
        <w:jc w:val="center"/>
        <w:tblInd w:w="55" w:type="dxa"/>
        <w:tblCellMar>
          <w:left w:w="70" w:type="dxa"/>
          <w:right w:w="70" w:type="dxa"/>
        </w:tblCellMar>
        <w:tblLook w:val="04A0" w:firstRow="1" w:lastRow="0" w:firstColumn="1" w:lastColumn="0" w:noHBand="0" w:noVBand="1"/>
      </w:tblPr>
      <w:tblGrid>
        <w:gridCol w:w="5000"/>
        <w:gridCol w:w="4343"/>
      </w:tblGrid>
      <w:tr w:rsidR="004B2AB6" w:rsidRPr="008E2822" w:rsidTr="004B2AB6">
        <w:trPr>
          <w:trHeight w:val="170"/>
          <w:jc w:val="center"/>
        </w:trPr>
        <w:tc>
          <w:tcPr>
            <w:tcW w:w="5000" w:type="dxa"/>
            <w:tcBorders>
              <w:top w:val="single" w:sz="8" w:space="0" w:color="auto"/>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WOOD &amp; Company Financial Services, </w:t>
            </w:r>
            <w:proofErr w:type="gramStart"/>
            <w:r w:rsidRPr="008E2822">
              <w:rPr>
                <w:color w:val="000000"/>
                <w:sz w:val="20"/>
                <w:szCs w:val="20"/>
              </w:rPr>
              <w:t>a.</w:t>
            </w:r>
            <w:proofErr w:type="gramEnd"/>
            <w:r w:rsidRPr="008E2822">
              <w:rPr>
                <w:color w:val="000000"/>
                <w:sz w:val="20"/>
                <w:szCs w:val="20"/>
              </w:rPr>
              <w:t>s.</w:t>
            </w:r>
          </w:p>
        </w:tc>
        <w:tc>
          <w:tcPr>
            <w:tcW w:w="4343" w:type="dxa"/>
            <w:tcBorders>
              <w:top w:val="single" w:sz="8" w:space="0" w:color="auto"/>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ИП Стандарт Инвестмънт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АБВ Инвестиции ЕООД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ИП </w:t>
            </w:r>
            <w:proofErr w:type="spellStart"/>
            <w:r w:rsidRPr="008E2822">
              <w:rPr>
                <w:color w:val="000000"/>
                <w:sz w:val="20"/>
                <w:szCs w:val="20"/>
              </w:rPr>
              <w:t>Трейдвил</w:t>
            </w:r>
            <w:proofErr w:type="spellEnd"/>
            <w:r w:rsidRPr="008E2822">
              <w:rPr>
                <w:color w:val="000000"/>
                <w:sz w:val="20"/>
                <w:szCs w:val="20"/>
              </w:rPr>
              <w:t xml:space="preserve"> </w:t>
            </w:r>
            <w:proofErr w:type="gramStart"/>
            <w:r w:rsidRPr="008E2822">
              <w:rPr>
                <w:color w:val="000000"/>
                <w:sz w:val="20"/>
                <w:szCs w:val="20"/>
              </w:rPr>
              <w:t xml:space="preserve">ЕАД </w:t>
            </w:r>
            <w:proofErr w:type="gramEnd"/>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Авал</w:t>
            </w:r>
            <w:proofErr w:type="spellEnd"/>
            <w:r w:rsidRPr="008E2822">
              <w:rPr>
                <w:color w:val="000000"/>
                <w:sz w:val="20"/>
                <w:szCs w:val="20"/>
              </w:rPr>
              <w:t xml:space="preserve"> - ИН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Капман</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АВС </w:t>
            </w:r>
            <w:proofErr w:type="spellStart"/>
            <w:r w:rsidRPr="008E2822">
              <w:rPr>
                <w:color w:val="000000"/>
                <w:sz w:val="20"/>
                <w:szCs w:val="20"/>
              </w:rPr>
              <w:t>Финанс</w:t>
            </w:r>
            <w:proofErr w:type="spellEnd"/>
            <w:r w:rsidRPr="008E2822">
              <w:rPr>
                <w:color w:val="000000"/>
                <w:sz w:val="20"/>
                <w:szCs w:val="20"/>
              </w:rPr>
              <w:t xml:space="preserve">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Карол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Австрийско Българска Инвестиционна Група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Кепитъл</w:t>
            </w:r>
            <w:proofErr w:type="spellEnd"/>
            <w:r w:rsidRPr="008E2822">
              <w:rPr>
                <w:color w:val="000000"/>
                <w:sz w:val="20"/>
                <w:szCs w:val="20"/>
              </w:rPr>
              <w:t xml:space="preserve"> </w:t>
            </w:r>
            <w:proofErr w:type="spellStart"/>
            <w:r w:rsidRPr="008E2822">
              <w:rPr>
                <w:color w:val="000000"/>
                <w:sz w:val="20"/>
                <w:szCs w:val="20"/>
              </w:rPr>
              <w:t>маркетс</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Адамант</w:t>
            </w:r>
            <w:proofErr w:type="spellEnd"/>
            <w:r w:rsidRPr="008E2822">
              <w:rPr>
                <w:color w:val="000000"/>
                <w:sz w:val="20"/>
                <w:szCs w:val="20"/>
              </w:rPr>
              <w:t xml:space="preserve"> </w:t>
            </w:r>
            <w:proofErr w:type="spellStart"/>
            <w:r w:rsidRPr="008E2822">
              <w:rPr>
                <w:color w:val="000000"/>
                <w:sz w:val="20"/>
                <w:szCs w:val="20"/>
              </w:rPr>
              <w:t>Кепитъл</w:t>
            </w:r>
            <w:proofErr w:type="spellEnd"/>
            <w:r w:rsidRPr="008E2822">
              <w:rPr>
                <w:color w:val="000000"/>
                <w:sz w:val="20"/>
                <w:szCs w:val="20"/>
              </w:rPr>
              <w:t xml:space="preserve"> </w:t>
            </w:r>
            <w:proofErr w:type="spellStart"/>
            <w:r w:rsidRPr="008E2822">
              <w:rPr>
                <w:color w:val="000000"/>
                <w:sz w:val="20"/>
                <w:szCs w:val="20"/>
              </w:rPr>
              <w:t>Партнърс</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Корпоративна Търговска Банка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Алианц</w:t>
            </w:r>
            <w:proofErr w:type="spellEnd"/>
            <w:r w:rsidRPr="008E2822">
              <w:rPr>
                <w:color w:val="000000"/>
                <w:sz w:val="20"/>
                <w:szCs w:val="20"/>
              </w:rPr>
              <w:t xml:space="preserve"> </w:t>
            </w:r>
            <w:proofErr w:type="spellStart"/>
            <w:r w:rsidRPr="008E2822">
              <w:rPr>
                <w:color w:val="000000"/>
                <w:sz w:val="20"/>
                <w:szCs w:val="20"/>
              </w:rPr>
              <w:t>Банк</w:t>
            </w:r>
            <w:proofErr w:type="spellEnd"/>
            <w:r w:rsidRPr="008E2822">
              <w:rPr>
                <w:color w:val="000000"/>
                <w:sz w:val="20"/>
                <w:szCs w:val="20"/>
              </w:rPr>
              <w:t xml:space="preserve"> България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Наба</w:t>
            </w:r>
            <w:proofErr w:type="spellEnd"/>
            <w:r w:rsidRPr="008E2822">
              <w:rPr>
                <w:color w:val="000000"/>
                <w:sz w:val="20"/>
                <w:szCs w:val="20"/>
              </w:rPr>
              <w:t xml:space="preserve"> </w:t>
            </w:r>
            <w:proofErr w:type="spellStart"/>
            <w:r w:rsidRPr="008E2822">
              <w:rPr>
                <w:color w:val="000000"/>
                <w:sz w:val="20"/>
                <w:szCs w:val="20"/>
              </w:rPr>
              <w:t>Инвест</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Балканска Инвестиционна Компания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Обединена Българска Банка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Балканска консултантска компания-ИП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Общинска Банка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Банка ДСК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Позитива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Банка </w:t>
            </w:r>
            <w:proofErr w:type="spellStart"/>
            <w:r w:rsidRPr="008E2822">
              <w:rPr>
                <w:color w:val="000000"/>
                <w:sz w:val="20"/>
                <w:szCs w:val="20"/>
              </w:rPr>
              <w:t>Пиреос</w:t>
            </w:r>
            <w:proofErr w:type="spellEnd"/>
            <w:r w:rsidRPr="008E2822">
              <w:rPr>
                <w:color w:val="000000"/>
                <w:sz w:val="20"/>
                <w:szCs w:val="20"/>
              </w:rPr>
              <w:t xml:space="preserve"> България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Първа Инвестиционна Банка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БГ </w:t>
            </w:r>
            <w:proofErr w:type="spellStart"/>
            <w:r w:rsidRPr="008E2822">
              <w:rPr>
                <w:color w:val="000000"/>
                <w:sz w:val="20"/>
                <w:szCs w:val="20"/>
              </w:rPr>
              <w:t>Проинвест</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Първа Финансова Брокерска Къща ООД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БенчМарк</w:t>
            </w:r>
            <w:proofErr w:type="spellEnd"/>
            <w:r w:rsidRPr="008E2822">
              <w:rPr>
                <w:color w:val="000000"/>
                <w:sz w:val="20"/>
                <w:szCs w:val="20"/>
              </w:rPr>
              <w:t xml:space="preserve"> </w:t>
            </w:r>
            <w:proofErr w:type="spellStart"/>
            <w:r w:rsidRPr="008E2822">
              <w:rPr>
                <w:color w:val="000000"/>
                <w:sz w:val="20"/>
                <w:szCs w:val="20"/>
              </w:rPr>
              <w:t>Финанс</w:t>
            </w:r>
            <w:proofErr w:type="spellEnd"/>
            <w:r w:rsidRPr="008E2822">
              <w:rPr>
                <w:color w:val="000000"/>
                <w:sz w:val="20"/>
                <w:szCs w:val="20"/>
              </w:rPr>
              <w:t xml:space="preserve"> </w:t>
            </w:r>
            <w:proofErr w:type="gramStart"/>
            <w:r w:rsidRPr="008E2822">
              <w:rPr>
                <w:color w:val="000000"/>
                <w:sz w:val="20"/>
                <w:szCs w:val="20"/>
              </w:rPr>
              <w:t xml:space="preserve">АД </w:t>
            </w:r>
            <w:proofErr w:type="gramEnd"/>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Райфайзенбанк /България/ ЕАД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Бета </w:t>
            </w:r>
            <w:proofErr w:type="spellStart"/>
            <w:r w:rsidRPr="008E2822">
              <w:rPr>
                <w:color w:val="000000"/>
                <w:sz w:val="20"/>
                <w:szCs w:val="20"/>
              </w:rPr>
              <w:t>Корп</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Реал </w:t>
            </w:r>
            <w:proofErr w:type="spellStart"/>
            <w:r w:rsidRPr="008E2822">
              <w:rPr>
                <w:color w:val="000000"/>
                <w:sz w:val="20"/>
                <w:szCs w:val="20"/>
              </w:rPr>
              <w:t>Финанс</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БМФН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СИБАНК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Бул </w:t>
            </w:r>
            <w:proofErr w:type="spellStart"/>
            <w:r w:rsidRPr="008E2822">
              <w:rPr>
                <w:color w:val="000000"/>
                <w:sz w:val="20"/>
                <w:szCs w:val="20"/>
              </w:rPr>
              <w:t>Тренд</w:t>
            </w:r>
            <w:proofErr w:type="spellEnd"/>
            <w:r w:rsidRPr="008E2822">
              <w:rPr>
                <w:color w:val="000000"/>
                <w:sz w:val="20"/>
                <w:szCs w:val="20"/>
              </w:rPr>
              <w:t xml:space="preserve"> </w:t>
            </w:r>
            <w:proofErr w:type="spellStart"/>
            <w:r w:rsidRPr="008E2822">
              <w:rPr>
                <w:color w:val="000000"/>
                <w:sz w:val="20"/>
                <w:szCs w:val="20"/>
              </w:rPr>
              <w:t>Брокеридж</w:t>
            </w:r>
            <w:proofErr w:type="spellEnd"/>
            <w:r w:rsidRPr="008E2822">
              <w:rPr>
                <w:color w:val="000000"/>
                <w:sz w:val="20"/>
                <w:szCs w:val="20"/>
              </w:rPr>
              <w:t xml:space="preserve"> ООД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Сомони</w:t>
            </w:r>
            <w:proofErr w:type="spellEnd"/>
            <w:r w:rsidRPr="008E2822">
              <w:rPr>
                <w:color w:val="000000"/>
                <w:sz w:val="20"/>
                <w:szCs w:val="20"/>
              </w:rPr>
              <w:t xml:space="preserve"> </w:t>
            </w:r>
            <w:proofErr w:type="spellStart"/>
            <w:r w:rsidRPr="008E2822">
              <w:rPr>
                <w:color w:val="000000"/>
                <w:sz w:val="20"/>
                <w:szCs w:val="20"/>
              </w:rPr>
              <w:t>Файненшъл</w:t>
            </w:r>
            <w:proofErr w:type="spellEnd"/>
            <w:r w:rsidRPr="008E2822">
              <w:rPr>
                <w:color w:val="000000"/>
                <w:sz w:val="20"/>
                <w:szCs w:val="20"/>
              </w:rPr>
              <w:t xml:space="preserve"> </w:t>
            </w:r>
            <w:proofErr w:type="spellStart"/>
            <w:r w:rsidRPr="008E2822">
              <w:rPr>
                <w:color w:val="000000"/>
                <w:sz w:val="20"/>
                <w:szCs w:val="20"/>
              </w:rPr>
              <w:t>Брокеридж</w:t>
            </w:r>
            <w:proofErr w:type="spellEnd"/>
            <w:r w:rsidRPr="008E2822">
              <w:rPr>
                <w:color w:val="000000"/>
                <w:sz w:val="20"/>
                <w:szCs w:val="20"/>
              </w:rPr>
              <w:t xml:space="preserve"> ООД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Булброкърс</w:t>
            </w:r>
            <w:proofErr w:type="spellEnd"/>
            <w:r w:rsidRPr="008E2822">
              <w:rPr>
                <w:color w:val="000000"/>
                <w:sz w:val="20"/>
                <w:szCs w:val="20"/>
              </w:rPr>
              <w:t xml:space="preserve">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София Интернешънъл </w:t>
            </w:r>
            <w:proofErr w:type="spellStart"/>
            <w:r w:rsidRPr="008E2822">
              <w:rPr>
                <w:color w:val="000000"/>
                <w:sz w:val="20"/>
                <w:szCs w:val="20"/>
              </w:rPr>
              <w:t>Секюритиз</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Българо-Американска Кредитна Банка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Статус </w:t>
            </w:r>
            <w:proofErr w:type="spellStart"/>
            <w:r w:rsidRPr="008E2822">
              <w:rPr>
                <w:color w:val="000000"/>
                <w:sz w:val="20"/>
                <w:szCs w:val="20"/>
              </w:rPr>
              <w:t>Инвест</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Българска банка за развитие</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ТБ МКБ </w:t>
            </w:r>
            <w:proofErr w:type="spellStart"/>
            <w:r w:rsidRPr="008E2822">
              <w:rPr>
                <w:color w:val="000000"/>
                <w:sz w:val="20"/>
                <w:szCs w:val="20"/>
              </w:rPr>
              <w:t>Юнионбанк</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Варчев</w:t>
            </w:r>
            <w:proofErr w:type="spellEnd"/>
            <w:r w:rsidRPr="008E2822">
              <w:rPr>
                <w:color w:val="000000"/>
                <w:sz w:val="20"/>
                <w:szCs w:val="20"/>
              </w:rPr>
              <w:t xml:space="preserve"> </w:t>
            </w:r>
            <w:proofErr w:type="spellStart"/>
            <w:r w:rsidRPr="008E2822">
              <w:rPr>
                <w:color w:val="000000"/>
                <w:sz w:val="20"/>
                <w:szCs w:val="20"/>
              </w:rPr>
              <w:t>Финанс</w:t>
            </w:r>
            <w:proofErr w:type="spellEnd"/>
            <w:r w:rsidRPr="008E2822">
              <w:rPr>
                <w:color w:val="000000"/>
                <w:sz w:val="20"/>
                <w:szCs w:val="20"/>
              </w:rPr>
              <w:t xml:space="preserve"> ЕООД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Ти Би Ай </w:t>
            </w:r>
            <w:proofErr w:type="spellStart"/>
            <w:r w:rsidRPr="008E2822">
              <w:rPr>
                <w:color w:val="000000"/>
                <w:sz w:val="20"/>
                <w:szCs w:val="20"/>
              </w:rPr>
              <w:t>Банк</w:t>
            </w:r>
            <w:proofErr w:type="spellEnd"/>
            <w:r w:rsidRPr="008E2822">
              <w:rPr>
                <w:color w:val="000000"/>
                <w:sz w:val="20"/>
                <w:szCs w:val="20"/>
              </w:rPr>
              <w:t xml:space="preserve"> ЕАД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Д.</w:t>
            </w:r>
            <w:proofErr w:type="gramStart"/>
            <w:r w:rsidRPr="008E2822">
              <w:rPr>
                <w:color w:val="000000"/>
                <w:sz w:val="20"/>
                <w:szCs w:val="20"/>
              </w:rPr>
              <w:t>И.С.</w:t>
            </w:r>
            <w:proofErr w:type="gramEnd"/>
            <w:r w:rsidRPr="008E2822">
              <w:rPr>
                <w:color w:val="000000"/>
                <w:sz w:val="20"/>
                <w:szCs w:val="20"/>
              </w:rPr>
              <w:t xml:space="preserve">Л. </w:t>
            </w:r>
            <w:proofErr w:type="spellStart"/>
            <w:r w:rsidRPr="008E2822">
              <w:rPr>
                <w:color w:val="000000"/>
                <w:sz w:val="20"/>
                <w:szCs w:val="20"/>
              </w:rPr>
              <w:t>Секюритийс</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Ти Би Ай </w:t>
            </w:r>
            <w:proofErr w:type="spellStart"/>
            <w:r w:rsidRPr="008E2822">
              <w:rPr>
                <w:color w:val="000000"/>
                <w:sz w:val="20"/>
                <w:szCs w:val="20"/>
              </w:rPr>
              <w:t>Инвест</w:t>
            </w:r>
            <w:proofErr w:type="spellEnd"/>
            <w:r w:rsidRPr="008E2822">
              <w:rPr>
                <w:color w:val="000000"/>
                <w:sz w:val="20"/>
                <w:szCs w:val="20"/>
              </w:rPr>
              <w:t xml:space="preserve"> ЕАД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Де Ново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Токуда</w:t>
            </w:r>
            <w:proofErr w:type="spellEnd"/>
            <w:r w:rsidRPr="008E2822">
              <w:rPr>
                <w:color w:val="000000"/>
                <w:sz w:val="20"/>
                <w:szCs w:val="20"/>
              </w:rPr>
              <w:t xml:space="preserve"> </w:t>
            </w:r>
            <w:proofErr w:type="spellStart"/>
            <w:r w:rsidRPr="008E2822">
              <w:rPr>
                <w:color w:val="000000"/>
                <w:sz w:val="20"/>
                <w:szCs w:val="20"/>
              </w:rPr>
              <w:t>Банк</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Делтасток</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Търговска Банка Д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Дилингова</w:t>
            </w:r>
            <w:proofErr w:type="spellEnd"/>
            <w:r w:rsidRPr="008E2822">
              <w:rPr>
                <w:color w:val="000000"/>
                <w:sz w:val="20"/>
                <w:szCs w:val="20"/>
              </w:rPr>
              <w:t xml:space="preserve"> Финансова Компания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Търговска банка </w:t>
            </w:r>
            <w:proofErr w:type="spellStart"/>
            <w:r w:rsidRPr="008E2822">
              <w:rPr>
                <w:color w:val="000000"/>
                <w:sz w:val="20"/>
                <w:szCs w:val="20"/>
              </w:rPr>
              <w:t>Инвестбанк</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Евро - </w:t>
            </w:r>
            <w:proofErr w:type="spellStart"/>
            <w:r w:rsidRPr="008E2822">
              <w:rPr>
                <w:color w:val="000000"/>
                <w:sz w:val="20"/>
                <w:szCs w:val="20"/>
              </w:rPr>
              <w:t>Финанс</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УниКредит</w:t>
            </w:r>
            <w:proofErr w:type="spellEnd"/>
            <w:r w:rsidRPr="008E2822">
              <w:rPr>
                <w:color w:val="000000"/>
                <w:sz w:val="20"/>
                <w:szCs w:val="20"/>
              </w:rPr>
              <w:t xml:space="preserve"> Булбанк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Елана</w:t>
            </w:r>
            <w:proofErr w:type="spellEnd"/>
            <w:r w:rsidRPr="008E2822">
              <w:rPr>
                <w:color w:val="000000"/>
                <w:sz w:val="20"/>
                <w:szCs w:val="20"/>
              </w:rPr>
              <w:t xml:space="preserve"> Трейдинг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Фаворит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Емпорики</w:t>
            </w:r>
            <w:proofErr w:type="spellEnd"/>
            <w:r w:rsidRPr="008E2822">
              <w:rPr>
                <w:color w:val="000000"/>
                <w:sz w:val="20"/>
                <w:szCs w:val="20"/>
              </w:rPr>
              <w:t xml:space="preserve"> </w:t>
            </w:r>
            <w:proofErr w:type="spellStart"/>
            <w:r w:rsidRPr="008E2822">
              <w:rPr>
                <w:color w:val="000000"/>
                <w:sz w:val="20"/>
                <w:szCs w:val="20"/>
              </w:rPr>
              <w:t>Банк</w:t>
            </w:r>
            <w:proofErr w:type="spellEnd"/>
            <w:r w:rsidRPr="008E2822">
              <w:rPr>
                <w:color w:val="000000"/>
                <w:sz w:val="20"/>
                <w:szCs w:val="20"/>
              </w:rPr>
              <w:t xml:space="preserve"> - България ЕАД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Фактори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Загора </w:t>
            </w:r>
            <w:proofErr w:type="spellStart"/>
            <w:r w:rsidRPr="008E2822">
              <w:rPr>
                <w:color w:val="000000"/>
                <w:sz w:val="20"/>
                <w:szCs w:val="20"/>
              </w:rPr>
              <w:t>Финакорп</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Фина - С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Златен Лев Брокери ООД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ФК </w:t>
            </w:r>
            <w:proofErr w:type="spellStart"/>
            <w:r w:rsidRPr="008E2822">
              <w:rPr>
                <w:color w:val="000000"/>
                <w:sz w:val="20"/>
                <w:szCs w:val="20"/>
              </w:rPr>
              <w:t>Евър</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Инвестиционен посредник Мак Кап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Фоукал</w:t>
            </w:r>
            <w:proofErr w:type="spellEnd"/>
            <w:r w:rsidRPr="008E2822">
              <w:rPr>
                <w:color w:val="000000"/>
                <w:sz w:val="20"/>
                <w:szCs w:val="20"/>
              </w:rPr>
              <w:t xml:space="preserve"> </w:t>
            </w:r>
            <w:proofErr w:type="spellStart"/>
            <w:r w:rsidRPr="008E2822">
              <w:rPr>
                <w:color w:val="000000"/>
                <w:sz w:val="20"/>
                <w:szCs w:val="20"/>
              </w:rPr>
              <w:t>Пойнт</w:t>
            </w:r>
            <w:proofErr w:type="spellEnd"/>
            <w:r w:rsidRPr="008E2822">
              <w:rPr>
                <w:color w:val="000000"/>
                <w:sz w:val="20"/>
                <w:szCs w:val="20"/>
              </w:rPr>
              <w:t xml:space="preserve"> </w:t>
            </w:r>
            <w:proofErr w:type="spellStart"/>
            <w:r w:rsidRPr="008E2822">
              <w:rPr>
                <w:color w:val="000000"/>
                <w:sz w:val="20"/>
                <w:szCs w:val="20"/>
              </w:rPr>
              <w:t>Инвестмънтс</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Инг</w:t>
            </w:r>
            <w:proofErr w:type="spellEnd"/>
            <w:r w:rsidRPr="008E2822">
              <w:rPr>
                <w:color w:val="000000"/>
                <w:sz w:val="20"/>
                <w:szCs w:val="20"/>
              </w:rPr>
              <w:t xml:space="preserve"> </w:t>
            </w:r>
            <w:proofErr w:type="spellStart"/>
            <w:r w:rsidRPr="008E2822">
              <w:rPr>
                <w:color w:val="000000"/>
                <w:sz w:val="20"/>
                <w:szCs w:val="20"/>
              </w:rPr>
              <w:t>Банк</w:t>
            </w:r>
            <w:proofErr w:type="spellEnd"/>
            <w:r w:rsidRPr="008E2822">
              <w:rPr>
                <w:color w:val="000000"/>
                <w:sz w:val="20"/>
                <w:szCs w:val="20"/>
              </w:rPr>
              <w:t xml:space="preserve"> </w:t>
            </w:r>
            <w:proofErr w:type="gramStart"/>
            <w:r w:rsidRPr="008E2822">
              <w:rPr>
                <w:color w:val="000000"/>
                <w:sz w:val="20"/>
                <w:szCs w:val="20"/>
              </w:rPr>
              <w:t>Н.</w:t>
            </w:r>
            <w:proofErr w:type="gramEnd"/>
            <w:r w:rsidRPr="008E2822">
              <w:rPr>
                <w:color w:val="000000"/>
                <w:sz w:val="20"/>
                <w:szCs w:val="20"/>
              </w:rPr>
              <w:t>В. - Клон София КЧТ</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Централна Кооперативна Банка АД</w:t>
            </w:r>
          </w:p>
        </w:tc>
      </w:tr>
      <w:tr w:rsidR="004B2AB6" w:rsidRPr="008E2822" w:rsidTr="004B2AB6">
        <w:trPr>
          <w:trHeight w:val="170"/>
          <w:jc w:val="center"/>
        </w:trPr>
        <w:tc>
          <w:tcPr>
            <w:tcW w:w="5000"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Интеркапитал</w:t>
            </w:r>
            <w:proofErr w:type="spellEnd"/>
            <w:r w:rsidRPr="008E2822">
              <w:rPr>
                <w:color w:val="000000"/>
                <w:sz w:val="20"/>
                <w:szCs w:val="20"/>
              </w:rPr>
              <w:t xml:space="preserve"> </w:t>
            </w:r>
            <w:proofErr w:type="spellStart"/>
            <w:r w:rsidRPr="008E2822">
              <w:rPr>
                <w:color w:val="000000"/>
                <w:sz w:val="20"/>
                <w:szCs w:val="20"/>
              </w:rPr>
              <w:t>маркетс</w:t>
            </w:r>
            <w:proofErr w:type="spellEnd"/>
            <w:r w:rsidRPr="008E2822">
              <w:rPr>
                <w:color w:val="000000"/>
                <w:sz w:val="20"/>
                <w:szCs w:val="20"/>
              </w:rPr>
              <w:t xml:space="preserve"> АД</w:t>
            </w:r>
          </w:p>
        </w:tc>
        <w:tc>
          <w:tcPr>
            <w:tcW w:w="4343" w:type="dxa"/>
            <w:tcBorders>
              <w:top w:val="nil"/>
              <w:left w:val="nil"/>
              <w:bottom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ЧПБ </w:t>
            </w:r>
            <w:proofErr w:type="spellStart"/>
            <w:r w:rsidRPr="008E2822">
              <w:rPr>
                <w:color w:val="000000"/>
                <w:sz w:val="20"/>
                <w:szCs w:val="20"/>
              </w:rPr>
              <w:t>Тексимбанк</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Интернешънъл </w:t>
            </w:r>
            <w:proofErr w:type="spellStart"/>
            <w:r w:rsidRPr="008E2822">
              <w:rPr>
                <w:color w:val="000000"/>
                <w:sz w:val="20"/>
                <w:szCs w:val="20"/>
              </w:rPr>
              <w:t>Асет</w:t>
            </w:r>
            <w:proofErr w:type="spellEnd"/>
            <w:r w:rsidRPr="008E2822">
              <w:rPr>
                <w:color w:val="000000"/>
                <w:sz w:val="20"/>
                <w:szCs w:val="20"/>
              </w:rPr>
              <w:t xml:space="preserve"> </w:t>
            </w:r>
            <w:proofErr w:type="spellStart"/>
            <w:r w:rsidRPr="008E2822">
              <w:rPr>
                <w:color w:val="000000"/>
                <w:sz w:val="20"/>
                <w:szCs w:val="20"/>
              </w:rPr>
              <w:t>Банк</w:t>
            </w:r>
            <w:proofErr w:type="spellEnd"/>
            <w:r w:rsidRPr="008E2822">
              <w:rPr>
                <w:color w:val="000000"/>
                <w:sz w:val="20"/>
                <w:szCs w:val="20"/>
              </w:rPr>
              <w:t xml:space="preserve"> АД</w:t>
            </w:r>
          </w:p>
        </w:tc>
        <w:tc>
          <w:tcPr>
            <w:tcW w:w="4343" w:type="dxa"/>
            <w:tcBorders>
              <w:top w:val="nil"/>
              <w:left w:val="nil"/>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ЮГ </w:t>
            </w:r>
            <w:proofErr w:type="spellStart"/>
            <w:r w:rsidRPr="008E2822">
              <w:rPr>
                <w:color w:val="000000"/>
                <w:sz w:val="20"/>
                <w:szCs w:val="20"/>
              </w:rPr>
              <w:t>Маркет</w:t>
            </w:r>
            <w:proofErr w:type="spellEnd"/>
            <w:r w:rsidRPr="008E2822">
              <w:rPr>
                <w:color w:val="000000"/>
                <w:sz w:val="20"/>
                <w:szCs w:val="20"/>
              </w:rPr>
              <w:t xml:space="preserve"> АД</w:t>
            </w:r>
          </w:p>
        </w:tc>
      </w:tr>
      <w:tr w:rsidR="004B2AB6" w:rsidRPr="008E2822" w:rsidTr="004B2AB6">
        <w:trPr>
          <w:trHeight w:val="170"/>
          <w:jc w:val="center"/>
        </w:trPr>
        <w:tc>
          <w:tcPr>
            <w:tcW w:w="5000" w:type="dxa"/>
            <w:tcBorders>
              <w:top w:val="nil"/>
              <w:left w:val="nil"/>
              <w:bottom w:val="single" w:sz="4" w:space="0" w:color="auto"/>
              <w:right w:val="nil"/>
            </w:tcBorders>
            <w:shd w:val="clear" w:color="auto" w:fill="auto"/>
            <w:noWrap/>
            <w:vAlign w:val="center"/>
            <w:hideMark/>
          </w:tcPr>
          <w:p w:rsidR="004B2AB6" w:rsidRPr="008E2822" w:rsidRDefault="004B2AB6" w:rsidP="004B2AB6">
            <w:pPr>
              <w:widowControl/>
              <w:rPr>
                <w:color w:val="000000"/>
                <w:sz w:val="20"/>
                <w:szCs w:val="20"/>
              </w:rPr>
            </w:pPr>
            <w:r w:rsidRPr="008E2822">
              <w:rPr>
                <w:color w:val="000000"/>
                <w:sz w:val="20"/>
                <w:szCs w:val="20"/>
              </w:rPr>
              <w:t xml:space="preserve">ИП </w:t>
            </w:r>
            <w:proofErr w:type="spellStart"/>
            <w:r w:rsidRPr="008E2822">
              <w:rPr>
                <w:color w:val="000000"/>
                <w:sz w:val="20"/>
                <w:szCs w:val="20"/>
              </w:rPr>
              <w:t>Кепитъл</w:t>
            </w:r>
            <w:proofErr w:type="spellEnd"/>
            <w:r w:rsidRPr="008E2822">
              <w:rPr>
                <w:color w:val="000000"/>
                <w:sz w:val="20"/>
                <w:szCs w:val="20"/>
              </w:rPr>
              <w:t xml:space="preserve"> </w:t>
            </w:r>
            <w:proofErr w:type="spellStart"/>
            <w:r w:rsidRPr="008E2822">
              <w:rPr>
                <w:color w:val="000000"/>
                <w:sz w:val="20"/>
                <w:szCs w:val="20"/>
              </w:rPr>
              <w:t>Инвест</w:t>
            </w:r>
            <w:proofErr w:type="spellEnd"/>
            <w:r w:rsidRPr="008E2822">
              <w:rPr>
                <w:color w:val="000000"/>
                <w:sz w:val="20"/>
                <w:szCs w:val="20"/>
              </w:rPr>
              <w:t xml:space="preserve"> ЕАД</w:t>
            </w:r>
          </w:p>
        </w:tc>
        <w:tc>
          <w:tcPr>
            <w:tcW w:w="4343" w:type="dxa"/>
            <w:tcBorders>
              <w:top w:val="nil"/>
              <w:left w:val="nil"/>
              <w:bottom w:val="single" w:sz="4" w:space="0" w:color="auto"/>
              <w:right w:val="nil"/>
            </w:tcBorders>
            <w:shd w:val="clear" w:color="auto" w:fill="auto"/>
            <w:noWrap/>
            <w:vAlign w:val="center"/>
            <w:hideMark/>
          </w:tcPr>
          <w:p w:rsidR="004B2AB6" w:rsidRPr="008E2822" w:rsidRDefault="004B2AB6" w:rsidP="004B2AB6">
            <w:pPr>
              <w:widowControl/>
              <w:rPr>
                <w:color w:val="000000"/>
                <w:sz w:val="20"/>
                <w:szCs w:val="20"/>
              </w:rPr>
            </w:pPr>
            <w:proofErr w:type="spellStart"/>
            <w:r w:rsidRPr="008E2822">
              <w:rPr>
                <w:color w:val="000000"/>
                <w:sz w:val="20"/>
                <w:szCs w:val="20"/>
              </w:rPr>
              <w:t>Юробанк</w:t>
            </w:r>
            <w:proofErr w:type="spellEnd"/>
            <w:r w:rsidRPr="008E2822">
              <w:rPr>
                <w:color w:val="000000"/>
                <w:sz w:val="20"/>
                <w:szCs w:val="20"/>
              </w:rPr>
              <w:t xml:space="preserve"> И </w:t>
            </w:r>
            <w:proofErr w:type="spellStart"/>
            <w:r w:rsidRPr="008E2822">
              <w:rPr>
                <w:color w:val="000000"/>
                <w:sz w:val="20"/>
                <w:szCs w:val="20"/>
              </w:rPr>
              <w:t>Еф</w:t>
            </w:r>
            <w:proofErr w:type="spellEnd"/>
            <w:r w:rsidRPr="008E2822">
              <w:rPr>
                <w:color w:val="000000"/>
                <w:sz w:val="20"/>
                <w:szCs w:val="20"/>
              </w:rPr>
              <w:t xml:space="preserve"> </w:t>
            </w:r>
            <w:proofErr w:type="spellStart"/>
            <w:r w:rsidRPr="008E2822">
              <w:rPr>
                <w:color w:val="000000"/>
                <w:sz w:val="20"/>
                <w:szCs w:val="20"/>
              </w:rPr>
              <w:t>Джи</w:t>
            </w:r>
            <w:proofErr w:type="spellEnd"/>
            <w:r w:rsidRPr="008E2822">
              <w:rPr>
                <w:color w:val="000000"/>
                <w:sz w:val="20"/>
                <w:szCs w:val="20"/>
              </w:rPr>
              <w:t xml:space="preserve"> България </w:t>
            </w:r>
            <w:proofErr w:type="gramStart"/>
            <w:r w:rsidRPr="008E2822">
              <w:rPr>
                <w:color w:val="000000"/>
                <w:sz w:val="20"/>
                <w:szCs w:val="20"/>
              </w:rPr>
              <w:t xml:space="preserve">АД </w:t>
            </w:r>
            <w:proofErr w:type="gramEnd"/>
          </w:p>
        </w:tc>
      </w:tr>
    </w:tbl>
    <w:p w:rsidR="00EF62E9" w:rsidRPr="008E2822" w:rsidRDefault="00EF62E9" w:rsidP="00EF62E9">
      <w:pPr>
        <w:tabs>
          <w:tab w:val="left" w:pos="360"/>
        </w:tabs>
      </w:pPr>
    </w:p>
    <w:p w:rsidR="00113FAF" w:rsidRPr="008E2822" w:rsidRDefault="00A916CF" w:rsidP="00BA4CF8">
      <w:pPr>
        <w:pStyle w:val="Mainnumbers"/>
        <w:outlineLvl w:val="0"/>
      </w:pPr>
      <w:r w:rsidRPr="008E2822">
        <w:br w:type="page"/>
      </w:r>
      <w:bookmarkStart w:id="52" w:name="_Toc283112131"/>
      <w:bookmarkStart w:id="53" w:name="_Toc362884509"/>
      <w:r w:rsidR="00113FAF" w:rsidRPr="008E2822">
        <w:lastRenderedPageBreak/>
        <w:t xml:space="preserve">Финансово състояние на </w:t>
      </w:r>
      <w:r w:rsidR="001E69E4" w:rsidRPr="008E2822">
        <w:t>БФБ-София</w:t>
      </w:r>
      <w:bookmarkEnd w:id="51"/>
      <w:bookmarkEnd w:id="52"/>
      <w:bookmarkEnd w:id="53"/>
    </w:p>
    <w:p w:rsidR="00222118" w:rsidRPr="008E2822" w:rsidRDefault="000C15D0" w:rsidP="000C15D0">
      <w:pPr>
        <w:tabs>
          <w:tab w:val="left" w:pos="360"/>
        </w:tabs>
        <w:rPr>
          <w:szCs w:val="22"/>
        </w:rPr>
      </w:pPr>
      <w:r w:rsidRPr="008E2822">
        <w:rPr>
          <w:szCs w:val="22"/>
        </w:rPr>
        <w:t xml:space="preserve">Финансовият отчет на Българска фондова Борса – София АД е изготвен съгласно приетата счетоводна политика на Борсата и предоставя информация за финансовото състояние на дружеството и резултатите от дейността му. </w:t>
      </w:r>
    </w:p>
    <w:p w:rsidR="00006BAE" w:rsidRPr="008E2822" w:rsidRDefault="00006BAE" w:rsidP="00BA4CF8">
      <w:pPr>
        <w:pStyle w:val="SubNumbers"/>
        <w:outlineLvl w:val="1"/>
      </w:pPr>
      <w:bookmarkStart w:id="54" w:name="_Toc362884510"/>
      <w:r w:rsidRPr="008E2822">
        <w:t>Активи</w:t>
      </w:r>
      <w:r w:rsidR="00256954" w:rsidRPr="008E2822">
        <w:t>/пасиви</w:t>
      </w:r>
      <w:bookmarkEnd w:id="54"/>
    </w:p>
    <w:p w:rsidR="008E2822" w:rsidRPr="00C67619" w:rsidRDefault="008E2822" w:rsidP="008E2822">
      <w:pPr>
        <w:tabs>
          <w:tab w:val="left" w:pos="360"/>
        </w:tabs>
        <w:rPr>
          <w:szCs w:val="22"/>
        </w:rPr>
      </w:pPr>
      <w:r w:rsidRPr="00C67619">
        <w:rPr>
          <w:szCs w:val="22"/>
        </w:rPr>
        <w:t>Сумата на активите на Българска фондова борса – София АД към края на второто тримесечие на 2013 г. е минимално (+4,75%) по-висока от стойността към края на 2012 г.</w:t>
      </w:r>
    </w:p>
    <w:p w:rsidR="008E2822" w:rsidRPr="00C67619" w:rsidRDefault="008E2822" w:rsidP="008E2822">
      <w:pPr>
        <w:tabs>
          <w:tab w:val="left" w:pos="360"/>
        </w:tabs>
        <w:rPr>
          <w:szCs w:val="22"/>
        </w:rPr>
      </w:pPr>
      <w:r w:rsidRPr="00C67619">
        <w:rPr>
          <w:szCs w:val="22"/>
        </w:rPr>
        <w:t>Позицията „Финансови активи, държани до падеж” вече има нулево салдо, тъй като дружеството отразява държаните държавни ценни книжа като на разположение за продажба.</w:t>
      </w:r>
    </w:p>
    <w:p w:rsidR="008E2822" w:rsidRPr="00C67619" w:rsidRDefault="008E2822" w:rsidP="008E2822">
      <w:pPr>
        <w:tabs>
          <w:tab w:val="left" w:pos="360"/>
        </w:tabs>
        <w:rPr>
          <w:szCs w:val="22"/>
        </w:rPr>
      </w:pPr>
      <w:r w:rsidRPr="00C67619">
        <w:rPr>
          <w:szCs w:val="22"/>
        </w:rPr>
        <w:t>Самата позиция „Финансови активи на разположение и за продажба”, отразява закупените държавни ценни книжа и участието на Борсата в капитала на „Централен депозитар“ АД.</w:t>
      </w:r>
    </w:p>
    <w:p w:rsidR="008E2822" w:rsidRPr="00C67619" w:rsidRDefault="008E2822" w:rsidP="008E2822">
      <w:pPr>
        <w:tabs>
          <w:tab w:val="left" w:pos="360"/>
        </w:tabs>
        <w:rPr>
          <w:szCs w:val="22"/>
        </w:rPr>
      </w:pPr>
      <w:r w:rsidRPr="00C67619">
        <w:rPr>
          <w:szCs w:val="22"/>
        </w:rPr>
        <w:t xml:space="preserve">Стойността на </w:t>
      </w:r>
      <w:proofErr w:type="gramStart"/>
      <w:r w:rsidRPr="00C67619">
        <w:rPr>
          <w:szCs w:val="22"/>
        </w:rPr>
        <w:t>средствата по позиция „Парични средства</w:t>
      </w:r>
      <w:proofErr w:type="gramEnd"/>
      <w:r w:rsidRPr="00C67619">
        <w:rPr>
          <w:szCs w:val="22"/>
        </w:rPr>
        <w:t xml:space="preserve"> и парични еквиваленти” и „Срочни депозити в банки” отразява политиката на БФБ-София по управление на свободните средства на компанията. </w:t>
      </w:r>
      <w:proofErr w:type="gramStart"/>
      <w:r w:rsidRPr="00C67619">
        <w:rPr>
          <w:szCs w:val="22"/>
        </w:rPr>
        <w:t>Част от активите, държани до падеж (ДЦК с падеж през първото тримесечие на 2013 година), както и част</w:t>
      </w:r>
      <w:proofErr w:type="gramEnd"/>
      <w:r w:rsidRPr="00C67619">
        <w:rPr>
          <w:szCs w:val="22"/>
        </w:rPr>
        <w:t xml:space="preserve"> от свободните парични средства са превърнати в срочни депозити с висока степен на ликвидност и сравнително висока доходност.</w:t>
      </w:r>
    </w:p>
    <w:p w:rsidR="008E2822" w:rsidRPr="00C67619" w:rsidRDefault="008E2822" w:rsidP="008E2822">
      <w:pPr>
        <w:tabs>
          <w:tab w:val="left" w:pos="360"/>
        </w:tabs>
        <w:rPr>
          <w:szCs w:val="22"/>
        </w:rPr>
      </w:pPr>
      <w:r w:rsidRPr="00C67619">
        <w:rPr>
          <w:szCs w:val="22"/>
        </w:rPr>
        <w:t>По отношение на пасивите основните разлики с края на 2012 г. отразяват натрупаната печалба от 2012 година и възникналите във връзка с това данъчни задължения.</w:t>
      </w:r>
    </w:p>
    <w:p w:rsidR="008E2822" w:rsidRPr="00C67619" w:rsidRDefault="008E2822" w:rsidP="008E2822">
      <w:pPr>
        <w:tabs>
          <w:tab w:val="left" w:pos="360"/>
        </w:tabs>
        <w:rPr>
          <w:szCs w:val="22"/>
        </w:rPr>
      </w:pPr>
      <w:r w:rsidRPr="00C67619">
        <w:rPr>
          <w:szCs w:val="22"/>
        </w:rPr>
        <w:t>Наблюдава се 2,</w:t>
      </w:r>
      <w:proofErr w:type="gramStart"/>
      <w:r w:rsidRPr="00C67619">
        <w:rPr>
          <w:szCs w:val="22"/>
        </w:rPr>
        <w:t>48%-</w:t>
      </w:r>
      <w:proofErr w:type="spellStart"/>
      <w:r w:rsidRPr="00C67619">
        <w:rPr>
          <w:szCs w:val="22"/>
        </w:rPr>
        <w:t>тно</w:t>
      </w:r>
      <w:proofErr w:type="spellEnd"/>
      <w:proofErr w:type="gramEnd"/>
      <w:r w:rsidRPr="00C67619">
        <w:rPr>
          <w:szCs w:val="22"/>
        </w:rPr>
        <w:t xml:space="preserve"> намаление на задълженията по вноски за Гаранционния фонд, което се дължи на възстановени през периода средства на прекратили членството си борсови членове.</w:t>
      </w:r>
    </w:p>
    <w:p w:rsidR="008E2822" w:rsidRDefault="008E2822" w:rsidP="008E2822">
      <w:pPr>
        <w:tabs>
          <w:tab w:val="left" w:pos="360"/>
        </w:tabs>
        <w:rPr>
          <w:szCs w:val="22"/>
        </w:rPr>
      </w:pPr>
      <w:r w:rsidRPr="00C67619">
        <w:rPr>
          <w:szCs w:val="22"/>
        </w:rPr>
        <w:t>По позицията Задължения към доставчици и други кредитори е отбелязано нарастване със 70,25% в сравнение с края на 2012-а година</w:t>
      </w:r>
      <w:r w:rsidRPr="00C67619">
        <w:rPr>
          <w:szCs w:val="22"/>
          <w:lang w:val="en-US"/>
        </w:rPr>
        <w:t>.</w:t>
      </w:r>
      <w:r w:rsidRPr="00C67619">
        <w:rPr>
          <w:szCs w:val="22"/>
        </w:rPr>
        <w:t xml:space="preserve"> </w:t>
      </w:r>
      <w:r>
        <w:rPr>
          <w:szCs w:val="22"/>
        </w:rPr>
        <w:t>В тази</w:t>
      </w:r>
      <w:r w:rsidRPr="00C67619">
        <w:rPr>
          <w:szCs w:val="22"/>
        </w:rPr>
        <w:t xml:space="preserve"> позиция </w:t>
      </w:r>
      <w:r>
        <w:rPr>
          <w:szCs w:val="22"/>
        </w:rPr>
        <w:t>са включени</w:t>
      </w:r>
      <w:r w:rsidRPr="00C67619">
        <w:rPr>
          <w:szCs w:val="22"/>
        </w:rPr>
        <w:t xml:space="preserve"> задълженията към </w:t>
      </w:r>
      <w:r w:rsidRPr="00C67619">
        <w:rPr>
          <w:szCs w:val="22"/>
          <w:lang w:val="en-US"/>
        </w:rPr>
        <w:t>Deutsche</w:t>
      </w:r>
      <w:r>
        <w:rPr>
          <w:szCs w:val="22"/>
        </w:rPr>
        <w:t xml:space="preserve"> </w:t>
      </w:r>
      <w:proofErr w:type="spellStart"/>
      <w:r w:rsidRPr="00C67619">
        <w:rPr>
          <w:szCs w:val="22"/>
          <w:lang w:val="en-US"/>
        </w:rPr>
        <w:t>Boerse</w:t>
      </w:r>
      <w:proofErr w:type="spellEnd"/>
      <w:r>
        <w:rPr>
          <w:szCs w:val="22"/>
        </w:rPr>
        <w:t>, които към началото на всяка година се отразяват с минималния размер на лицензионната такса и всеки период се намаляват с текущо платените суми</w:t>
      </w:r>
      <w:r w:rsidRPr="00C67619">
        <w:rPr>
          <w:szCs w:val="22"/>
        </w:rPr>
        <w:t>.</w:t>
      </w:r>
    </w:p>
    <w:p w:rsidR="00006BAE" w:rsidRPr="008E2822" w:rsidRDefault="00875E7B" w:rsidP="00BA4CF8">
      <w:pPr>
        <w:pStyle w:val="SubNumbers"/>
        <w:outlineLvl w:val="1"/>
      </w:pPr>
      <w:bookmarkStart w:id="55" w:name="_Toc362884511"/>
      <w:r w:rsidRPr="008E2822">
        <w:t>Финансов резултат</w:t>
      </w:r>
      <w:bookmarkEnd w:id="55"/>
    </w:p>
    <w:p w:rsidR="00D03868" w:rsidRPr="008E2822" w:rsidRDefault="005C7A2E" w:rsidP="005C7A2E">
      <w:pPr>
        <w:tabs>
          <w:tab w:val="left" w:pos="360"/>
        </w:tabs>
      </w:pPr>
      <w:r w:rsidRPr="008E2822">
        <w:rPr>
          <w:szCs w:val="22"/>
        </w:rPr>
        <w:t xml:space="preserve">Към края на </w:t>
      </w:r>
      <w:r w:rsidR="008E2822">
        <w:rPr>
          <w:szCs w:val="22"/>
        </w:rPr>
        <w:t>второто</w:t>
      </w:r>
      <w:r w:rsidR="00167528" w:rsidRPr="008E2822">
        <w:rPr>
          <w:szCs w:val="22"/>
        </w:rPr>
        <w:t xml:space="preserve"> </w:t>
      </w:r>
      <w:r w:rsidRPr="008E2822">
        <w:rPr>
          <w:szCs w:val="22"/>
        </w:rPr>
        <w:t>тримесечие</w:t>
      </w:r>
      <w:r w:rsidR="00197C40" w:rsidRPr="008E2822">
        <w:rPr>
          <w:szCs w:val="22"/>
        </w:rPr>
        <w:t xml:space="preserve"> на 2013</w:t>
      </w:r>
      <w:r w:rsidR="00061BD0" w:rsidRPr="008E2822">
        <w:rPr>
          <w:szCs w:val="22"/>
        </w:rPr>
        <w:t xml:space="preserve"> </w:t>
      </w:r>
      <w:r w:rsidR="00040C2F" w:rsidRPr="008E2822">
        <w:rPr>
          <w:szCs w:val="22"/>
        </w:rPr>
        <w:t>г.</w:t>
      </w:r>
      <w:r w:rsidRPr="008E2822">
        <w:rPr>
          <w:szCs w:val="22"/>
        </w:rPr>
        <w:t xml:space="preserve"> нетния финансов резултат, реализиран от БФБ-София е </w:t>
      </w:r>
      <w:r w:rsidR="00061BD0" w:rsidRPr="008E2822">
        <w:rPr>
          <w:szCs w:val="22"/>
        </w:rPr>
        <w:t>положителен</w:t>
      </w:r>
      <w:r w:rsidRPr="008E2822">
        <w:rPr>
          <w:szCs w:val="22"/>
        </w:rPr>
        <w:t xml:space="preserve"> в размер на </w:t>
      </w:r>
      <w:r w:rsidR="008E2822">
        <w:rPr>
          <w:szCs w:val="22"/>
        </w:rPr>
        <w:t>625</w:t>
      </w:r>
      <w:r w:rsidRPr="008E2822">
        <w:rPr>
          <w:szCs w:val="22"/>
        </w:rPr>
        <w:t xml:space="preserve"> хил. лв.</w:t>
      </w:r>
    </w:p>
    <w:p w:rsidR="00D03868" w:rsidRPr="008E2822" w:rsidRDefault="00D03868" w:rsidP="00BA4CF8">
      <w:pPr>
        <w:pStyle w:val="SubNumbers"/>
        <w:outlineLvl w:val="1"/>
      </w:pPr>
      <w:bookmarkStart w:id="56" w:name="_Toc362884512"/>
      <w:r w:rsidRPr="008E2822">
        <w:t>Приходи</w:t>
      </w:r>
      <w:r w:rsidR="00256954" w:rsidRPr="008E2822">
        <w:t>/разходи</w:t>
      </w:r>
      <w:bookmarkEnd w:id="56"/>
    </w:p>
    <w:p w:rsidR="008E2822" w:rsidRPr="00C67619" w:rsidRDefault="008E2822" w:rsidP="008E2822">
      <w:pPr>
        <w:tabs>
          <w:tab w:val="left" w:pos="360"/>
        </w:tabs>
        <w:rPr>
          <w:szCs w:val="22"/>
        </w:rPr>
      </w:pPr>
      <w:r w:rsidRPr="00C67619">
        <w:rPr>
          <w:szCs w:val="22"/>
        </w:rPr>
        <w:t xml:space="preserve">По отношение на приходите от основна дейност е реализирано увеличение спрямо аналогичния период на 2012 г. от </w:t>
      </w:r>
      <w:r w:rsidRPr="00C67619">
        <w:rPr>
          <w:szCs w:val="22"/>
          <w:lang w:val="en-US"/>
        </w:rPr>
        <w:t>80</w:t>
      </w:r>
      <w:r w:rsidRPr="00C67619">
        <w:rPr>
          <w:szCs w:val="22"/>
        </w:rPr>
        <w:t>.</w:t>
      </w:r>
      <w:r w:rsidRPr="00C67619">
        <w:rPr>
          <w:szCs w:val="22"/>
          <w:lang w:val="en-US"/>
        </w:rPr>
        <w:t>18</w:t>
      </w:r>
      <w:r w:rsidRPr="00C67619">
        <w:rPr>
          <w:szCs w:val="22"/>
        </w:rPr>
        <w:t>%, който се дължи основно на увеличение в приходите от комисионни за сделки на Борсата (</w:t>
      </w:r>
      <w:r w:rsidRPr="00C67619">
        <w:rPr>
          <w:szCs w:val="22"/>
          <w:lang w:val="en-US"/>
        </w:rPr>
        <w:t>248</w:t>
      </w:r>
      <w:r w:rsidRPr="00C67619">
        <w:rPr>
          <w:szCs w:val="22"/>
        </w:rPr>
        <w:t>,</w:t>
      </w:r>
      <w:r w:rsidRPr="00C67619">
        <w:rPr>
          <w:szCs w:val="22"/>
          <w:lang w:val="en-US"/>
        </w:rPr>
        <w:t>66</w:t>
      </w:r>
      <w:r w:rsidRPr="00C67619">
        <w:rPr>
          <w:szCs w:val="22"/>
        </w:rPr>
        <w:t>%).</w:t>
      </w:r>
    </w:p>
    <w:p w:rsidR="0047128F" w:rsidRPr="008E2822" w:rsidRDefault="008E2822" w:rsidP="002E6D1A">
      <w:pPr>
        <w:tabs>
          <w:tab w:val="left" w:pos="360"/>
        </w:tabs>
        <w:rPr>
          <w:szCs w:val="22"/>
        </w:rPr>
      </w:pPr>
      <w:r w:rsidRPr="00C67619">
        <w:rPr>
          <w:szCs w:val="22"/>
        </w:rPr>
        <w:t xml:space="preserve">По основните разходни пера е реализирано незначително намаление от </w:t>
      </w:r>
      <w:r w:rsidRPr="00C67619">
        <w:rPr>
          <w:szCs w:val="22"/>
          <w:lang w:val="en-US"/>
        </w:rPr>
        <w:t>3</w:t>
      </w:r>
      <w:r w:rsidRPr="00C67619">
        <w:rPr>
          <w:szCs w:val="22"/>
        </w:rPr>
        <w:t>,</w:t>
      </w:r>
      <w:r w:rsidRPr="00C67619">
        <w:rPr>
          <w:szCs w:val="22"/>
          <w:lang w:val="en-US"/>
        </w:rPr>
        <w:t>52</w:t>
      </w:r>
      <w:r w:rsidRPr="00C67619">
        <w:rPr>
          <w:szCs w:val="22"/>
        </w:rPr>
        <w:t xml:space="preserve"> %. Разходите за външни услуги намаляват с </w:t>
      </w:r>
      <w:r w:rsidRPr="00C67619">
        <w:rPr>
          <w:szCs w:val="22"/>
          <w:lang w:val="en-US"/>
        </w:rPr>
        <w:t>14</w:t>
      </w:r>
      <w:r w:rsidRPr="00C67619">
        <w:rPr>
          <w:szCs w:val="22"/>
        </w:rPr>
        <w:t>,</w:t>
      </w:r>
      <w:r w:rsidRPr="00C67619">
        <w:rPr>
          <w:szCs w:val="22"/>
          <w:lang w:val="en-US"/>
        </w:rPr>
        <w:t>92</w:t>
      </w:r>
      <w:r w:rsidRPr="00C67619">
        <w:rPr>
          <w:szCs w:val="22"/>
        </w:rPr>
        <w:t xml:space="preserve">% в резултат на намаляване на лицензионните такси с </w:t>
      </w:r>
      <w:r w:rsidRPr="00C67619">
        <w:rPr>
          <w:szCs w:val="22"/>
          <w:lang w:val="en-US"/>
        </w:rPr>
        <w:t>27</w:t>
      </w:r>
      <w:r w:rsidRPr="00C67619">
        <w:rPr>
          <w:szCs w:val="22"/>
        </w:rPr>
        <w:t>,</w:t>
      </w:r>
      <w:r w:rsidRPr="00C67619">
        <w:rPr>
          <w:szCs w:val="22"/>
          <w:lang w:val="en-US"/>
        </w:rPr>
        <w:t>32</w:t>
      </w:r>
      <w:r w:rsidRPr="00C67619">
        <w:rPr>
          <w:szCs w:val="22"/>
        </w:rPr>
        <w:t xml:space="preserve">%, и разходите за комуникации с </w:t>
      </w:r>
      <w:r w:rsidRPr="00C67619">
        <w:rPr>
          <w:szCs w:val="22"/>
          <w:lang w:val="en-US"/>
        </w:rPr>
        <w:t>7</w:t>
      </w:r>
      <w:r w:rsidRPr="00C67619">
        <w:rPr>
          <w:szCs w:val="22"/>
        </w:rPr>
        <w:t>,</w:t>
      </w:r>
      <w:r w:rsidRPr="00C67619">
        <w:rPr>
          <w:szCs w:val="22"/>
          <w:lang w:val="en-US"/>
        </w:rPr>
        <w:t>41</w:t>
      </w:r>
      <w:r w:rsidRPr="00C67619">
        <w:rPr>
          <w:szCs w:val="22"/>
        </w:rPr>
        <w:t xml:space="preserve">%. Разходите за персонала се увеличават </w:t>
      </w:r>
      <w:proofErr w:type="gramStart"/>
      <w:r w:rsidRPr="00C67619">
        <w:rPr>
          <w:szCs w:val="22"/>
        </w:rPr>
        <w:t>със 11</w:t>
      </w:r>
      <w:proofErr w:type="gramEnd"/>
      <w:r w:rsidRPr="00C67619">
        <w:rPr>
          <w:szCs w:val="22"/>
        </w:rPr>
        <w:t>,93 %, а таксите за членство с 12,90%</w:t>
      </w:r>
      <w:r w:rsidR="00904D33" w:rsidRPr="008E2822">
        <w:rPr>
          <w:szCs w:val="22"/>
        </w:rPr>
        <w:t>.</w:t>
      </w:r>
    </w:p>
    <w:p w:rsidR="0047128F" w:rsidRPr="008E2822" w:rsidRDefault="0047128F">
      <w:pPr>
        <w:widowControl/>
        <w:jc w:val="left"/>
        <w:rPr>
          <w:szCs w:val="22"/>
        </w:rPr>
      </w:pPr>
      <w:r w:rsidRPr="008E2822">
        <w:rPr>
          <w:szCs w:val="22"/>
        </w:rPr>
        <w:br w:type="page"/>
      </w:r>
    </w:p>
    <w:p w:rsidR="00E47CE2" w:rsidRPr="008E2822" w:rsidRDefault="00E47CE2" w:rsidP="00BA4CF8">
      <w:pPr>
        <w:pStyle w:val="SubNumbers"/>
        <w:outlineLvl w:val="1"/>
      </w:pPr>
      <w:bookmarkStart w:id="57" w:name="_Toc362884513"/>
      <w:r w:rsidRPr="008E2822">
        <w:lastRenderedPageBreak/>
        <w:t>Сделки със свързани лица</w:t>
      </w:r>
      <w:bookmarkEnd w:id="57"/>
    </w:p>
    <w:p w:rsidR="00E47CE2" w:rsidRPr="008E2822" w:rsidRDefault="00E47CE2" w:rsidP="00E47CE2">
      <w:pPr>
        <w:pStyle w:val="BodyText"/>
        <w:tabs>
          <w:tab w:val="left" w:pos="720"/>
        </w:tabs>
        <w:spacing w:line="260" w:lineRule="exact"/>
        <w:rPr>
          <w:rFonts w:cs="Times New Roman"/>
          <w:b w:val="0"/>
          <w:bCs w:val="0"/>
          <w:szCs w:val="22"/>
          <w:lang w:eastAsia="bg-BG" w:bidi="ar-SA"/>
        </w:rPr>
      </w:pPr>
      <w:r w:rsidRPr="008E2822">
        <w:rPr>
          <w:rFonts w:cs="Times New Roman"/>
          <w:b w:val="0"/>
          <w:bCs w:val="0"/>
          <w:szCs w:val="22"/>
          <w:lang w:eastAsia="bg-BG" w:bidi="ar-SA"/>
        </w:rPr>
        <w:t>Общият размер на сделките със свързани лица към 31.</w:t>
      </w:r>
      <w:r w:rsidR="00D45879" w:rsidRPr="008E2822">
        <w:rPr>
          <w:rFonts w:cs="Times New Roman"/>
          <w:b w:val="0"/>
          <w:bCs w:val="0"/>
          <w:szCs w:val="22"/>
          <w:lang w:eastAsia="bg-BG" w:bidi="ar-SA"/>
        </w:rPr>
        <w:t>03</w:t>
      </w:r>
      <w:r w:rsidRPr="008E2822">
        <w:rPr>
          <w:rFonts w:cs="Times New Roman"/>
          <w:b w:val="0"/>
          <w:bCs w:val="0"/>
          <w:szCs w:val="22"/>
          <w:lang w:eastAsia="bg-BG" w:bidi="ar-SA"/>
        </w:rPr>
        <w:t>.201</w:t>
      </w:r>
      <w:r w:rsidR="00D45879" w:rsidRPr="008E2822">
        <w:rPr>
          <w:rFonts w:cs="Times New Roman"/>
          <w:b w:val="0"/>
          <w:bCs w:val="0"/>
          <w:szCs w:val="22"/>
          <w:lang w:eastAsia="bg-BG" w:bidi="ar-SA"/>
        </w:rPr>
        <w:t>2</w:t>
      </w:r>
      <w:r w:rsidRPr="008E2822">
        <w:rPr>
          <w:rFonts w:cs="Times New Roman"/>
          <w:b w:val="0"/>
          <w:bCs w:val="0"/>
          <w:szCs w:val="22"/>
          <w:lang w:eastAsia="bg-BG" w:bidi="ar-SA"/>
        </w:rPr>
        <w:t xml:space="preserve"> г. са, както следва:</w:t>
      </w:r>
    </w:p>
    <w:p w:rsidR="00844758" w:rsidRPr="008E2822" w:rsidRDefault="00844758" w:rsidP="00E47CE2">
      <w:pPr>
        <w:pStyle w:val="BodyText"/>
        <w:tabs>
          <w:tab w:val="left" w:pos="720"/>
        </w:tabs>
        <w:spacing w:line="260" w:lineRule="exact"/>
        <w:rPr>
          <w:b w:val="0"/>
          <w:sz w:val="20"/>
          <w:szCs w:val="22"/>
        </w:rPr>
      </w:pPr>
    </w:p>
    <w:p w:rsidR="00844758" w:rsidRPr="008E2822" w:rsidRDefault="00F70F5C" w:rsidP="00844758">
      <w:pPr>
        <w:pStyle w:val="a2"/>
        <w:tabs>
          <w:tab w:val="left" w:pos="360"/>
        </w:tabs>
        <w:jc w:val="left"/>
        <w:rPr>
          <w:b/>
          <w:i w:val="0"/>
          <w:szCs w:val="22"/>
        </w:rPr>
      </w:pPr>
      <w:r w:rsidRPr="008E2822">
        <w:rPr>
          <w:b/>
          <w:i w:val="0"/>
          <w:szCs w:val="22"/>
        </w:rPr>
        <w:t>Таблица 1</w:t>
      </w:r>
      <w:r w:rsidR="00A13C0D" w:rsidRPr="008E2822">
        <w:rPr>
          <w:b/>
          <w:i w:val="0"/>
          <w:szCs w:val="22"/>
        </w:rPr>
        <w:t>5</w:t>
      </w:r>
      <w:r w:rsidR="00844758" w:rsidRPr="008E2822">
        <w:rPr>
          <w:b/>
          <w:i w:val="0"/>
          <w:szCs w:val="22"/>
        </w:rPr>
        <w:t>. Сделки със свързани лица</w:t>
      </w:r>
    </w:p>
    <w:tbl>
      <w:tblPr>
        <w:tblW w:w="11018" w:type="dxa"/>
        <w:jc w:val="center"/>
        <w:tblLook w:val="04A0" w:firstRow="1" w:lastRow="0" w:firstColumn="1" w:lastColumn="0" w:noHBand="0" w:noVBand="1"/>
      </w:tblPr>
      <w:tblGrid>
        <w:gridCol w:w="6145"/>
        <w:gridCol w:w="2963"/>
        <w:gridCol w:w="955"/>
        <w:gridCol w:w="955"/>
      </w:tblGrid>
      <w:tr w:rsidR="008E2822" w:rsidRPr="00C67619" w:rsidTr="008E2822">
        <w:trPr>
          <w:trHeight w:val="170"/>
          <w:jc w:val="center"/>
        </w:trPr>
        <w:tc>
          <w:tcPr>
            <w:tcW w:w="6145" w:type="dxa"/>
            <w:tcBorders>
              <w:top w:val="single" w:sz="4" w:space="0" w:color="auto"/>
              <w:left w:val="single" w:sz="4" w:space="0" w:color="auto"/>
              <w:bottom w:val="single" w:sz="4" w:space="0" w:color="auto"/>
              <w:right w:val="single" w:sz="4" w:space="0" w:color="auto"/>
            </w:tcBorders>
            <w:shd w:val="clear" w:color="000000" w:fill="4F81BD"/>
            <w:noWrap/>
            <w:tcMar>
              <w:top w:w="28" w:type="dxa"/>
              <w:left w:w="28" w:type="dxa"/>
              <w:bottom w:w="28" w:type="dxa"/>
              <w:right w:w="28" w:type="dxa"/>
            </w:tcMar>
            <w:vAlign w:val="center"/>
            <w:hideMark/>
          </w:tcPr>
          <w:p w:rsidR="008E2822" w:rsidRPr="00C67619" w:rsidRDefault="008E2822" w:rsidP="00892B18">
            <w:pPr>
              <w:widowControl/>
              <w:jc w:val="left"/>
              <w:rPr>
                <w:rFonts w:cs="Arial"/>
                <w:b/>
                <w:bCs/>
                <w:color w:val="FFFFFF"/>
                <w:sz w:val="18"/>
                <w:szCs w:val="18"/>
                <w:lang w:val="en-US" w:eastAsia="en-US"/>
              </w:rPr>
            </w:pPr>
            <w:proofErr w:type="spellStart"/>
            <w:r w:rsidRPr="00C67619">
              <w:rPr>
                <w:rFonts w:cs="Arial"/>
                <w:b/>
                <w:bCs/>
                <w:color w:val="FFFFFF"/>
                <w:sz w:val="18"/>
                <w:szCs w:val="18"/>
                <w:lang w:val="en-US" w:eastAsia="en-US"/>
              </w:rPr>
              <w:t>Продажби</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на</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свързани</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лица</w:t>
            </w:r>
            <w:proofErr w:type="spellEnd"/>
          </w:p>
        </w:tc>
        <w:tc>
          <w:tcPr>
            <w:tcW w:w="2963" w:type="dxa"/>
            <w:tcBorders>
              <w:top w:val="single" w:sz="4" w:space="0" w:color="auto"/>
              <w:left w:val="nil"/>
              <w:bottom w:val="single" w:sz="4" w:space="0" w:color="auto"/>
              <w:right w:val="single" w:sz="4" w:space="0" w:color="auto"/>
            </w:tcBorders>
            <w:shd w:val="clear" w:color="000000" w:fill="4F81BD"/>
            <w:noWrap/>
            <w:tcMar>
              <w:top w:w="28" w:type="dxa"/>
              <w:left w:w="28" w:type="dxa"/>
              <w:bottom w:w="28" w:type="dxa"/>
              <w:right w:w="28" w:type="dxa"/>
            </w:tcMar>
            <w:vAlign w:val="center"/>
            <w:hideMark/>
          </w:tcPr>
          <w:p w:rsidR="008E2822" w:rsidRPr="00C67619" w:rsidRDefault="008E2822" w:rsidP="00892B18">
            <w:pPr>
              <w:widowControl/>
              <w:jc w:val="left"/>
              <w:rPr>
                <w:rFonts w:cs="Arial"/>
                <w:b/>
                <w:bCs/>
                <w:color w:val="FFFFFF"/>
                <w:sz w:val="18"/>
                <w:szCs w:val="18"/>
                <w:lang w:val="en-US" w:eastAsia="en-US"/>
              </w:rPr>
            </w:pPr>
            <w:proofErr w:type="spellStart"/>
            <w:r w:rsidRPr="00C67619">
              <w:rPr>
                <w:rFonts w:cs="Arial"/>
                <w:b/>
                <w:bCs/>
                <w:color w:val="FFFFFF"/>
                <w:sz w:val="18"/>
                <w:szCs w:val="18"/>
                <w:lang w:val="en-US" w:eastAsia="en-US"/>
              </w:rPr>
              <w:t>Свързано</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лице</w:t>
            </w:r>
            <w:proofErr w:type="spellEnd"/>
          </w:p>
        </w:tc>
        <w:tc>
          <w:tcPr>
            <w:tcW w:w="955" w:type="dxa"/>
            <w:tcBorders>
              <w:top w:val="single" w:sz="4" w:space="0" w:color="auto"/>
              <w:left w:val="nil"/>
              <w:bottom w:val="single" w:sz="4" w:space="0" w:color="auto"/>
              <w:right w:val="single" w:sz="4" w:space="0" w:color="auto"/>
            </w:tcBorders>
            <w:shd w:val="clear" w:color="000000" w:fill="4F81BD"/>
            <w:noWrap/>
            <w:tcMar>
              <w:top w:w="28" w:type="dxa"/>
              <w:left w:w="28" w:type="dxa"/>
              <w:bottom w:w="28" w:type="dxa"/>
              <w:right w:w="28" w:type="dxa"/>
            </w:tcMar>
            <w:vAlign w:val="center"/>
            <w:hideMark/>
          </w:tcPr>
          <w:p w:rsidR="008E2822" w:rsidRPr="00C67619" w:rsidRDefault="008E2822" w:rsidP="00892B18">
            <w:pPr>
              <w:widowControl/>
              <w:rPr>
                <w:b/>
                <w:bCs/>
                <w:color w:val="FFFFFF"/>
                <w:sz w:val="18"/>
                <w:szCs w:val="18"/>
                <w:lang w:val="en-US" w:eastAsia="en-US"/>
              </w:rPr>
            </w:pPr>
            <w:r w:rsidRPr="00C67619">
              <w:rPr>
                <w:b/>
                <w:bCs/>
                <w:color w:val="FFFFFF"/>
                <w:sz w:val="18"/>
                <w:szCs w:val="18"/>
                <w:lang w:val="en-US" w:eastAsia="en-US"/>
              </w:rPr>
              <w:t>30.6.2013</w:t>
            </w:r>
          </w:p>
        </w:tc>
        <w:tc>
          <w:tcPr>
            <w:tcW w:w="955" w:type="dxa"/>
            <w:tcBorders>
              <w:top w:val="single" w:sz="4" w:space="0" w:color="auto"/>
              <w:left w:val="nil"/>
              <w:bottom w:val="single" w:sz="4" w:space="0" w:color="auto"/>
              <w:right w:val="single" w:sz="4" w:space="0" w:color="auto"/>
            </w:tcBorders>
            <w:shd w:val="clear" w:color="000000" w:fill="4F81BD"/>
            <w:noWrap/>
            <w:tcMar>
              <w:top w:w="28" w:type="dxa"/>
              <w:left w:w="28" w:type="dxa"/>
              <w:bottom w:w="28" w:type="dxa"/>
              <w:right w:w="28" w:type="dxa"/>
            </w:tcMar>
            <w:vAlign w:val="center"/>
            <w:hideMark/>
          </w:tcPr>
          <w:p w:rsidR="008E2822" w:rsidRPr="00C67619" w:rsidRDefault="008E2822" w:rsidP="00892B18">
            <w:pPr>
              <w:widowControl/>
              <w:rPr>
                <w:b/>
                <w:bCs/>
                <w:color w:val="FFFFFF"/>
                <w:sz w:val="18"/>
                <w:szCs w:val="18"/>
                <w:lang w:val="en-US" w:eastAsia="en-US"/>
              </w:rPr>
            </w:pPr>
            <w:r w:rsidRPr="00C67619">
              <w:rPr>
                <w:b/>
                <w:bCs/>
                <w:color w:val="FFFFFF"/>
                <w:sz w:val="18"/>
                <w:szCs w:val="18"/>
                <w:lang w:val="en-US" w:eastAsia="en-US"/>
              </w:rPr>
              <w:t>30.6.2012</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rPr>
                <w:rFonts w:cs="Arial"/>
                <w:color w:val="000000"/>
                <w:sz w:val="18"/>
                <w:szCs w:val="18"/>
                <w:lang w:val="en-US" w:eastAsia="en-US"/>
              </w:rPr>
            </w:pPr>
            <w:r w:rsidRPr="00C67619">
              <w:rPr>
                <w:rFonts w:cs="Arial"/>
                <w:color w:val="000000"/>
                <w:sz w:val="18"/>
                <w:szCs w:val="18"/>
                <w:lang w:val="en-US" w:eastAsia="en-US"/>
              </w:rPr>
              <w:t> </w:t>
            </w:r>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rPr>
                <w:rFonts w:cs="Arial"/>
                <w:color w:val="000000"/>
                <w:sz w:val="18"/>
                <w:szCs w:val="18"/>
                <w:lang w:val="en-US" w:eastAsia="en-US"/>
              </w:rPr>
            </w:pPr>
            <w:r w:rsidRPr="00C67619">
              <w:rPr>
                <w:rFonts w:cs="Arial"/>
                <w:color w:val="000000"/>
                <w:sz w:val="18"/>
                <w:szCs w:val="18"/>
                <w:lang w:val="en-US" w:eastAsia="en-US"/>
              </w:rPr>
              <w:t> </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rPr>
                <w:rFonts w:cs="Arial"/>
                <w:color w:val="000000"/>
                <w:sz w:val="18"/>
                <w:szCs w:val="18"/>
                <w:lang w:val="en-US" w:eastAsia="en-US"/>
              </w:rPr>
            </w:pPr>
            <w:r w:rsidRPr="00C67619">
              <w:rPr>
                <w:rFonts w:cs="Arial"/>
                <w:color w:val="000000"/>
                <w:sz w:val="18"/>
                <w:szCs w:val="18"/>
                <w:lang w:val="en-US" w:eastAsia="en-US"/>
              </w:rPr>
              <w:t>BGN ‘000</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rPr>
                <w:rFonts w:cs="Arial"/>
                <w:color w:val="000000"/>
                <w:sz w:val="18"/>
                <w:szCs w:val="18"/>
                <w:lang w:val="en-US" w:eastAsia="en-US"/>
              </w:rPr>
            </w:pPr>
            <w:r w:rsidRPr="00C67619">
              <w:rPr>
                <w:rFonts w:cs="Arial"/>
                <w:color w:val="000000"/>
                <w:sz w:val="18"/>
                <w:szCs w:val="18"/>
                <w:lang w:val="en-US" w:eastAsia="en-US"/>
              </w:rPr>
              <w:t>BGN ‘000</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Наем</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на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офис</w:t>
            </w:r>
            <w:proofErr w:type="spellEnd"/>
            <w:r w:rsidRPr="00C67619">
              <w:rPr>
                <w:rFonts w:cs="Arial"/>
                <w:color w:val="000000"/>
                <w:sz w:val="18"/>
                <w:szCs w:val="18"/>
                <w:lang w:val="en-US" w:eastAsia="en-US"/>
              </w:rPr>
              <w:t xml:space="preserve"> и </w:t>
            </w:r>
            <w:proofErr w:type="spellStart"/>
            <w:r w:rsidRPr="00C67619">
              <w:rPr>
                <w:rFonts w:cs="Arial"/>
                <w:color w:val="000000"/>
                <w:sz w:val="18"/>
                <w:szCs w:val="18"/>
                <w:lang w:val="en-US" w:eastAsia="en-US"/>
              </w:rPr>
              <w:t>оборудване</w:t>
            </w:r>
            <w:proofErr w:type="spellEnd"/>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Централен</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депозитар</w:t>
            </w:r>
            <w:proofErr w:type="spellEnd"/>
            <w:r w:rsidRPr="00C67619">
              <w:rPr>
                <w:rFonts w:cs="Arial"/>
                <w:color w:val="000000"/>
                <w:sz w:val="18"/>
                <w:szCs w:val="18"/>
                <w:lang w:val="en-US" w:eastAsia="en-US"/>
              </w:rPr>
              <w:t xml:space="preserve"> АД</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61</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59</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Такса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сделки</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комисионни</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такса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членство</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такса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интернет</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търговия</w:t>
            </w:r>
            <w:proofErr w:type="spellEnd"/>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Бенчмарк</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Финанс</w:t>
            </w:r>
            <w:proofErr w:type="spellEnd"/>
            <w:r w:rsidRPr="00C67619">
              <w:rPr>
                <w:rFonts w:cs="Arial"/>
                <w:color w:val="000000"/>
                <w:sz w:val="18"/>
                <w:szCs w:val="18"/>
                <w:lang w:val="en-US" w:eastAsia="en-US"/>
              </w:rPr>
              <w:t xml:space="preserve"> АД</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18</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20</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Такса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сделки</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комисионни</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такса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членство</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такса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интернет</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търговия</w:t>
            </w:r>
            <w:proofErr w:type="spellEnd"/>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Българска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банка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за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развитие</w:t>
            </w:r>
            <w:proofErr w:type="spellEnd"/>
            <w:r w:rsidRPr="00C67619">
              <w:rPr>
                <w:rFonts w:cs="Arial"/>
                <w:color w:val="000000"/>
                <w:sz w:val="18"/>
                <w:szCs w:val="18"/>
                <w:lang w:val="en-US" w:eastAsia="en-US"/>
              </w:rPr>
              <w:t xml:space="preserve"> АД</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3</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3</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Информационно</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обслужване</w:t>
            </w:r>
            <w:proofErr w:type="spellEnd"/>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Сервиз</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финансови</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пазари</w:t>
            </w:r>
            <w:proofErr w:type="spellEnd"/>
            <w:r w:rsidRPr="00C67619">
              <w:rPr>
                <w:rFonts w:cs="Arial"/>
                <w:color w:val="000000"/>
                <w:sz w:val="18"/>
                <w:szCs w:val="18"/>
                <w:lang w:val="en-US" w:eastAsia="en-US"/>
              </w:rPr>
              <w:t xml:space="preserve"> ЕООД</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1</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1</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Наем</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на</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офис</w:t>
            </w:r>
            <w:proofErr w:type="spellEnd"/>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Сервиз</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финансови</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пазари</w:t>
            </w:r>
            <w:proofErr w:type="spellEnd"/>
            <w:r w:rsidRPr="00C67619">
              <w:rPr>
                <w:rFonts w:cs="Arial"/>
                <w:color w:val="000000"/>
                <w:sz w:val="18"/>
                <w:szCs w:val="18"/>
                <w:lang w:val="en-US" w:eastAsia="en-US"/>
              </w:rPr>
              <w:t xml:space="preserve"> ЕООД</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1</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2</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r w:rsidRPr="00C67619">
              <w:rPr>
                <w:rFonts w:cs="Arial"/>
                <w:color w:val="000000"/>
                <w:sz w:val="18"/>
                <w:szCs w:val="18"/>
                <w:lang w:val="en-US" w:eastAsia="en-US"/>
              </w:rPr>
              <w:t> </w:t>
            </w:r>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r w:rsidRPr="00C67619">
              <w:rPr>
                <w:rFonts w:cs="Arial"/>
                <w:color w:val="000000"/>
                <w:sz w:val="18"/>
                <w:szCs w:val="18"/>
                <w:lang w:val="en-US" w:eastAsia="en-US"/>
              </w:rPr>
              <w:t> </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 </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 </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Общо</w:t>
            </w:r>
            <w:proofErr w:type="spellEnd"/>
          </w:p>
        </w:tc>
        <w:tc>
          <w:tcPr>
            <w:tcW w:w="2963"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hideMark/>
          </w:tcPr>
          <w:p w:rsidR="008E2822" w:rsidRPr="00C67619" w:rsidRDefault="008E2822" w:rsidP="00892B18">
            <w:pPr>
              <w:widowControl/>
              <w:jc w:val="left"/>
              <w:rPr>
                <w:rFonts w:cs="Arial"/>
                <w:color w:val="000000"/>
                <w:sz w:val="18"/>
                <w:szCs w:val="18"/>
                <w:lang w:val="en-US" w:eastAsia="en-US"/>
              </w:rPr>
            </w:pPr>
            <w:r w:rsidRPr="00C67619">
              <w:rPr>
                <w:rFonts w:cs="Arial"/>
                <w:color w:val="000000"/>
                <w:sz w:val="18"/>
                <w:szCs w:val="18"/>
                <w:lang w:val="en-US" w:eastAsia="en-US"/>
              </w:rPr>
              <w:t> </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b/>
                <w:color w:val="000000"/>
                <w:sz w:val="18"/>
                <w:szCs w:val="18"/>
                <w:lang w:val="en-US" w:eastAsia="en-US"/>
              </w:rPr>
            </w:pPr>
            <w:r w:rsidRPr="00C67619">
              <w:rPr>
                <w:b/>
                <w:color w:val="000000"/>
                <w:sz w:val="18"/>
                <w:szCs w:val="18"/>
                <w:lang w:val="en-US" w:eastAsia="en-US"/>
              </w:rPr>
              <w:t>84</w:t>
            </w:r>
          </w:p>
        </w:tc>
        <w:tc>
          <w:tcPr>
            <w:tcW w:w="955" w:type="dxa"/>
            <w:tcBorders>
              <w:top w:val="nil"/>
              <w:left w:val="nil"/>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right"/>
              <w:rPr>
                <w:b/>
                <w:color w:val="000000"/>
                <w:sz w:val="18"/>
                <w:szCs w:val="18"/>
                <w:lang w:val="en-US" w:eastAsia="en-US"/>
              </w:rPr>
            </w:pPr>
            <w:r w:rsidRPr="00C67619">
              <w:rPr>
                <w:b/>
                <w:color w:val="000000"/>
                <w:sz w:val="18"/>
                <w:szCs w:val="18"/>
                <w:lang w:val="en-US" w:eastAsia="en-US"/>
              </w:rPr>
              <w:t>85</w:t>
            </w:r>
          </w:p>
        </w:tc>
      </w:tr>
      <w:tr w:rsidR="008E2822" w:rsidRPr="00C67619" w:rsidTr="008E2822">
        <w:trPr>
          <w:trHeight w:val="170"/>
          <w:jc w:val="center"/>
        </w:trPr>
        <w:tc>
          <w:tcPr>
            <w:tcW w:w="6145" w:type="dxa"/>
            <w:tcBorders>
              <w:top w:val="nil"/>
              <w:left w:val="nil"/>
              <w:bottom w:val="nil"/>
              <w:right w:val="nil"/>
            </w:tcBorders>
            <w:shd w:val="clear" w:color="auto" w:fill="auto"/>
            <w:noWrap/>
            <w:tcMar>
              <w:top w:w="28" w:type="dxa"/>
              <w:left w:w="28" w:type="dxa"/>
              <w:bottom w:w="28" w:type="dxa"/>
              <w:right w:w="28" w:type="dxa"/>
            </w:tcMar>
            <w:vAlign w:val="bottom"/>
            <w:hideMark/>
          </w:tcPr>
          <w:p w:rsidR="008E2822" w:rsidRPr="00C67619" w:rsidRDefault="008E2822" w:rsidP="00892B18">
            <w:pPr>
              <w:widowControl/>
              <w:jc w:val="left"/>
              <w:rPr>
                <w:color w:val="000000"/>
                <w:sz w:val="18"/>
                <w:szCs w:val="18"/>
                <w:lang w:val="en-US" w:eastAsia="en-US"/>
              </w:rPr>
            </w:pPr>
          </w:p>
        </w:tc>
        <w:tc>
          <w:tcPr>
            <w:tcW w:w="2963" w:type="dxa"/>
            <w:tcBorders>
              <w:top w:val="nil"/>
              <w:left w:val="nil"/>
              <w:bottom w:val="nil"/>
              <w:right w:val="nil"/>
            </w:tcBorders>
            <w:shd w:val="clear" w:color="auto" w:fill="auto"/>
            <w:noWrap/>
            <w:tcMar>
              <w:top w:w="28" w:type="dxa"/>
              <w:left w:w="28" w:type="dxa"/>
              <w:bottom w:w="28" w:type="dxa"/>
              <w:right w:w="28" w:type="dxa"/>
            </w:tcMar>
            <w:vAlign w:val="bottom"/>
            <w:hideMark/>
          </w:tcPr>
          <w:p w:rsidR="008E2822" w:rsidRPr="00C67619" w:rsidRDefault="008E2822" w:rsidP="00892B18">
            <w:pPr>
              <w:widowControl/>
              <w:jc w:val="left"/>
              <w:rPr>
                <w:color w:val="000000"/>
                <w:sz w:val="18"/>
                <w:szCs w:val="18"/>
                <w:lang w:val="en-US" w:eastAsia="en-US"/>
              </w:rPr>
            </w:pPr>
          </w:p>
        </w:tc>
        <w:tc>
          <w:tcPr>
            <w:tcW w:w="955" w:type="dxa"/>
            <w:tcBorders>
              <w:top w:val="nil"/>
              <w:left w:val="nil"/>
              <w:bottom w:val="nil"/>
              <w:right w:val="nil"/>
            </w:tcBorders>
            <w:shd w:val="clear" w:color="auto" w:fill="auto"/>
            <w:noWrap/>
            <w:tcMar>
              <w:top w:w="28" w:type="dxa"/>
              <w:left w:w="28" w:type="dxa"/>
              <w:bottom w:w="28" w:type="dxa"/>
              <w:right w:w="28" w:type="dxa"/>
            </w:tcMar>
            <w:vAlign w:val="bottom"/>
            <w:hideMark/>
          </w:tcPr>
          <w:p w:rsidR="008E2822" w:rsidRPr="00C67619" w:rsidRDefault="008E2822" w:rsidP="00892B18">
            <w:pPr>
              <w:widowControl/>
              <w:jc w:val="right"/>
              <w:rPr>
                <w:color w:val="000000"/>
                <w:sz w:val="18"/>
                <w:szCs w:val="18"/>
                <w:lang w:val="en-US" w:eastAsia="en-US"/>
              </w:rPr>
            </w:pPr>
          </w:p>
        </w:tc>
        <w:tc>
          <w:tcPr>
            <w:tcW w:w="955" w:type="dxa"/>
            <w:tcBorders>
              <w:top w:val="nil"/>
              <w:left w:val="nil"/>
              <w:bottom w:val="nil"/>
              <w:right w:val="nil"/>
            </w:tcBorders>
            <w:shd w:val="clear" w:color="auto" w:fill="auto"/>
            <w:noWrap/>
            <w:tcMar>
              <w:top w:w="28" w:type="dxa"/>
              <w:left w:w="28" w:type="dxa"/>
              <w:bottom w:w="28" w:type="dxa"/>
              <w:right w:w="28" w:type="dxa"/>
            </w:tcMar>
            <w:vAlign w:val="bottom"/>
            <w:hideMark/>
          </w:tcPr>
          <w:p w:rsidR="008E2822" w:rsidRPr="00C67619" w:rsidRDefault="008E2822" w:rsidP="00892B18">
            <w:pPr>
              <w:widowControl/>
              <w:jc w:val="right"/>
              <w:rPr>
                <w:color w:val="000000"/>
                <w:sz w:val="18"/>
                <w:szCs w:val="18"/>
                <w:lang w:val="en-US" w:eastAsia="en-US"/>
              </w:rPr>
            </w:pPr>
          </w:p>
        </w:tc>
      </w:tr>
      <w:tr w:rsidR="008E2822" w:rsidRPr="00C67619" w:rsidTr="008E2822">
        <w:trPr>
          <w:trHeight w:val="170"/>
          <w:jc w:val="center"/>
        </w:trPr>
        <w:tc>
          <w:tcPr>
            <w:tcW w:w="6145" w:type="dxa"/>
            <w:tcBorders>
              <w:top w:val="single" w:sz="4" w:space="0" w:color="auto"/>
              <w:left w:val="single" w:sz="4" w:space="0" w:color="auto"/>
              <w:bottom w:val="single" w:sz="4" w:space="0" w:color="auto"/>
              <w:right w:val="single" w:sz="4" w:space="0" w:color="auto"/>
            </w:tcBorders>
            <w:shd w:val="clear" w:color="000000" w:fill="4F81BD"/>
            <w:noWrap/>
            <w:tcMar>
              <w:top w:w="28" w:type="dxa"/>
              <w:left w:w="28" w:type="dxa"/>
              <w:bottom w:w="28" w:type="dxa"/>
              <w:right w:w="28" w:type="dxa"/>
            </w:tcMar>
            <w:vAlign w:val="center"/>
            <w:hideMark/>
          </w:tcPr>
          <w:p w:rsidR="008E2822" w:rsidRPr="00C67619" w:rsidRDefault="008E2822" w:rsidP="00892B18">
            <w:pPr>
              <w:widowControl/>
              <w:jc w:val="left"/>
              <w:rPr>
                <w:rFonts w:cs="Arial"/>
                <w:b/>
                <w:bCs/>
                <w:color w:val="FFFFFF"/>
                <w:sz w:val="18"/>
                <w:szCs w:val="18"/>
                <w:lang w:val="en-US" w:eastAsia="en-US"/>
              </w:rPr>
            </w:pPr>
            <w:proofErr w:type="spellStart"/>
            <w:r w:rsidRPr="00C67619">
              <w:rPr>
                <w:rFonts w:cs="Arial"/>
                <w:b/>
                <w:bCs/>
                <w:color w:val="FFFFFF"/>
                <w:sz w:val="18"/>
                <w:szCs w:val="18"/>
                <w:lang w:val="en-US" w:eastAsia="en-US"/>
              </w:rPr>
              <w:t>Доставки</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от</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свързани</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лица</w:t>
            </w:r>
            <w:proofErr w:type="spellEnd"/>
          </w:p>
        </w:tc>
        <w:tc>
          <w:tcPr>
            <w:tcW w:w="2963" w:type="dxa"/>
            <w:tcBorders>
              <w:top w:val="single" w:sz="4" w:space="0" w:color="auto"/>
              <w:left w:val="nil"/>
              <w:bottom w:val="single" w:sz="4" w:space="0" w:color="auto"/>
              <w:right w:val="single" w:sz="4" w:space="0" w:color="auto"/>
            </w:tcBorders>
            <w:shd w:val="clear" w:color="000000" w:fill="4F81BD"/>
            <w:noWrap/>
            <w:tcMar>
              <w:top w:w="28" w:type="dxa"/>
              <w:left w:w="28" w:type="dxa"/>
              <w:bottom w:w="28" w:type="dxa"/>
              <w:right w:w="28" w:type="dxa"/>
            </w:tcMar>
            <w:vAlign w:val="center"/>
            <w:hideMark/>
          </w:tcPr>
          <w:p w:rsidR="008E2822" w:rsidRPr="00C67619" w:rsidRDefault="008E2822" w:rsidP="00892B18">
            <w:pPr>
              <w:widowControl/>
              <w:jc w:val="left"/>
              <w:rPr>
                <w:rFonts w:cs="Arial"/>
                <w:b/>
                <w:bCs/>
                <w:color w:val="FFFFFF"/>
                <w:sz w:val="18"/>
                <w:szCs w:val="18"/>
                <w:lang w:val="en-US" w:eastAsia="en-US"/>
              </w:rPr>
            </w:pPr>
            <w:proofErr w:type="spellStart"/>
            <w:r w:rsidRPr="00C67619">
              <w:rPr>
                <w:rFonts w:cs="Arial"/>
                <w:b/>
                <w:bCs/>
                <w:color w:val="FFFFFF"/>
                <w:sz w:val="18"/>
                <w:szCs w:val="18"/>
                <w:lang w:val="en-US" w:eastAsia="en-US"/>
              </w:rPr>
              <w:t>Свързано</w:t>
            </w:r>
            <w:proofErr w:type="spellEnd"/>
            <w:r w:rsidRPr="00C67619">
              <w:rPr>
                <w:rFonts w:cs="Arial"/>
                <w:b/>
                <w:bCs/>
                <w:color w:val="FFFFFF"/>
                <w:sz w:val="18"/>
                <w:szCs w:val="18"/>
                <w:lang w:val="en-US" w:eastAsia="en-US"/>
              </w:rPr>
              <w:t xml:space="preserve"> </w:t>
            </w:r>
            <w:proofErr w:type="spellStart"/>
            <w:r w:rsidRPr="00C67619">
              <w:rPr>
                <w:rFonts w:cs="Arial"/>
                <w:b/>
                <w:bCs/>
                <w:color w:val="FFFFFF"/>
                <w:sz w:val="18"/>
                <w:szCs w:val="18"/>
                <w:lang w:val="en-US" w:eastAsia="en-US"/>
              </w:rPr>
              <w:t>лице</w:t>
            </w:r>
            <w:proofErr w:type="spellEnd"/>
          </w:p>
        </w:tc>
        <w:tc>
          <w:tcPr>
            <w:tcW w:w="955" w:type="dxa"/>
            <w:tcBorders>
              <w:top w:val="single" w:sz="4" w:space="0" w:color="auto"/>
              <w:left w:val="nil"/>
              <w:bottom w:val="single" w:sz="4" w:space="0" w:color="auto"/>
              <w:right w:val="single" w:sz="4" w:space="0" w:color="auto"/>
            </w:tcBorders>
            <w:shd w:val="clear" w:color="000000" w:fill="4F81BD"/>
            <w:tcMar>
              <w:top w:w="28" w:type="dxa"/>
              <w:left w:w="28" w:type="dxa"/>
              <w:bottom w:w="28" w:type="dxa"/>
              <w:right w:w="28" w:type="dxa"/>
            </w:tcMar>
            <w:vAlign w:val="center"/>
            <w:hideMark/>
          </w:tcPr>
          <w:p w:rsidR="008E2822" w:rsidRPr="00C67619" w:rsidRDefault="008E2822" w:rsidP="00892B18">
            <w:pPr>
              <w:widowControl/>
              <w:jc w:val="right"/>
              <w:rPr>
                <w:b/>
                <w:bCs/>
                <w:color w:val="FFFFFF"/>
                <w:sz w:val="18"/>
                <w:szCs w:val="18"/>
                <w:lang w:val="en-US" w:eastAsia="en-US"/>
              </w:rPr>
            </w:pPr>
            <w:r w:rsidRPr="00C67619">
              <w:rPr>
                <w:b/>
                <w:bCs/>
                <w:color w:val="FFFFFF"/>
                <w:sz w:val="18"/>
                <w:szCs w:val="18"/>
                <w:lang w:val="en-US" w:eastAsia="en-US"/>
              </w:rPr>
              <w:t>30.6.2013</w:t>
            </w:r>
          </w:p>
        </w:tc>
        <w:tc>
          <w:tcPr>
            <w:tcW w:w="955" w:type="dxa"/>
            <w:tcBorders>
              <w:top w:val="single" w:sz="4" w:space="0" w:color="auto"/>
              <w:left w:val="nil"/>
              <w:bottom w:val="single" w:sz="4" w:space="0" w:color="auto"/>
              <w:right w:val="single" w:sz="4" w:space="0" w:color="auto"/>
            </w:tcBorders>
            <w:shd w:val="clear" w:color="000000" w:fill="4F81BD"/>
            <w:tcMar>
              <w:top w:w="28" w:type="dxa"/>
              <w:left w:w="28" w:type="dxa"/>
              <w:bottom w:w="28" w:type="dxa"/>
              <w:right w:w="28" w:type="dxa"/>
            </w:tcMar>
            <w:vAlign w:val="center"/>
            <w:hideMark/>
          </w:tcPr>
          <w:p w:rsidR="008E2822" w:rsidRPr="00C67619" w:rsidRDefault="008E2822" w:rsidP="00892B18">
            <w:pPr>
              <w:widowControl/>
              <w:jc w:val="right"/>
              <w:rPr>
                <w:b/>
                <w:bCs/>
                <w:color w:val="FFFFFF"/>
                <w:sz w:val="18"/>
                <w:szCs w:val="18"/>
                <w:lang w:val="en-US" w:eastAsia="en-US"/>
              </w:rPr>
            </w:pPr>
            <w:r w:rsidRPr="00C67619">
              <w:rPr>
                <w:b/>
                <w:bCs/>
                <w:color w:val="FFFFFF"/>
                <w:sz w:val="18"/>
                <w:szCs w:val="18"/>
                <w:lang w:val="en-US" w:eastAsia="en-US"/>
              </w:rPr>
              <w:t>30.6.2012</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E2822">
            <w:pPr>
              <w:widowControl/>
              <w:jc w:val="left"/>
              <w:rPr>
                <w:rFonts w:cs="Arial"/>
                <w:b/>
                <w:bCs/>
                <w:color w:val="000000"/>
                <w:sz w:val="18"/>
                <w:szCs w:val="18"/>
                <w:lang w:val="en-US" w:eastAsia="en-US"/>
              </w:rPr>
            </w:pPr>
            <w:r w:rsidRPr="00C67619">
              <w:rPr>
                <w:rFonts w:cs="Arial"/>
                <w:b/>
                <w:bCs/>
                <w:color w:val="000000"/>
                <w:sz w:val="18"/>
                <w:szCs w:val="18"/>
                <w:lang w:val="en-US" w:eastAsia="en-US"/>
              </w:rPr>
              <w:t> </w:t>
            </w:r>
          </w:p>
        </w:tc>
        <w:tc>
          <w:tcPr>
            <w:tcW w:w="2963"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E2822">
            <w:pPr>
              <w:widowControl/>
              <w:jc w:val="left"/>
              <w:rPr>
                <w:rFonts w:cs="Arial"/>
                <w:b/>
                <w:bCs/>
                <w:color w:val="000000"/>
                <w:sz w:val="18"/>
                <w:szCs w:val="18"/>
                <w:lang w:val="en-US" w:eastAsia="en-US"/>
              </w:rPr>
            </w:pPr>
            <w:r w:rsidRPr="00C67619">
              <w:rPr>
                <w:rFonts w:cs="Arial"/>
                <w:b/>
                <w:bCs/>
                <w:color w:val="000000"/>
                <w:sz w:val="18"/>
                <w:szCs w:val="18"/>
                <w:lang w:val="en-US" w:eastAsia="en-US"/>
              </w:rPr>
              <w:t> </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rFonts w:cs="Arial"/>
                <w:b/>
                <w:bCs/>
                <w:color w:val="000000"/>
                <w:sz w:val="18"/>
                <w:szCs w:val="18"/>
                <w:lang w:val="en-US" w:eastAsia="en-US"/>
              </w:rPr>
            </w:pPr>
            <w:r w:rsidRPr="00C67619">
              <w:rPr>
                <w:rFonts w:cs="Arial"/>
                <w:b/>
                <w:bCs/>
                <w:color w:val="000000"/>
                <w:sz w:val="18"/>
                <w:szCs w:val="18"/>
                <w:lang w:val="en-US" w:eastAsia="en-US"/>
              </w:rPr>
              <w:t>BGN ‘000</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rFonts w:cs="Arial"/>
                <w:b/>
                <w:bCs/>
                <w:color w:val="000000"/>
                <w:sz w:val="18"/>
                <w:szCs w:val="18"/>
                <w:lang w:val="en-US" w:eastAsia="en-US"/>
              </w:rPr>
            </w:pPr>
            <w:r w:rsidRPr="00C67619">
              <w:rPr>
                <w:rFonts w:cs="Arial"/>
                <w:b/>
                <w:bCs/>
                <w:color w:val="000000"/>
                <w:sz w:val="18"/>
                <w:szCs w:val="18"/>
                <w:lang w:val="en-US" w:eastAsia="en-US"/>
              </w:rPr>
              <w:t>BGN ‘000</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Информационно</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обслужване</w:t>
            </w:r>
            <w:proofErr w:type="spellEnd"/>
          </w:p>
        </w:tc>
        <w:tc>
          <w:tcPr>
            <w:tcW w:w="2963"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Централен</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депозитар</w:t>
            </w:r>
            <w:proofErr w:type="spellEnd"/>
            <w:r w:rsidRPr="00C67619">
              <w:rPr>
                <w:rFonts w:cs="Arial"/>
                <w:color w:val="000000"/>
                <w:sz w:val="18"/>
                <w:szCs w:val="18"/>
                <w:lang w:val="en-US" w:eastAsia="en-US"/>
              </w:rPr>
              <w:t xml:space="preserve"> АД</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color w:val="000000"/>
                <w:sz w:val="18"/>
                <w:szCs w:val="18"/>
                <w:lang w:val="en-US" w:eastAsia="en-US"/>
              </w:rPr>
            </w:pPr>
            <w:r w:rsidRPr="00C67619">
              <w:rPr>
                <w:color w:val="000000"/>
                <w:sz w:val="18"/>
                <w:szCs w:val="18"/>
                <w:lang w:val="en-US" w:eastAsia="en-US"/>
              </w:rPr>
              <w:t>2</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bCs/>
                <w:color w:val="000000"/>
                <w:sz w:val="18"/>
                <w:szCs w:val="18"/>
                <w:lang w:val="en-US" w:eastAsia="en-US"/>
              </w:rPr>
            </w:pPr>
            <w:r w:rsidRPr="00C67619">
              <w:rPr>
                <w:bCs/>
                <w:color w:val="000000"/>
                <w:sz w:val="18"/>
                <w:szCs w:val="18"/>
                <w:lang w:val="en-US" w:eastAsia="en-US"/>
              </w:rPr>
              <w:t>2</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Информационно</w:t>
            </w:r>
            <w:proofErr w:type="spellEnd"/>
            <w:r w:rsidRPr="00C67619">
              <w:rPr>
                <w:rFonts w:cs="Arial"/>
                <w:color w:val="000000"/>
                <w:sz w:val="18"/>
                <w:szCs w:val="18"/>
                <w:lang w:val="en-US" w:eastAsia="en-US"/>
              </w:rPr>
              <w:t xml:space="preserve"> </w:t>
            </w:r>
            <w:proofErr w:type="spellStart"/>
            <w:r w:rsidRPr="00C67619">
              <w:rPr>
                <w:rFonts w:cs="Arial"/>
                <w:color w:val="000000"/>
                <w:sz w:val="18"/>
                <w:szCs w:val="18"/>
                <w:lang w:val="en-US" w:eastAsia="en-US"/>
              </w:rPr>
              <w:t>обслужване</w:t>
            </w:r>
            <w:proofErr w:type="spellEnd"/>
          </w:p>
        </w:tc>
        <w:tc>
          <w:tcPr>
            <w:tcW w:w="2963"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Сервиз</w:t>
            </w:r>
            <w:proofErr w:type="spellEnd"/>
            <w:r w:rsidRPr="00C67619">
              <w:rPr>
                <w:rFonts w:cs="Arial"/>
                <w:color w:val="000000"/>
                <w:sz w:val="18"/>
                <w:szCs w:val="18"/>
                <w:lang w:val="en-US" w:eastAsia="en-US"/>
              </w:rPr>
              <w:t xml:space="preserve"> </w:t>
            </w:r>
            <w:r w:rsidRPr="00C67619">
              <w:rPr>
                <w:rFonts w:cs="Arial"/>
                <w:color w:val="000000"/>
                <w:sz w:val="18"/>
                <w:szCs w:val="18"/>
                <w:lang w:eastAsia="en-US"/>
              </w:rPr>
              <w:t>ф</w:t>
            </w:r>
            <w:proofErr w:type="spellStart"/>
            <w:r w:rsidRPr="00C67619">
              <w:rPr>
                <w:rFonts w:cs="Arial"/>
                <w:color w:val="000000"/>
                <w:sz w:val="18"/>
                <w:szCs w:val="18"/>
                <w:lang w:val="en-US" w:eastAsia="en-US"/>
              </w:rPr>
              <w:t>инансови</w:t>
            </w:r>
            <w:proofErr w:type="spellEnd"/>
            <w:r w:rsidRPr="00C67619">
              <w:rPr>
                <w:rFonts w:cs="Arial"/>
                <w:color w:val="000000"/>
                <w:sz w:val="18"/>
                <w:szCs w:val="18"/>
                <w:lang w:val="en-US" w:eastAsia="en-US"/>
              </w:rPr>
              <w:t xml:space="preserve"> </w:t>
            </w:r>
            <w:r w:rsidRPr="00C67619">
              <w:rPr>
                <w:rFonts w:cs="Arial"/>
                <w:color w:val="000000"/>
                <w:sz w:val="18"/>
                <w:szCs w:val="18"/>
                <w:lang w:eastAsia="en-US"/>
              </w:rPr>
              <w:t>п</w:t>
            </w:r>
            <w:proofErr w:type="spellStart"/>
            <w:r w:rsidRPr="00C67619">
              <w:rPr>
                <w:rFonts w:cs="Arial"/>
                <w:color w:val="000000"/>
                <w:sz w:val="18"/>
                <w:szCs w:val="18"/>
                <w:lang w:val="en-US" w:eastAsia="en-US"/>
              </w:rPr>
              <w:t>азари</w:t>
            </w:r>
            <w:proofErr w:type="spellEnd"/>
            <w:r w:rsidRPr="00C67619">
              <w:rPr>
                <w:rFonts w:cs="Arial"/>
                <w:color w:val="000000"/>
                <w:sz w:val="18"/>
                <w:szCs w:val="18"/>
                <w:lang w:val="en-US" w:eastAsia="en-US"/>
              </w:rPr>
              <w:t xml:space="preserve"> ЕООД</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1</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bCs/>
                <w:color w:val="000000"/>
                <w:sz w:val="18"/>
                <w:szCs w:val="18"/>
                <w:lang w:val="en-US" w:eastAsia="en-US"/>
              </w:rPr>
            </w:pPr>
            <w:r w:rsidRPr="00C67619">
              <w:rPr>
                <w:bCs/>
                <w:color w:val="000000"/>
                <w:sz w:val="18"/>
                <w:szCs w:val="18"/>
                <w:lang w:val="en-US" w:eastAsia="en-US"/>
              </w:rPr>
              <w:t>1</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color w:val="000000"/>
                <w:sz w:val="18"/>
                <w:szCs w:val="18"/>
                <w:lang w:val="en-US" w:eastAsia="en-US"/>
              </w:rPr>
            </w:pPr>
            <w:proofErr w:type="spellStart"/>
            <w:r w:rsidRPr="00C67619">
              <w:rPr>
                <w:color w:val="000000"/>
                <w:sz w:val="18"/>
                <w:szCs w:val="18"/>
                <w:lang w:val="en-US" w:eastAsia="en-US"/>
              </w:rPr>
              <w:t>Дивидент</w:t>
            </w:r>
            <w:proofErr w:type="spellEnd"/>
          </w:p>
        </w:tc>
        <w:tc>
          <w:tcPr>
            <w:tcW w:w="2963"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Сервиз</w:t>
            </w:r>
            <w:proofErr w:type="spellEnd"/>
            <w:r w:rsidRPr="00C67619">
              <w:rPr>
                <w:rFonts w:cs="Arial"/>
                <w:color w:val="000000"/>
                <w:sz w:val="18"/>
                <w:szCs w:val="18"/>
                <w:lang w:val="en-US" w:eastAsia="en-US"/>
              </w:rPr>
              <w:t xml:space="preserve"> </w:t>
            </w:r>
            <w:r w:rsidRPr="00C67619">
              <w:rPr>
                <w:rFonts w:cs="Arial"/>
                <w:color w:val="000000"/>
                <w:sz w:val="18"/>
                <w:szCs w:val="18"/>
                <w:lang w:eastAsia="en-US"/>
              </w:rPr>
              <w:t>ф</w:t>
            </w:r>
            <w:proofErr w:type="spellStart"/>
            <w:r w:rsidRPr="00C67619">
              <w:rPr>
                <w:rFonts w:cs="Arial"/>
                <w:color w:val="000000"/>
                <w:sz w:val="18"/>
                <w:szCs w:val="18"/>
                <w:lang w:val="en-US" w:eastAsia="en-US"/>
              </w:rPr>
              <w:t>инансови</w:t>
            </w:r>
            <w:proofErr w:type="spellEnd"/>
            <w:r w:rsidRPr="00C67619">
              <w:rPr>
                <w:rFonts w:cs="Arial"/>
                <w:color w:val="000000"/>
                <w:sz w:val="18"/>
                <w:szCs w:val="18"/>
                <w:lang w:val="en-US" w:eastAsia="en-US"/>
              </w:rPr>
              <w:t xml:space="preserve"> </w:t>
            </w:r>
            <w:r w:rsidRPr="00C67619">
              <w:rPr>
                <w:rFonts w:cs="Arial"/>
                <w:color w:val="000000"/>
                <w:sz w:val="18"/>
                <w:szCs w:val="18"/>
                <w:lang w:eastAsia="en-US"/>
              </w:rPr>
              <w:t>п</w:t>
            </w:r>
            <w:proofErr w:type="spellStart"/>
            <w:r w:rsidRPr="00C67619">
              <w:rPr>
                <w:rFonts w:cs="Arial"/>
                <w:color w:val="000000"/>
                <w:sz w:val="18"/>
                <w:szCs w:val="18"/>
                <w:lang w:val="en-US" w:eastAsia="en-US"/>
              </w:rPr>
              <w:t>азари</w:t>
            </w:r>
            <w:proofErr w:type="spellEnd"/>
            <w:r w:rsidRPr="00C67619">
              <w:rPr>
                <w:rFonts w:cs="Arial"/>
                <w:color w:val="000000"/>
                <w:sz w:val="18"/>
                <w:szCs w:val="18"/>
                <w:lang w:val="en-US" w:eastAsia="en-US"/>
              </w:rPr>
              <w:t xml:space="preserve"> ЕООД</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rFonts w:cs="Arial"/>
                <w:color w:val="000000"/>
                <w:sz w:val="18"/>
                <w:szCs w:val="18"/>
                <w:lang w:val="en-US" w:eastAsia="en-US"/>
              </w:rPr>
            </w:pPr>
            <w:r w:rsidRPr="00C67619">
              <w:rPr>
                <w:rFonts w:cs="Arial"/>
                <w:color w:val="000000"/>
                <w:sz w:val="18"/>
                <w:szCs w:val="18"/>
                <w:lang w:val="en-US" w:eastAsia="en-US"/>
              </w:rPr>
              <w:t>2</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bCs/>
                <w:color w:val="000000"/>
                <w:sz w:val="18"/>
                <w:szCs w:val="18"/>
                <w:lang w:val="en-US" w:eastAsia="en-US"/>
              </w:rPr>
            </w:pPr>
            <w:r w:rsidRPr="00C67619">
              <w:rPr>
                <w:bCs/>
                <w:color w:val="000000"/>
                <w:sz w:val="18"/>
                <w:szCs w:val="18"/>
                <w:lang w:val="en-US" w:eastAsia="en-US"/>
              </w:rPr>
              <w:t>-</w:t>
            </w:r>
          </w:p>
        </w:tc>
      </w:tr>
      <w:tr w:rsidR="008E2822" w:rsidRPr="00C67619" w:rsidTr="008E2822">
        <w:trPr>
          <w:trHeight w:val="170"/>
          <w:jc w:val="center"/>
        </w:trPr>
        <w:tc>
          <w:tcPr>
            <w:tcW w:w="6145" w:type="dxa"/>
            <w:tcBorders>
              <w:top w:val="nil"/>
              <w:left w:val="single" w:sz="4" w:space="0" w:color="auto"/>
              <w:bottom w:val="single" w:sz="4" w:space="0" w:color="auto"/>
              <w:right w:val="single" w:sz="4" w:space="0" w:color="auto"/>
            </w:tcBorders>
            <w:shd w:val="clear" w:color="auto" w:fill="auto"/>
            <w:noWrap/>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proofErr w:type="spellStart"/>
            <w:r w:rsidRPr="00C67619">
              <w:rPr>
                <w:rFonts w:cs="Arial"/>
                <w:color w:val="000000"/>
                <w:sz w:val="18"/>
                <w:szCs w:val="18"/>
                <w:lang w:val="en-US" w:eastAsia="en-US"/>
              </w:rPr>
              <w:t>Общо</w:t>
            </w:r>
            <w:proofErr w:type="spellEnd"/>
          </w:p>
        </w:tc>
        <w:tc>
          <w:tcPr>
            <w:tcW w:w="2963"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left"/>
              <w:rPr>
                <w:rFonts w:cs="Arial"/>
                <w:color w:val="000000"/>
                <w:sz w:val="18"/>
                <w:szCs w:val="18"/>
                <w:lang w:val="en-US" w:eastAsia="en-US"/>
              </w:rPr>
            </w:pPr>
            <w:r w:rsidRPr="00C67619">
              <w:rPr>
                <w:rFonts w:cs="Arial"/>
                <w:color w:val="000000"/>
                <w:sz w:val="18"/>
                <w:szCs w:val="18"/>
                <w:lang w:val="en-US" w:eastAsia="en-US"/>
              </w:rPr>
              <w:t> </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rFonts w:cs="Arial"/>
                <w:b/>
                <w:color w:val="000000"/>
                <w:sz w:val="18"/>
                <w:szCs w:val="18"/>
                <w:lang w:val="en-US" w:eastAsia="en-US"/>
              </w:rPr>
            </w:pPr>
            <w:r w:rsidRPr="00C67619">
              <w:rPr>
                <w:rFonts w:cs="Arial"/>
                <w:b/>
                <w:color w:val="000000"/>
                <w:sz w:val="18"/>
                <w:szCs w:val="18"/>
                <w:lang w:val="en-US" w:eastAsia="en-US"/>
              </w:rPr>
              <w:t>5</w:t>
            </w:r>
          </w:p>
        </w:tc>
        <w:tc>
          <w:tcPr>
            <w:tcW w:w="955" w:type="dxa"/>
            <w:tcBorders>
              <w:top w:val="nil"/>
              <w:left w:val="nil"/>
              <w:bottom w:val="single" w:sz="4" w:space="0" w:color="auto"/>
              <w:right w:val="single" w:sz="4" w:space="0" w:color="auto"/>
            </w:tcBorders>
            <w:shd w:val="clear" w:color="auto" w:fill="auto"/>
            <w:tcMar>
              <w:top w:w="28" w:type="dxa"/>
              <w:left w:w="28" w:type="dxa"/>
              <w:bottom w:w="28" w:type="dxa"/>
              <w:right w:w="28" w:type="dxa"/>
            </w:tcMar>
            <w:vAlign w:val="center"/>
            <w:hideMark/>
          </w:tcPr>
          <w:p w:rsidR="008E2822" w:rsidRPr="00C67619" w:rsidRDefault="008E2822" w:rsidP="00892B18">
            <w:pPr>
              <w:widowControl/>
              <w:jc w:val="right"/>
              <w:rPr>
                <w:b/>
                <w:bCs/>
                <w:color w:val="000000"/>
                <w:sz w:val="18"/>
                <w:szCs w:val="18"/>
                <w:lang w:val="en-US" w:eastAsia="en-US"/>
              </w:rPr>
            </w:pPr>
            <w:r w:rsidRPr="00C67619">
              <w:rPr>
                <w:b/>
                <w:bCs/>
                <w:color w:val="000000"/>
                <w:sz w:val="18"/>
                <w:szCs w:val="18"/>
                <w:lang w:val="en-US" w:eastAsia="en-US"/>
              </w:rPr>
              <w:t>3</w:t>
            </w:r>
          </w:p>
        </w:tc>
      </w:tr>
    </w:tbl>
    <w:p w:rsidR="000E7DC3" w:rsidRPr="008E2822" w:rsidRDefault="000E7DC3" w:rsidP="00E47CE2">
      <w:pPr>
        <w:pStyle w:val="BodyText"/>
        <w:tabs>
          <w:tab w:val="left" w:pos="720"/>
        </w:tabs>
        <w:spacing w:line="260" w:lineRule="exact"/>
        <w:rPr>
          <w:b w:val="0"/>
          <w:szCs w:val="22"/>
        </w:rPr>
      </w:pPr>
    </w:p>
    <w:p w:rsidR="008E2822" w:rsidRPr="00C67619" w:rsidRDefault="008E2822" w:rsidP="008E2822">
      <w:pPr>
        <w:pStyle w:val="BodyText"/>
        <w:tabs>
          <w:tab w:val="left" w:pos="720"/>
        </w:tabs>
        <w:spacing w:line="260" w:lineRule="exact"/>
        <w:rPr>
          <w:b w:val="0"/>
          <w:i/>
          <w:szCs w:val="22"/>
        </w:rPr>
      </w:pPr>
      <w:r w:rsidRPr="00C67619">
        <w:rPr>
          <w:b w:val="0"/>
          <w:i/>
          <w:szCs w:val="22"/>
        </w:rPr>
        <w:t xml:space="preserve">Разчети със свързани </w:t>
      </w:r>
      <w:proofErr w:type="gramStart"/>
      <w:r w:rsidRPr="00C67619">
        <w:rPr>
          <w:b w:val="0"/>
          <w:i/>
          <w:szCs w:val="22"/>
        </w:rPr>
        <w:t>лица</w:t>
      </w:r>
      <w:proofErr w:type="gramEnd"/>
    </w:p>
    <w:p w:rsidR="00E47CE2" w:rsidRPr="008E2822" w:rsidRDefault="008E2822" w:rsidP="005C7A2E">
      <w:pPr>
        <w:tabs>
          <w:tab w:val="left" w:pos="360"/>
        </w:tabs>
        <w:rPr>
          <w:szCs w:val="22"/>
        </w:rPr>
      </w:pPr>
      <w:r w:rsidRPr="00C67619">
        <w:rPr>
          <w:szCs w:val="22"/>
        </w:rPr>
        <w:t>Към 30.06</w:t>
      </w:r>
      <w:r>
        <w:rPr>
          <w:szCs w:val="22"/>
        </w:rPr>
        <w:t>.2013 г. р</w:t>
      </w:r>
      <w:r w:rsidRPr="00C67619">
        <w:rPr>
          <w:szCs w:val="22"/>
        </w:rPr>
        <w:t xml:space="preserve">азчетни взаимоотношения със свързани лица от вземания по продажби </w:t>
      </w:r>
      <w:proofErr w:type="gramStart"/>
      <w:r w:rsidRPr="00C67619">
        <w:rPr>
          <w:szCs w:val="22"/>
        </w:rPr>
        <w:t>липсват</w:t>
      </w:r>
      <w:proofErr w:type="gramEnd"/>
    </w:p>
    <w:p w:rsidR="00727506" w:rsidRPr="008E2822" w:rsidRDefault="00315833" w:rsidP="00BA4CF8">
      <w:pPr>
        <w:pStyle w:val="SubNumbers"/>
        <w:outlineLvl w:val="1"/>
      </w:pPr>
      <w:bookmarkStart w:id="58" w:name="_Toc362884514"/>
      <w:r w:rsidRPr="008E2822">
        <w:t>О</w:t>
      </w:r>
      <w:r w:rsidR="00727506" w:rsidRPr="008E2822">
        <w:t>с</w:t>
      </w:r>
      <w:r w:rsidRPr="008E2822">
        <w:t>н</w:t>
      </w:r>
      <w:r w:rsidR="00727506" w:rsidRPr="008E2822">
        <w:t>овен доход на акция</w:t>
      </w:r>
      <w:bookmarkEnd w:id="58"/>
    </w:p>
    <w:p w:rsidR="00727506" w:rsidRPr="008E2822" w:rsidRDefault="00D03868" w:rsidP="00727506">
      <w:pPr>
        <w:pStyle w:val="a1"/>
        <w:tabs>
          <w:tab w:val="left" w:pos="360"/>
        </w:tabs>
        <w:jc w:val="both"/>
        <w:rPr>
          <w:b w:val="0"/>
          <w:szCs w:val="22"/>
        </w:rPr>
      </w:pPr>
      <w:r w:rsidRPr="008E2822">
        <w:rPr>
          <w:b w:val="0"/>
          <w:szCs w:val="22"/>
        </w:rPr>
        <w:t xml:space="preserve">Нетната </w:t>
      </w:r>
      <w:proofErr w:type="gramStart"/>
      <w:r w:rsidR="00844758" w:rsidRPr="008E2822">
        <w:rPr>
          <w:b w:val="0"/>
          <w:szCs w:val="22"/>
        </w:rPr>
        <w:t>печалба</w:t>
      </w:r>
      <w:r w:rsidR="00727506" w:rsidRPr="008E2822">
        <w:rPr>
          <w:b w:val="0"/>
          <w:szCs w:val="22"/>
        </w:rPr>
        <w:t xml:space="preserve"> на една акция е изчислен</w:t>
      </w:r>
      <w:r w:rsidRPr="008E2822">
        <w:rPr>
          <w:b w:val="0"/>
          <w:szCs w:val="22"/>
        </w:rPr>
        <w:t>а</w:t>
      </w:r>
      <w:r w:rsidR="00727506" w:rsidRPr="008E2822">
        <w:rPr>
          <w:b w:val="0"/>
          <w:szCs w:val="22"/>
        </w:rPr>
        <w:t xml:space="preserve"> на база на нетната </w:t>
      </w:r>
      <w:r w:rsidR="00844758" w:rsidRPr="008E2822">
        <w:rPr>
          <w:b w:val="0"/>
          <w:szCs w:val="22"/>
        </w:rPr>
        <w:t>печалба</w:t>
      </w:r>
      <w:proofErr w:type="gramEnd"/>
      <w:r w:rsidRPr="008E2822">
        <w:rPr>
          <w:b w:val="0"/>
          <w:szCs w:val="22"/>
        </w:rPr>
        <w:t xml:space="preserve"> </w:t>
      </w:r>
      <w:r w:rsidR="00727506" w:rsidRPr="008E2822">
        <w:rPr>
          <w:b w:val="0"/>
          <w:szCs w:val="22"/>
        </w:rPr>
        <w:t xml:space="preserve">за </w:t>
      </w:r>
      <w:r w:rsidRPr="008E2822">
        <w:rPr>
          <w:b w:val="0"/>
          <w:szCs w:val="22"/>
        </w:rPr>
        <w:t xml:space="preserve">периода </w:t>
      </w:r>
      <w:r w:rsidR="00727506" w:rsidRPr="008E2822">
        <w:rPr>
          <w:b w:val="0"/>
          <w:szCs w:val="22"/>
        </w:rPr>
        <w:t>и бро</w:t>
      </w:r>
      <w:r w:rsidRPr="008E2822">
        <w:rPr>
          <w:b w:val="0"/>
          <w:szCs w:val="22"/>
        </w:rPr>
        <w:t>я</w:t>
      </w:r>
      <w:r w:rsidR="00727506" w:rsidRPr="008E2822">
        <w:rPr>
          <w:b w:val="0"/>
          <w:szCs w:val="22"/>
        </w:rPr>
        <w:t xml:space="preserve"> на обикновен</w:t>
      </w:r>
      <w:r w:rsidR="00CB2BE3" w:rsidRPr="008E2822">
        <w:rPr>
          <w:b w:val="0"/>
          <w:szCs w:val="22"/>
        </w:rPr>
        <w:t>ите акции през отчетния период.</w:t>
      </w:r>
    </w:p>
    <w:p w:rsidR="00727506" w:rsidRPr="008E2822" w:rsidRDefault="00727506" w:rsidP="00727506">
      <w:pPr>
        <w:pStyle w:val="a2"/>
        <w:tabs>
          <w:tab w:val="left" w:pos="360"/>
        </w:tabs>
        <w:jc w:val="right"/>
        <w:rPr>
          <w:i w:val="0"/>
          <w:szCs w:val="20"/>
        </w:rPr>
      </w:pPr>
    </w:p>
    <w:p w:rsidR="00727506" w:rsidRPr="008E2822" w:rsidRDefault="00A13C0D" w:rsidP="006E4EC4">
      <w:pPr>
        <w:pStyle w:val="a2"/>
        <w:tabs>
          <w:tab w:val="left" w:pos="360"/>
        </w:tabs>
        <w:jc w:val="both"/>
        <w:rPr>
          <w:b/>
          <w:i w:val="0"/>
          <w:szCs w:val="20"/>
        </w:rPr>
      </w:pPr>
      <w:r w:rsidRPr="008E2822">
        <w:rPr>
          <w:b/>
          <w:i w:val="0"/>
          <w:szCs w:val="20"/>
        </w:rPr>
        <w:t>Таблица 16</w:t>
      </w:r>
      <w:r w:rsidR="0098481A" w:rsidRPr="008E2822">
        <w:rPr>
          <w:b/>
          <w:i w:val="0"/>
          <w:szCs w:val="20"/>
        </w:rPr>
        <w:t>. Доход на акция</w:t>
      </w:r>
    </w:p>
    <w:tbl>
      <w:tblPr>
        <w:tblW w:w="8389" w:type="dxa"/>
        <w:jc w:val="center"/>
        <w:tblCellMar>
          <w:left w:w="70" w:type="dxa"/>
          <w:right w:w="70" w:type="dxa"/>
        </w:tblCellMar>
        <w:tblLook w:val="04A0" w:firstRow="1" w:lastRow="0" w:firstColumn="1" w:lastColumn="0" w:noHBand="0" w:noVBand="1"/>
      </w:tblPr>
      <w:tblGrid>
        <w:gridCol w:w="4955"/>
        <w:gridCol w:w="2169"/>
        <w:gridCol w:w="1265"/>
      </w:tblGrid>
      <w:tr w:rsidR="000E7DC3" w:rsidRPr="008E2822" w:rsidTr="000E7DC3">
        <w:trPr>
          <w:trHeight w:val="170"/>
          <w:jc w:val="center"/>
        </w:trPr>
        <w:tc>
          <w:tcPr>
            <w:tcW w:w="4955" w:type="dxa"/>
            <w:tcBorders>
              <w:top w:val="nil"/>
              <w:left w:val="nil"/>
              <w:bottom w:val="nil"/>
              <w:right w:val="nil"/>
            </w:tcBorders>
            <w:shd w:val="clear" w:color="auto" w:fill="4F81BD" w:themeFill="accent1"/>
            <w:noWrap/>
            <w:vAlign w:val="center"/>
            <w:hideMark/>
          </w:tcPr>
          <w:p w:rsidR="000E7DC3" w:rsidRPr="008E2822" w:rsidRDefault="000E7DC3" w:rsidP="000E7DC3">
            <w:pPr>
              <w:widowControl/>
              <w:jc w:val="left"/>
              <w:rPr>
                <w:b/>
                <w:bCs/>
                <w:color w:val="FFFFFF" w:themeColor="background1"/>
                <w:sz w:val="20"/>
                <w:szCs w:val="20"/>
              </w:rPr>
            </w:pPr>
            <w:r w:rsidRPr="008E2822">
              <w:rPr>
                <w:b/>
                <w:bCs/>
                <w:color w:val="FFFFFF" w:themeColor="background1"/>
                <w:sz w:val="20"/>
                <w:szCs w:val="20"/>
              </w:rPr>
              <w:t>Основен доход на акция</w:t>
            </w:r>
          </w:p>
        </w:tc>
        <w:tc>
          <w:tcPr>
            <w:tcW w:w="2169" w:type="dxa"/>
            <w:tcBorders>
              <w:top w:val="nil"/>
              <w:left w:val="nil"/>
              <w:bottom w:val="nil"/>
              <w:right w:val="nil"/>
            </w:tcBorders>
            <w:shd w:val="clear" w:color="auto" w:fill="4F81BD" w:themeFill="accent1"/>
            <w:noWrap/>
            <w:vAlign w:val="center"/>
            <w:hideMark/>
          </w:tcPr>
          <w:p w:rsidR="000E7DC3" w:rsidRPr="008E2822" w:rsidRDefault="00983D1F" w:rsidP="00983D1F">
            <w:pPr>
              <w:widowControl/>
              <w:jc w:val="center"/>
              <w:rPr>
                <w:b/>
                <w:bCs/>
                <w:color w:val="FFFFFF" w:themeColor="background1"/>
                <w:sz w:val="20"/>
                <w:szCs w:val="20"/>
              </w:rPr>
            </w:pPr>
            <w:r>
              <w:rPr>
                <w:b/>
                <w:bCs/>
                <w:color w:val="FFFFFF" w:themeColor="background1"/>
                <w:sz w:val="20"/>
                <w:szCs w:val="20"/>
              </w:rPr>
              <w:t>30</w:t>
            </w:r>
            <w:r w:rsidR="000E7DC3" w:rsidRPr="008E2822">
              <w:rPr>
                <w:b/>
                <w:bCs/>
                <w:color w:val="FFFFFF" w:themeColor="background1"/>
                <w:sz w:val="20"/>
                <w:szCs w:val="20"/>
              </w:rPr>
              <w:t>.</w:t>
            </w:r>
            <w:r>
              <w:rPr>
                <w:b/>
                <w:bCs/>
                <w:color w:val="FFFFFF" w:themeColor="background1"/>
                <w:sz w:val="20"/>
                <w:szCs w:val="20"/>
              </w:rPr>
              <w:t>06</w:t>
            </w:r>
            <w:r w:rsidR="000E7DC3" w:rsidRPr="008E2822">
              <w:rPr>
                <w:b/>
                <w:bCs/>
                <w:color w:val="FFFFFF" w:themeColor="background1"/>
                <w:sz w:val="20"/>
                <w:szCs w:val="20"/>
              </w:rPr>
              <w:t>.2013</w:t>
            </w:r>
          </w:p>
        </w:tc>
        <w:tc>
          <w:tcPr>
            <w:tcW w:w="1265" w:type="dxa"/>
            <w:tcBorders>
              <w:top w:val="nil"/>
              <w:left w:val="nil"/>
              <w:bottom w:val="nil"/>
              <w:right w:val="nil"/>
            </w:tcBorders>
            <w:shd w:val="clear" w:color="auto" w:fill="4F81BD" w:themeFill="accent1"/>
            <w:noWrap/>
            <w:vAlign w:val="center"/>
            <w:hideMark/>
          </w:tcPr>
          <w:p w:rsidR="000E7DC3" w:rsidRPr="008E2822" w:rsidRDefault="000E7DC3" w:rsidP="000E7DC3">
            <w:pPr>
              <w:widowControl/>
              <w:jc w:val="center"/>
              <w:rPr>
                <w:b/>
                <w:bCs/>
                <w:color w:val="FFFFFF" w:themeColor="background1"/>
                <w:sz w:val="20"/>
                <w:szCs w:val="20"/>
              </w:rPr>
            </w:pPr>
            <w:r w:rsidRPr="008E2822">
              <w:rPr>
                <w:b/>
                <w:bCs/>
                <w:color w:val="FFFFFF" w:themeColor="background1"/>
                <w:sz w:val="20"/>
                <w:szCs w:val="20"/>
                <w:lang w:val="en-US"/>
              </w:rPr>
              <w:t>31.12.2012</w:t>
            </w:r>
          </w:p>
        </w:tc>
      </w:tr>
      <w:tr w:rsidR="000E7DC3" w:rsidRPr="008E2822" w:rsidTr="000E7DC3">
        <w:trPr>
          <w:trHeight w:val="170"/>
          <w:jc w:val="center"/>
        </w:trPr>
        <w:tc>
          <w:tcPr>
            <w:tcW w:w="4955" w:type="dxa"/>
            <w:tcBorders>
              <w:top w:val="nil"/>
              <w:left w:val="nil"/>
              <w:bottom w:val="nil"/>
              <w:right w:val="nil"/>
            </w:tcBorders>
            <w:shd w:val="clear" w:color="auto" w:fill="auto"/>
            <w:noWrap/>
            <w:vAlign w:val="center"/>
            <w:hideMark/>
          </w:tcPr>
          <w:p w:rsidR="000E7DC3" w:rsidRPr="008E2822" w:rsidRDefault="000E7DC3" w:rsidP="000E7DC3">
            <w:pPr>
              <w:widowControl/>
              <w:jc w:val="left"/>
              <w:rPr>
                <w:color w:val="000000"/>
                <w:sz w:val="20"/>
                <w:szCs w:val="20"/>
              </w:rPr>
            </w:pPr>
            <w:r w:rsidRPr="008E2822">
              <w:rPr>
                <w:color w:val="000000"/>
                <w:sz w:val="20"/>
                <w:szCs w:val="20"/>
              </w:rPr>
              <w:t>Средно претеглен брой акции</w:t>
            </w:r>
          </w:p>
        </w:tc>
        <w:tc>
          <w:tcPr>
            <w:tcW w:w="2169" w:type="dxa"/>
            <w:tcBorders>
              <w:top w:val="nil"/>
              <w:left w:val="nil"/>
              <w:bottom w:val="nil"/>
              <w:right w:val="nil"/>
            </w:tcBorders>
            <w:shd w:val="clear" w:color="auto" w:fill="auto"/>
            <w:noWrap/>
            <w:vAlign w:val="center"/>
            <w:hideMark/>
          </w:tcPr>
          <w:p w:rsidR="000E7DC3" w:rsidRPr="008E2822" w:rsidRDefault="000E7DC3" w:rsidP="000E7DC3">
            <w:pPr>
              <w:widowControl/>
              <w:jc w:val="right"/>
              <w:rPr>
                <w:color w:val="000000"/>
                <w:sz w:val="20"/>
                <w:szCs w:val="20"/>
              </w:rPr>
            </w:pPr>
            <w:r w:rsidRPr="008E2822">
              <w:rPr>
                <w:color w:val="000000"/>
                <w:sz w:val="20"/>
                <w:szCs w:val="20"/>
              </w:rPr>
              <w:t>6,582,860</w:t>
            </w:r>
          </w:p>
        </w:tc>
        <w:tc>
          <w:tcPr>
            <w:tcW w:w="1265" w:type="dxa"/>
            <w:tcBorders>
              <w:top w:val="nil"/>
              <w:left w:val="nil"/>
              <w:bottom w:val="nil"/>
              <w:right w:val="nil"/>
            </w:tcBorders>
            <w:shd w:val="clear" w:color="auto" w:fill="auto"/>
            <w:noWrap/>
            <w:vAlign w:val="center"/>
            <w:hideMark/>
          </w:tcPr>
          <w:p w:rsidR="000E7DC3" w:rsidRPr="008E2822" w:rsidRDefault="000E7DC3" w:rsidP="000E7DC3">
            <w:pPr>
              <w:widowControl/>
              <w:jc w:val="right"/>
              <w:rPr>
                <w:color w:val="000000"/>
                <w:sz w:val="20"/>
                <w:szCs w:val="20"/>
              </w:rPr>
            </w:pPr>
            <w:r w:rsidRPr="008E2822">
              <w:rPr>
                <w:color w:val="000000"/>
                <w:sz w:val="20"/>
                <w:szCs w:val="20"/>
              </w:rPr>
              <w:t>6,582,860</w:t>
            </w:r>
          </w:p>
        </w:tc>
      </w:tr>
      <w:tr w:rsidR="000E7DC3" w:rsidRPr="008E2822" w:rsidTr="000E7DC3">
        <w:trPr>
          <w:trHeight w:val="170"/>
          <w:jc w:val="center"/>
        </w:trPr>
        <w:tc>
          <w:tcPr>
            <w:tcW w:w="4955" w:type="dxa"/>
            <w:tcBorders>
              <w:top w:val="nil"/>
              <w:left w:val="nil"/>
              <w:bottom w:val="nil"/>
              <w:right w:val="nil"/>
            </w:tcBorders>
            <w:shd w:val="clear" w:color="auto" w:fill="auto"/>
            <w:noWrap/>
            <w:vAlign w:val="center"/>
            <w:hideMark/>
          </w:tcPr>
          <w:p w:rsidR="000E7DC3" w:rsidRPr="008E2822" w:rsidRDefault="000E7DC3" w:rsidP="000E7DC3">
            <w:pPr>
              <w:widowControl/>
              <w:jc w:val="left"/>
              <w:rPr>
                <w:color w:val="000000"/>
                <w:sz w:val="20"/>
                <w:szCs w:val="20"/>
              </w:rPr>
            </w:pPr>
            <w:r w:rsidRPr="008E2822">
              <w:rPr>
                <w:color w:val="000000"/>
                <w:sz w:val="20"/>
                <w:szCs w:val="20"/>
              </w:rPr>
              <w:t>Нетна печалба за периода/годината (BGN’000)</w:t>
            </w:r>
          </w:p>
        </w:tc>
        <w:tc>
          <w:tcPr>
            <w:tcW w:w="2169" w:type="dxa"/>
            <w:tcBorders>
              <w:top w:val="nil"/>
              <w:left w:val="nil"/>
              <w:bottom w:val="nil"/>
              <w:right w:val="nil"/>
            </w:tcBorders>
            <w:shd w:val="clear" w:color="auto" w:fill="auto"/>
            <w:noWrap/>
            <w:vAlign w:val="center"/>
            <w:hideMark/>
          </w:tcPr>
          <w:p w:rsidR="000E7DC3" w:rsidRPr="008E2822" w:rsidRDefault="00983D1F" w:rsidP="000E7DC3">
            <w:pPr>
              <w:widowControl/>
              <w:jc w:val="right"/>
              <w:rPr>
                <w:color w:val="000000"/>
                <w:sz w:val="20"/>
                <w:szCs w:val="20"/>
              </w:rPr>
            </w:pPr>
            <w:r>
              <w:rPr>
                <w:color w:val="000000"/>
                <w:sz w:val="20"/>
                <w:szCs w:val="20"/>
              </w:rPr>
              <w:t>625</w:t>
            </w:r>
          </w:p>
        </w:tc>
        <w:tc>
          <w:tcPr>
            <w:tcW w:w="1265" w:type="dxa"/>
            <w:tcBorders>
              <w:top w:val="nil"/>
              <w:left w:val="nil"/>
              <w:bottom w:val="nil"/>
              <w:right w:val="nil"/>
            </w:tcBorders>
            <w:shd w:val="clear" w:color="auto" w:fill="auto"/>
            <w:noWrap/>
            <w:vAlign w:val="center"/>
            <w:hideMark/>
          </w:tcPr>
          <w:p w:rsidR="000E7DC3" w:rsidRPr="008E2822" w:rsidRDefault="000E7DC3" w:rsidP="000E7DC3">
            <w:pPr>
              <w:widowControl/>
              <w:jc w:val="right"/>
              <w:rPr>
                <w:color w:val="000000"/>
                <w:sz w:val="20"/>
                <w:szCs w:val="20"/>
              </w:rPr>
            </w:pPr>
            <w:r w:rsidRPr="008E2822">
              <w:rPr>
                <w:color w:val="000000"/>
                <w:sz w:val="20"/>
                <w:szCs w:val="20"/>
              </w:rPr>
              <w:t>603</w:t>
            </w:r>
          </w:p>
        </w:tc>
      </w:tr>
      <w:tr w:rsidR="000E7DC3" w:rsidRPr="008E2822" w:rsidTr="000E7DC3">
        <w:trPr>
          <w:trHeight w:val="170"/>
          <w:jc w:val="center"/>
        </w:trPr>
        <w:tc>
          <w:tcPr>
            <w:tcW w:w="4955" w:type="dxa"/>
            <w:tcBorders>
              <w:top w:val="nil"/>
              <w:left w:val="nil"/>
              <w:bottom w:val="nil"/>
              <w:right w:val="nil"/>
            </w:tcBorders>
            <w:shd w:val="clear" w:color="auto" w:fill="auto"/>
            <w:noWrap/>
            <w:vAlign w:val="center"/>
            <w:hideMark/>
          </w:tcPr>
          <w:p w:rsidR="000E7DC3" w:rsidRPr="008E2822" w:rsidRDefault="000E7DC3" w:rsidP="000E7DC3">
            <w:pPr>
              <w:widowControl/>
              <w:jc w:val="left"/>
              <w:rPr>
                <w:b/>
                <w:bCs/>
                <w:color w:val="000000"/>
                <w:sz w:val="20"/>
                <w:szCs w:val="20"/>
              </w:rPr>
            </w:pPr>
            <w:r w:rsidRPr="008E2822">
              <w:rPr>
                <w:b/>
                <w:bCs/>
                <w:color w:val="000000"/>
                <w:sz w:val="20"/>
                <w:szCs w:val="20"/>
              </w:rPr>
              <w:t>Основен доход на акция (BGN)</w:t>
            </w:r>
          </w:p>
        </w:tc>
        <w:tc>
          <w:tcPr>
            <w:tcW w:w="2169" w:type="dxa"/>
            <w:tcBorders>
              <w:top w:val="single" w:sz="8" w:space="0" w:color="auto"/>
              <w:left w:val="nil"/>
              <w:bottom w:val="double" w:sz="6" w:space="0" w:color="auto"/>
              <w:right w:val="nil"/>
            </w:tcBorders>
            <w:shd w:val="clear" w:color="auto" w:fill="auto"/>
            <w:noWrap/>
            <w:vAlign w:val="center"/>
            <w:hideMark/>
          </w:tcPr>
          <w:p w:rsidR="000E7DC3" w:rsidRPr="008E2822" w:rsidRDefault="000E7DC3" w:rsidP="00983D1F">
            <w:pPr>
              <w:widowControl/>
              <w:jc w:val="right"/>
              <w:rPr>
                <w:b/>
                <w:bCs/>
                <w:color w:val="000000"/>
                <w:sz w:val="20"/>
                <w:szCs w:val="20"/>
              </w:rPr>
            </w:pPr>
            <w:r w:rsidRPr="008E2822">
              <w:rPr>
                <w:b/>
                <w:bCs/>
                <w:color w:val="000000"/>
                <w:sz w:val="20"/>
                <w:szCs w:val="20"/>
              </w:rPr>
              <w:t>0.0</w:t>
            </w:r>
            <w:r w:rsidR="00983D1F">
              <w:rPr>
                <w:b/>
                <w:bCs/>
                <w:color w:val="000000"/>
                <w:sz w:val="20"/>
                <w:szCs w:val="20"/>
              </w:rPr>
              <w:t>9</w:t>
            </w:r>
          </w:p>
        </w:tc>
        <w:tc>
          <w:tcPr>
            <w:tcW w:w="1265" w:type="dxa"/>
            <w:tcBorders>
              <w:top w:val="single" w:sz="8" w:space="0" w:color="auto"/>
              <w:left w:val="nil"/>
              <w:bottom w:val="double" w:sz="6" w:space="0" w:color="auto"/>
              <w:right w:val="nil"/>
            </w:tcBorders>
            <w:shd w:val="clear" w:color="auto" w:fill="auto"/>
            <w:noWrap/>
            <w:vAlign w:val="center"/>
            <w:hideMark/>
          </w:tcPr>
          <w:p w:rsidR="000E7DC3" w:rsidRPr="008E2822" w:rsidRDefault="000E7DC3" w:rsidP="000E7DC3">
            <w:pPr>
              <w:widowControl/>
              <w:jc w:val="right"/>
              <w:rPr>
                <w:b/>
                <w:bCs/>
                <w:color w:val="000000"/>
                <w:sz w:val="20"/>
                <w:szCs w:val="20"/>
              </w:rPr>
            </w:pPr>
            <w:r w:rsidRPr="008E2822">
              <w:rPr>
                <w:b/>
                <w:bCs/>
                <w:color w:val="000000"/>
                <w:sz w:val="20"/>
                <w:szCs w:val="20"/>
              </w:rPr>
              <w:t>0.09</w:t>
            </w:r>
          </w:p>
        </w:tc>
      </w:tr>
    </w:tbl>
    <w:p w:rsidR="00ED1EEC" w:rsidRPr="008E2822" w:rsidRDefault="00ED1EEC" w:rsidP="00FB24AC">
      <w:pPr>
        <w:tabs>
          <w:tab w:val="left" w:pos="360"/>
        </w:tabs>
      </w:pPr>
    </w:p>
    <w:sectPr w:rsidR="00ED1EEC" w:rsidRPr="008E2822" w:rsidSect="00ED4E24">
      <w:headerReference w:type="default" r:id="rId23"/>
      <w:footerReference w:type="even" r:id="rId24"/>
      <w:footerReference w:type="default" r:id="rId25"/>
      <w:pgSz w:w="11906" w:h="16838"/>
      <w:pgMar w:top="2160" w:right="1274" w:bottom="1276" w:left="1411"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3C5" w:rsidRDefault="000003C5">
      <w:r>
        <w:separator/>
      </w:r>
    </w:p>
  </w:endnote>
  <w:endnote w:type="continuationSeparator" w:id="0">
    <w:p w:rsidR="000003C5" w:rsidRDefault="00000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Cyr">
    <w:altName w:val="Corbel"/>
    <w:panose1 w:val="020B0503020103020203"/>
    <w:charset w:val="CC"/>
    <w:family w:val="swiss"/>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NewsGothicCyr">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22B" w:rsidRDefault="00CF222B" w:rsidP="003500EF">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222B" w:rsidRDefault="00CF222B" w:rsidP="003500EF">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22B" w:rsidRDefault="00CF222B" w:rsidP="000A579B">
    <w:pPr>
      <w:framePr w:w="369" w:h="442" w:hRule="exact" w:wrap="around" w:vAnchor="text" w:hAnchor="page" w:x="10831" w:y="-623"/>
      <w:rPr>
        <w:rStyle w:val="PageNumber"/>
      </w:rPr>
    </w:pPr>
    <w:r>
      <w:rPr>
        <w:rStyle w:val="PageNumber"/>
      </w:rPr>
      <w:fldChar w:fldCharType="begin"/>
    </w:r>
    <w:r>
      <w:rPr>
        <w:rStyle w:val="PageNumber"/>
      </w:rPr>
      <w:instrText xml:space="preserve">PAGE  </w:instrText>
    </w:r>
    <w:r>
      <w:rPr>
        <w:rStyle w:val="PageNumber"/>
      </w:rPr>
      <w:fldChar w:fldCharType="separate"/>
    </w:r>
    <w:r w:rsidR="00DF2399">
      <w:rPr>
        <w:rStyle w:val="PageNumber"/>
        <w:noProof/>
      </w:rPr>
      <w:t>6</w:t>
    </w:r>
    <w:r>
      <w:rPr>
        <w:rStyle w:val="PageNumber"/>
      </w:rPr>
      <w:fldChar w:fldCharType="end"/>
    </w:r>
  </w:p>
  <w:p w:rsidR="00CF222B" w:rsidRDefault="00CF222B" w:rsidP="003500EF">
    <w:pPr>
      <w:ind w:right="360"/>
    </w:pPr>
    <w:r>
      <w:rPr>
        <w:noProof/>
      </w:rPr>
      <w:drawing>
        <wp:anchor distT="0" distB="0" distL="114300" distR="114300" simplePos="0" relativeHeight="251657728" behindDoc="1" locked="0" layoutInCell="1" allowOverlap="1" wp14:anchorId="6D4DEBA4" wp14:editId="6155EE95">
          <wp:simplePos x="0" y="0"/>
          <wp:positionH relativeFrom="column">
            <wp:posOffset>-1028700</wp:posOffset>
          </wp:positionH>
          <wp:positionV relativeFrom="paragraph">
            <wp:posOffset>-464185</wp:posOffset>
          </wp:positionV>
          <wp:extent cx="7772400" cy="685800"/>
          <wp:effectExtent l="19050" t="0" r="0" b="0"/>
          <wp:wrapNone/>
          <wp:docPr id="42" name="Картина 1"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
                  <pic:cNvPicPr>
                    <a:picLocks noChangeAspect="1" noChangeArrowheads="1"/>
                  </pic:cNvPicPr>
                </pic:nvPicPr>
                <pic:blipFill>
                  <a:blip r:embed="rId1"/>
                  <a:srcRect/>
                  <a:stretch>
                    <a:fillRect/>
                  </a:stretch>
                </pic:blipFill>
                <pic:spPr bwMode="auto">
                  <a:xfrm>
                    <a:off x="0" y="0"/>
                    <a:ext cx="7772400" cy="68580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3C5" w:rsidRDefault="000003C5">
      <w:r>
        <w:separator/>
      </w:r>
    </w:p>
  </w:footnote>
  <w:footnote w:type="continuationSeparator" w:id="0">
    <w:p w:rsidR="000003C5" w:rsidRDefault="00000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22B" w:rsidRPr="0098260E" w:rsidRDefault="00CF222B" w:rsidP="0098260E">
    <w:pPr>
      <w:tabs>
        <w:tab w:val="right" w:pos="10490"/>
      </w:tabs>
      <w:ind w:left="-1417"/>
      <w:jc w:val="center"/>
      <w:rPr>
        <w:rFonts w:ascii="Calibri" w:hAnsi="Calibri"/>
        <w:lang w:val="en-US"/>
      </w:rPr>
    </w:pPr>
    <w:r>
      <w:rPr>
        <w:rFonts w:ascii="Calibri" w:hAnsi="Calibri"/>
        <w:noProof/>
      </w:rPr>
      <w:drawing>
        <wp:inline distT="0" distB="0" distL="0" distR="0">
          <wp:extent cx="7582568" cy="1358232"/>
          <wp:effectExtent l="0" t="0" r="0" b="0"/>
          <wp:docPr id="4" name="Picture 4" descr="D:\Documents and Settings\My Documents\работна - ПОВЕРИТЕЛНО\DVI\2013\Q2\working\head_bg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My Documents\работна - ПОВЕРИТЕЛНО\DVI\2013\Q2\working\head_bg_ne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4390" cy="135855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33F6"/>
    <w:multiLevelType w:val="hybridMultilevel"/>
    <w:tmpl w:val="3EC0BC76"/>
    <w:lvl w:ilvl="0" w:tplc="04020001">
      <w:start w:val="1"/>
      <w:numFmt w:val="bullet"/>
      <w:lvlText w:val=""/>
      <w:lvlJc w:val="left"/>
      <w:pPr>
        <w:ind w:left="1426" w:hanging="360"/>
      </w:pPr>
      <w:rPr>
        <w:rFonts w:ascii="Symbol" w:hAnsi="Symbol" w:hint="default"/>
      </w:rPr>
    </w:lvl>
    <w:lvl w:ilvl="1" w:tplc="04020003" w:tentative="1">
      <w:start w:val="1"/>
      <w:numFmt w:val="bullet"/>
      <w:lvlText w:val="o"/>
      <w:lvlJc w:val="left"/>
      <w:pPr>
        <w:ind w:left="2146" w:hanging="360"/>
      </w:pPr>
      <w:rPr>
        <w:rFonts w:ascii="Courier New" w:hAnsi="Courier New" w:cs="Courier New" w:hint="default"/>
      </w:rPr>
    </w:lvl>
    <w:lvl w:ilvl="2" w:tplc="04020005" w:tentative="1">
      <w:start w:val="1"/>
      <w:numFmt w:val="bullet"/>
      <w:lvlText w:val=""/>
      <w:lvlJc w:val="left"/>
      <w:pPr>
        <w:ind w:left="2866" w:hanging="360"/>
      </w:pPr>
      <w:rPr>
        <w:rFonts w:ascii="Wingdings" w:hAnsi="Wingdings" w:hint="default"/>
      </w:rPr>
    </w:lvl>
    <w:lvl w:ilvl="3" w:tplc="04020001" w:tentative="1">
      <w:start w:val="1"/>
      <w:numFmt w:val="bullet"/>
      <w:lvlText w:val=""/>
      <w:lvlJc w:val="left"/>
      <w:pPr>
        <w:ind w:left="3586" w:hanging="360"/>
      </w:pPr>
      <w:rPr>
        <w:rFonts w:ascii="Symbol" w:hAnsi="Symbol" w:hint="default"/>
      </w:rPr>
    </w:lvl>
    <w:lvl w:ilvl="4" w:tplc="04020003" w:tentative="1">
      <w:start w:val="1"/>
      <w:numFmt w:val="bullet"/>
      <w:lvlText w:val="o"/>
      <w:lvlJc w:val="left"/>
      <w:pPr>
        <w:ind w:left="4306" w:hanging="360"/>
      </w:pPr>
      <w:rPr>
        <w:rFonts w:ascii="Courier New" w:hAnsi="Courier New" w:cs="Courier New" w:hint="default"/>
      </w:rPr>
    </w:lvl>
    <w:lvl w:ilvl="5" w:tplc="04020005" w:tentative="1">
      <w:start w:val="1"/>
      <w:numFmt w:val="bullet"/>
      <w:lvlText w:val=""/>
      <w:lvlJc w:val="left"/>
      <w:pPr>
        <w:ind w:left="5026" w:hanging="360"/>
      </w:pPr>
      <w:rPr>
        <w:rFonts w:ascii="Wingdings" w:hAnsi="Wingdings" w:hint="default"/>
      </w:rPr>
    </w:lvl>
    <w:lvl w:ilvl="6" w:tplc="04020001" w:tentative="1">
      <w:start w:val="1"/>
      <w:numFmt w:val="bullet"/>
      <w:lvlText w:val=""/>
      <w:lvlJc w:val="left"/>
      <w:pPr>
        <w:ind w:left="5746" w:hanging="360"/>
      </w:pPr>
      <w:rPr>
        <w:rFonts w:ascii="Symbol" w:hAnsi="Symbol" w:hint="default"/>
      </w:rPr>
    </w:lvl>
    <w:lvl w:ilvl="7" w:tplc="04020003" w:tentative="1">
      <w:start w:val="1"/>
      <w:numFmt w:val="bullet"/>
      <w:lvlText w:val="o"/>
      <w:lvlJc w:val="left"/>
      <w:pPr>
        <w:ind w:left="6466" w:hanging="360"/>
      </w:pPr>
      <w:rPr>
        <w:rFonts w:ascii="Courier New" w:hAnsi="Courier New" w:cs="Courier New" w:hint="default"/>
      </w:rPr>
    </w:lvl>
    <w:lvl w:ilvl="8" w:tplc="04020005" w:tentative="1">
      <w:start w:val="1"/>
      <w:numFmt w:val="bullet"/>
      <w:lvlText w:val=""/>
      <w:lvlJc w:val="left"/>
      <w:pPr>
        <w:ind w:left="7186" w:hanging="360"/>
      </w:pPr>
      <w:rPr>
        <w:rFonts w:ascii="Wingdings" w:hAnsi="Wingdings" w:hint="default"/>
      </w:rPr>
    </w:lvl>
  </w:abstractNum>
  <w:abstractNum w:abstractNumId="1">
    <w:nsid w:val="1AD80413"/>
    <w:multiLevelType w:val="hybridMultilevel"/>
    <w:tmpl w:val="E60E64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5305BC4"/>
    <w:multiLevelType w:val="hybridMultilevel"/>
    <w:tmpl w:val="FC0C07B6"/>
    <w:lvl w:ilvl="0" w:tplc="741607FE">
      <w:start w:val="1"/>
      <w:numFmt w:val="bullet"/>
      <w:pStyle w:val="Bullets"/>
      <w:lvlText w:val=""/>
      <w:lvlJc w:val="left"/>
      <w:pPr>
        <w:tabs>
          <w:tab w:val="num" w:pos="454"/>
        </w:tabs>
        <w:ind w:left="454" w:hanging="17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2C7C4726"/>
    <w:multiLevelType w:val="hybridMultilevel"/>
    <w:tmpl w:val="92DC67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4A0F6925"/>
    <w:multiLevelType w:val="hybridMultilevel"/>
    <w:tmpl w:val="DDF8FE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2F8157D"/>
    <w:multiLevelType w:val="hybridMultilevel"/>
    <w:tmpl w:val="385EC3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6FEA2A43"/>
    <w:multiLevelType w:val="multilevel"/>
    <w:tmpl w:val="A7747E74"/>
    <w:lvl w:ilvl="0">
      <w:start w:val="1"/>
      <w:numFmt w:val="decimal"/>
      <w:pStyle w:val="Heading1"/>
      <w:lvlText w:val="%1."/>
      <w:lvlJc w:val="left"/>
      <w:pPr>
        <w:tabs>
          <w:tab w:val="num" w:pos="-283"/>
        </w:tabs>
        <w:ind w:left="0" w:firstLine="0"/>
      </w:pPr>
      <w:rPr>
        <w:rFonts w:ascii="News Gothic Cyr" w:hAnsi="News Gothic Cyr" w:hint="default"/>
        <w:b/>
        <w:i w:val="0"/>
        <w:color w:val="auto"/>
        <w:sz w:val="24"/>
        <w:szCs w:val="24"/>
      </w:rPr>
    </w:lvl>
    <w:lvl w:ilvl="1">
      <w:start w:val="1"/>
      <w:numFmt w:val="decimal"/>
      <w:pStyle w:val="Heading2"/>
      <w:lvlText w:val="%1.%2."/>
      <w:lvlJc w:val="left"/>
      <w:pPr>
        <w:tabs>
          <w:tab w:val="num" w:pos="-283"/>
        </w:tabs>
        <w:ind w:left="0" w:firstLine="0"/>
      </w:pPr>
      <w:rPr>
        <w:rFonts w:ascii="News Gothic Cyr" w:hAnsi="News Gothic Cyr" w:hint="default"/>
        <w:b/>
        <w:i/>
        <w:sz w:val="24"/>
        <w:szCs w:val="24"/>
      </w:rPr>
    </w:lvl>
    <w:lvl w:ilvl="2">
      <w:start w:val="1"/>
      <w:numFmt w:val="decimal"/>
      <w:lvlText w:val="%1.%2.%3."/>
      <w:lvlJc w:val="left"/>
      <w:pPr>
        <w:tabs>
          <w:tab w:val="num" w:pos="873"/>
        </w:tabs>
        <w:ind w:left="0" w:firstLine="0"/>
      </w:pPr>
      <w:rPr>
        <w:rFonts w:ascii="News Gothic Cyr" w:hAnsi="News Gothic Cyr" w:hint="default"/>
        <w:b/>
        <w:i/>
        <w:sz w:val="24"/>
      </w:rPr>
    </w:lvl>
    <w:lvl w:ilvl="3">
      <w:start w:val="1"/>
      <w:numFmt w:val="decimal"/>
      <w:lvlText w:val="%1.%2.%3.%4."/>
      <w:lvlJc w:val="left"/>
      <w:pPr>
        <w:tabs>
          <w:tab w:val="num" w:pos="1233"/>
        </w:tabs>
        <w:ind w:left="1161" w:hanging="648"/>
      </w:pPr>
      <w:rPr>
        <w:rFonts w:hint="default"/>
      </w:rPr>
    </w:lvl>
    <w:lvl w:ilvl="4">
      <w:start w:val="1"/>
      <w:numFmt w:val="decimal"/>
      <w:lvlText w:val="%1.%2.%3.%4.%5."/>
      <w:lvlJc w:val="left"/>
      <w:pPr>
        <w:tabs>
          <w:tab w:val="num" w:pos="1953"/>
        </w:tabs>
        <w:ind w:left="1665" w:hanging="792"/>
      </w:pPr>
      <w:rPr>
        <w:rFonts w:hint="default"/>
      </w:rPr>
    </w:lvl>
    <w:lvl w:ilvl="5">
      <w:start w:val="1"/>
      <w:numFmt w:val="decimal"/>
      <w:lvlText w:val="%1.%2.%3.%4.%5.%6."/>
      <w:lvlJc w:val="left"/>
      <w:pPr>
        <w:tabs>
          <w:tab w:val="num" w:pos="2313"/>
        </w:tabs>
        <w:ind w:left="2169" w:hanging="936"/>
      </w:pPr>
      <w:rPr>
        <w:rFonts w:hint="default"/>
      </w:rPr>
    </w:lvl>
    <w:lvl w:ilvl="6">
      <w:start w:val="1"/>
      <w:numFmt w:val="decimal"/>
      <w:lvlText w:val="%1.%2.%3.%4.%5.%6.%7."/>
      <w:lvlJc w:val="left"/>
      <w:pPr>
        <w:tabs>
          <w:tab w:val="num" w:pos="3033"/>
        </w:tabs>
        <w:ind w:left="2673" w:hanging="1080"/>
      </w:pPr>
      <w:rPr>
        <w:rFonts w:hint="default"/>
      </w:rPr>
    </w:lvl>
    <w:lvl w:ilvl="7">
      <w:start w:val="1"/>
      <w:numFmt w:val="decimal"/>
      <w:lvlText w:val="%1.%2.%3.%4.%5.%6.%7.%8."/>
      <w:lvlJc w:val="left"/>
      <w:pPr>
        <w:tabs>
          <w:tab w:val="num" w:pos="3393"/>
        </w:tabs>
        <w:ind w:left="3177" w:hanging="1224"/>
      </w:pPr>
      <w:rPr>
        <w:rFonts w:hint="default"/>
      </w:rPr>
    </w:lvl>
    <w:lvl w:ilvl="8">
      <w:start w:val="1"/>
      <w:numFmt w:val="decimal"/>
      <w:lvlText w:val="%1.%2.%3.%4.%5.%6.%7.%8.%9."/>
      <w:lvlJc w:val="left"/>
      <w:pPr>
        <w:tabs>
          <w:tab w:val="num" w:pos="4113"/>
        </w:tabs>
        <w:ind w:left="3753" w:hanging="1440"/>
      </w:pPr>
      <w:rPr>
        <w:rFonts w:hint="default"/>
      </w:rPr>
    </w:lvl>
  </w:abstractNum>
  <w:abstractNum w:abstractNumId="7">
    <w:nsid w:val="7F1408C5"/>
    <w:multiLevelType w:val="multilevel"/>
    <w:tmpl w:val="6DDCFB50"/>
    <w:lvl w:ilvl="0">
      <w:start w:val="1"/>
      <w:numFmt w:val="decimal"/>
      <w:pStyle w:val="Mainnumbers"/>
      <w:lvlText w:val="%1."/>
      <w:lvlJc w:val="left"/>
      <w:pPr>
        <w:ind w:left="360" w:hanging="360"/>
      </w:pPr>
    </w:lvl>
    <w:lvl w:ilvl="1">
      <w:start w:val="1"/>
      <w:numFmt w:val="decimal"/>
      <w:pStyle w:val="SubNumbers"/>
      <w:lvlText w:val="%1.%2."/>
      <w:lvlJc w:val="left"/>
      <w:pPr>
        <w:ind w:left="792" w:hanging="432"/>
      </w:pPr>
    </w:lvl>
    <w:lvl w:ilvl="2">
      <w:start w:val="1"/>
      <w:numFmt w:val="decimal"/>
      <w:pStyle w:val="SubSubNumber"/>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
  </w:num>
  <w:num w:numId="3">
    <w:abstractNumId w:val="5"/>
  </w:num>
  <w:num w:numId="4">
    <w:abstractNumId w:val="7"/>
  </w:num>
  <w:num w:numId="5">
    <w:abstractNumId w:val="4"/>
  </w:num>
  <w:num w:numId="6">
    <w:abstractNumId w:val="1"/>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activeWritingStyle w:appName="MSWord" w:lang="en-US" w:vendorID="64" w:dllVersion="131078" w:nlCheck="1" w:checkStyle="1"/>
  <w:activeWritingStyle w:appName="MSWord" w:lang="en-GB" w:vendorID="64" w:dllVersion="131078" w:nlCheck="1" w:checkStyle="1"/>
  <w:activeWritingStyle w:appName="MSWord" w:lang="bg-BG" w:vendorID="11" w:dllVersion="512"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6"/>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C3"/>
    <w:rsid w:val="00000041"/>
    <w:rsid w:val="000003C5"/>
    <w:rsid w:val="00000571"/>
    <w:rsid w:val="000009B8"/>
    <w:rsid w:val="000016E2"/>
    <w:rsid w:val="0000284A"/>
    <w:rsid w:val="000028E7"/>
    <w:rsid w:val="00002E19"/>
    <w:rsid w:val="000032B0"/>
    <w:rsid w:val="00003431"/>
    <w:rsid w:val="000045A6"/>
    <w:rsid w:val="00004686"/>
    <w:rsid w:val="0000473D"/>
    <w:rsid w:val="0000684B"/>
    <w:rsid w:val="00006BAE"/>
    <w:rsid w:val="00006E0D"/>
    <w:rsid w:val="000077F6"/>
    <w:rsid w:val="00007AFC"/>
    <w:rsid w:val="00011A3D"/>
    <w:rsid w:val="00011DAE"/>
    <w:rsid w:val="00011E88"/>
    <w:rsid w:val="00013257"/>
    <w:rsid w:val="00013428"/>
    <w:rsid w:val="00013A0F"/>
    <w:rsid w:val="00013CE6"/>
    <w:rsid w:val="00013EE6"/>
    <w:rsid w:val="00014528"/>
    <w:rsid w:val="0001512F"/>
    <w:rsid w:val="000159B7"/>
    <w:rsid w:val="00016463"/>
    <w:rsid w:val="0001647F"/>
    <w:rsid w:val="00016A61"/>
    <w:rsid w:val="00016C7D"/>
    <w:rsid w:val="0001760B"/>
    <w:rsid w:val="00017D76"/>
    <w:rsid w:val="00017EBE"/>
    <w:rsid w:val="00020154"/>
    <w:rsid w:val="000229D2"/>
    <w:rsid w:val="00022A34"/>
    <w:rsid w:val="00024461"/>
    <w:rsid w:val="00024649"/>
    <w:rsid w:val="00024B65"/>
    <w:rsid w:val="00024EE4"/>
    <w:rsid w:val="0002534C"/>
    <w:rsid w:val="00025905"/>
    <w:rsid w:val="00026072"/>
    <w:rsid w:val="00027FA6"/>
    <w:rsid w:val="000300D9"/>
    <w:rsid w:val="000309D7"/>
    <w:rsid w:val="0003180C"/>
    <w:rsid w:val="0003194C"/>
    <w:rsid w:val="00032851"/>
    <w:rsid w:val="00032CB2"/>
    <w:rsid w:val="00032D3F"/>
    <w:rsid w:val="00034288"/>
    <w:rsid w:val="00034626"/>
    <w:rsid w:val="0003544F"/>
    <w:rsid w:val="00035A7E"/>
    <w:rsid w:val="00035AEF"/>
    <w:rsid w:val="00035AF0"/>
    <w:rsid w:val="00036D66"/>
    <w:rsid w:val="0003723F"/>
    <w:rsid w:val="000372A6"/>
    <w:rsid w:val="00040C2F"/>
    <w:rsid w:val="00041099"/>
    <w:rsid w:val="00041234"/>
    <w:rsid w:val="00041511"/>
    <w:rsid w:val="00041F08"/>
    <w:rsid w:val="00042EB2"/>
    <w:rsid w:val="00043168"/>
    <w:rsid w:val="000432F0"/>
    <w:rsid w:val="00043FFF"/>
    <w:rsid w:val="000469F2"/>
    <w:rsid w:val="00046CD6"/>
    <w:rsid w:val="00047537"/>
    <w:rsid w:val="00047632"/>
    <w:rsid w:val="00047C32"/>
    <w:rsid w:val="00050984"/>
    <w:rsid w:val="00050B58"/>
    <w:rsid w:val="00051678"/>
    <w:rsid w:val="00052250"/>
    <w:rsid w:val="000523C7"/>
    <w:rsid w:val="00052C64"/>
    <w:rsid w:val="00052D72"/>
    <w:rsid w:val="000534A3"/>
    <w:rsid w:val="00053F57"/>
    <w:rsid w:val="00054606"/>
    <w:rsid w:val="00054CA0"/>
    <w:rsid w:val="000556F7"/>
    <w:rsid w:val="000564E8"/>
    <w:rsid w:val="0005666C"/>
    <w:rsid w:val="00056A5B"/>
    <w:rsid w:val="00056FA5"/>
    <w:rsid w:val="000575D3"/>
    <w:rsid w:val="00060636"/>
    <w:rsid w:val="000608B9"/>
    <w:rsid w:val="000610AC"/>
    <w:rsid w:val="000617B9"/>
    <w:rsid w:val="00061BD0"/>
    <w:rsid w:val="00061F58"/>
    <w:rsid w:val="00062B76"/>
    <w:rsid w:val="00062F33"/>
    <w:rsid w:val="000657C1"/>
    <w:rsid w:val="000664A4"/>
    <w:rsid w:val="00066961"/>
    <w:rsid w:val="00067AF2"/>
    <w:rsid w:val="00067C56"/>
    <w:rsid w:val="00070105"/>
    <w:rsid w:val="000723C1"/>
    <w:rsid w:val="00073492"/>
    <w:rsid w:val="00073BD3"/>
    <w:rsid w:val="0007657E"/>
    <w:rsid w:val="00076C6C"/>
    <w:rsid w:val="0008045C"/>
    <w:rsid w:val="00081486"/>
    <w:rsid w:val="00082FF5"/>
    <w:rsid w:val="0008301C"/>
    <w:rsid w:val="000839FD"/>
    <w:rsid w:val="000847E0"/>
    <w:rsid w:val="00086411"/>
    <w:rsid w:val="000873AD"/>
    <w:rsid w:val="00087A03"/>
    <w:rsid w:val="000901A2"/>
    <w:rsid w:val="0009038D"/>
    <w:rsid w:val="00092E42"/>
    <w:rsid w:val="00092EF7"/>
    <w:rsid w:val="0009310E"/>
    <w:rsid w:val="000935FE"/>
    <w:rsid w:val="00095700"/>
    <w:rsid w:val="00096CBF"/>
    <w:rsid w:val="00096E0A"/>
    <w:rsid w:val="0009711E"/>
    <w:rsid w:val="000A05CE"/>
    <w:rsid w:val="000A0F0F"/>
    <w:rsid w:val="000A1654"/>
    <w:rsid w:val="000A18F8"/>
    <w:rsid w:val="000A1E6D"/>
    <w:rsid w:val="000A2BF1"/>
    <w:rsid w:val="000A3418"/>
    <w:rsid w:val="000A34F2"/>
    <w:rsid w:val="000A377F"/>
    <w:rsid w:val="000A3890"/>
    <w:rsid w:val="000A3EE6"/>
    <w:rsid w:val="000A3F0D"/>
    <w:rsid w:val="000A4771"/>
    <w:rsid w:val="000A5364"/>
    <w:rsid w:val="000A579B"/>
    <w:rsid w:val="000A5924"/>
    <w:rsid w:val="000A6355"/>
    <w:rsid w:val="000A66A7"/>
    <w:rsid w:val="000A7A97"/>
    <w:rsid w:val="000A7D69"/>
    <w:rsid w:val="000B0F2B"/>
    <w:rsid w:val="000B1819"/>
    <w:rsid w:val="000B1C6A"/>
    <w:rsid w:val="000B27B7"/>
    <w:rsid w:val="000B28B4"/>
    <w:rsid w:val="000B2A15"/>
    <w:rsid w:val="000B2F4F"/>
    <w:rsid w:val="000B3083"/>
    <w:rsid w:val="000B30FE"/>
    <w:rsid w:val="000B343F"/>
    <w:rsid w:val="000B480F"/>
    <w:rsid w:val="000B4A34"/>
    <w:rsid w:val="000B69D4"/>
    <w:rsid w:val="000B777B"/>
    <w:rsid w:val="000B79F0"/>
    <w:rsid w:val="000B7D94"/>
    <w:rsid w:val="000C03C2"/>
    <w:rsid w:val="000C0FB7"/>
    <w:rsid w:val="000C15D0"/>
    <w:rsid w:val="000C38F3"/>
    <w:rsid w:val="000C3CB4"/>
    <w:rsid w:val="000C60E3"/>
    <w:rsid w:val="000C6B48"/>
    <w:rsid w:val="000C6E5F"/>
    <w:rsid w:val="000C6F29"/>
    <w:rsid w:val="000C7723"/>
    <w:rsid w:val="000C784E"/>
    <w:rsid w:val="000C7D9D"/>
    <w:rsid w:val="000D1972"/>
    <w:rsid w:val="000D1AE1"/>
    <w:rsid w:val="000D2738"/>
    <w:rsid w:val="000D289F"/>
    <w:rsid w:val="000D28BF"/>
    <w:rsid w:val="000D3442"/>
    <w:rsid w:val="000D3604"/>
    <w:rsid w:val="000D3D97"/>
    <w:rsid w:val="000D48C7"/>
    <w:rsid w:val="000D4C66"/>
    <w:rsid w:val="000D537F"/>
    <w:rsid w:val="000D61CA"/>
    <w:rsid w:val="000D62D2"/>
    <w:rsid w:val="000D638B"/>
    <w:rsid w:val="000D657B"/>
    <w:rsid w:val="000D7B56"/>
    <w:rsid w:val="000E0112"/>
    <w:rsid w:val="000E0180"/>
    <w:rsid w:val="000E103D"/>
    <w:rsid w:val="000E2DAB"/>
    <w:rsid w:val="000E4544"/>
    <w:rsid w:val="000E456C"/>
    <w:rsid w:val="000E4B46"/>
    <w:rsid w:val="000E4B56"/>
    <w:rsid w:val="000E5568"/>
    <w:rsid w:val="000E5E19"/>
    <w:rsid w:val="000E7CDE"/>
    <w:rsid w:val="000E7DC3"/>
    <w:rsid w:val="000E7FFD"/>
    <w:rsid w:val="000F0066"/>
    <w:rsid w:val="000F0877"/>
    <w:rsid w:val="000F1F2E"/>
    <w:rsid w:val="000F222A"/>
    <w:rsid w:val="000F24E2"/>
    <w:rsid w:val="000F2ED8"/>
    <w:rsid w:val="000F3256"/>
    <w:rsid w:val="000F3D5D"/>
    <w:rsid w:val="000F3EBA"/>
    <w:rsid w:val="000F4A83"/>
    <w:rsid w:val="000F4FEC"/>
    <w:rsid w:val="000F5910"/>
    <w:rsid w:val="000F5A0B"/>
    <w:rsid w:val="000F6D9E"/>
    <w:rsid w:val="000F7EDE"/>
    <w:rsid w:val="00100E06"/>
    <w:rsid w:val="00101260"/>
    <w:rsid w:val="00101518"/>
    <w:rsid w:val="001016B1"/>
    <w:rsid w:val="001016B8"/>
    <w:rsid w:val="00101707"/>
    <w:rsid w:val="00102405"/>
    <w:rsid w:val="00103136"/>
    <w:rsid w:val="001035E7"/>
    <w:rsid w:val="00104785"/>
    <w:rsid w:val="001068F1"/>
    <w:rsid w:val="00106A90"/>
    <w:rsid w:val="00106C72"/>
    <w:rsid w:val="00106F7F"/>
    <w:rsid w:val="001072CF"/>
    <w:rsid w:val="00111709"/>
    <w:rsid w:val="00111BF5"/>
    <w:rsid w:val="00113A76"/>
    <w:rsid w:val="00113FAF"/>
    <w:rsid w:val="001147B6"/>
    <w:rsid w:val="00115992"/>
    <w:rsid w:val="00116F96"/>
    <w:rsid w:val="00117133"/>
    <w:rsid w:val="00117924"/>
    <w:rsid w:val="00120522"/>
    <w:rsid w:val="001207DC"/>
    <w:rsid w:val="00120FCC"/>
    <w:rsid w:val="001210F5"/>
    <w:rsid w:val="00121438"/>
    <w:rsid w:val="00121AA5"/>
    <w:rsid w:val="00122383"/>
    <w:rsid w:val="001228FB"/>
    <w:rsid w:val="00122F00"/>
    <w:rsid w:val="0012430F"/>
    <w:rsid w:val="0012538C"/>
    <w:rsid w:val="00125597"/>
    <w:rsid w:val="00125854"/>
    <w:rsid w:val="0012666A"/>
    <w:rsid w:val="00126764"/>
    <w:rsid w:val="00127044"/>
    <w:rsid w:val="00127255"/>
    <w:rsid w:val="00127CB4"/>
    <w:rsid w:val="00130EFA"/>
    <w:rsid w:val="00131340"/>
    <w:rsid w:val="00132B0B"/>
    <w:rsid w:val="001341A4"/>
    <w:rsid w:val="001341D9"/>
    <w:rsid w:val="001346A6"/>
    <w:rsid w:val="00134A7C"/>
    <w:rsid w:val="00134F13"/>
    <w:rsid w:val="0013500A"/>
    <w:rsid w:val="00137D58"/>
    <w:rsid w:val="00140553"/>
    <w:rsid w:val="00140B88"/>
    <w:rsid w:val="00143351"/>
    <w:rsid w:val="00143563"/>
    <w:rsid w:val="0014393C"/>
    <w:rsid w:val="001441C9"/>
    <w:rsid w:val="0014482E"/>
    <w:rsid w:val="00144B4C"/>
    <w:rsid w:val="00145783"/>
    <w:rsid w:val="00145F07"/>
    <w:rsid w:val="0014716C"/>
    <w:rsid w:val="0015070E"/>
    <w:rsid w:val="001510FD"/>
    <w:rsid w:val="001524A4"/>
    <w:rsid w:val="00154650"/>
    <w:rsid w:val="00155A28"/>
    <w:rsid w:val="00155CB5"/>
    <w:rsid w:val="00155EE6"/>
    <w:rsid w:val="00156B21"/>
    <w:rsid w:val="00156F26"/>
    <w:rsid w:val="00157013"/>
    <w:rsid w:val="00157448"/>
    <w:rsid w:val="00157A0A"/>
    <w:rsid w:val="00157CC9"/>
    <w:rsid w:val="00160443"/>
    <w:rsid w:val="0016071A"/>
    <w:rsid w:val="00160F66"/>
    <w:rsid w:val="00161882"/>
    <w:rsid w:val="00161CA5"/>
    <w:rsid w:val="00163898"/>
    <w:rsid w:val="00163E78"/>
    <w:rsid w:val="001644C8"/>
    <w:rsid w:val="001650BD"/>
    <w:rsid w:val="00166755"/>
    <w:rsid w:val="00166924"/>
    <w:rsid w:val="00167059"/>
    <w:rsid w:val="00167528"/>
    <w:rsid w:val="00167897"/>
    <w:rsid w:val="00170A45"/>
    <w:rsid w:val="00171172"/>
    <w:rsid w:val="0017134E"/>
    <w:rsid w:val="00171A25"/>
    <w:rsid w:val="00172002"/>
    <w:rsid w:val="00172202"/>
    <w:rsid w:val="00172FC0"/>
    <w:rsid w:val="001731B2"/>
    <w:rsid w:val="00174F05"/>
    <w:rsid w:val="00175600"/>
    <w:rsid w:val="00175B00"/>
    <w:rsid w:val="0017656B"/>
    <w:rsid w:val="001767D2"/>
    <w:rsid w:val="00177131"/>
    <w:rsid w:val="00177C23"/>
    <w:rsid w:val="00177D3D"/>
    <w:rsid w:val="001803A2"/>
    <w:rsid w:val="00181DAA"/>
    <w:rsid w:val="00182B8D"/>
    <w:rsid w:val="00182F8D"/>
    <w:rsid w:val="00183725"/>
    <w:rsid w:val="00183E8E"/>
    <w:rsid w:val="00184DB4"/>
    <w:rsid w:val="00185990"/>
    <w:rsid w:val="00186C89"/>
    <w:rsid w:val="00190D41"/>
    <w:rsid w:val="00192957"/>
    <w:rsid w:val="00192F96"/>
    <w:rsid w:val="00193641"/>
    <w:rsid w:val="00193E5C"/>
    <w:rsid w:val="00193E92"/>
    <w:rsid w:val="001945C8"/>
    <w:rsid w:val="0019559A"/>
    <w:rsid w:val="00195F93"/>
    <w:rsid w:val="00197076"/>
    <w:rsid w:val="0019751E"/>
    <w:rsid w:val="00197828"/>
    <w:rsid w:val="001978F3"/>
    <w:rsid w:val="00197C40"/>
    <w:rsid w:val="00197E10"/>
    <w:rsid w:val="00197F4F"/>
    <w:rsid w:val="001A0C2A"/>
    <w:rsid w:val="001A0C3E"/>
    <w:rsid w:val="001A19C2"/>
    <w:rsid w:val="001A1A99"/>
    <w:rsid w:val="001A1E43"/>
    <w:rsid w:val="001A2238"/>
    <w:rsid w:val="001A2613"/>
    <w:rsid w:val="001A357C"/>
    <w:rsid w:val="001A42AC"/>
    <w:rsid w:val="001A458B"/>
    <w:rsid w:val="001A4C1F"/>
    <w:rsid w:val="001A50E0"/>
    <w:rsid w:val="001A6168"/>
    <w:rsid w:val="001A672B"/>
    <w:rsid w:val="001A6A61"/>
    <w:rsid w:val="001A7DC4"/>
    <w:rsid w:val="001B1F22"/>
    <w:rsid w:val="001B212B"/>
    <w:rsid w:val="001B2344"/>
    <w:rsid w:val="001B27C4"/>
    <w:rsid w:val="001B359F"/>
    <w:rsid w:val="001B41DF"/>
    <w:rsid w:val="001B6366"/>
    <w:rsid w:val="001B6B2B"/>
    <w:rsid w:val="001B6F76"/>
    <w:rsid w:val="001B720A"/>
    <w:rsid w:val="001B7422"/>
    <w:rsid w:val="001C0795"/>
    <w:rsid w:val="001C0EFA"/>
    <w:rsid w:val="001C1B9B"/>
    <w:rsid w:val="001C1D69"/>
    <w:rsid w:val="001C23F0"/>
    <w:rsid w:val="001C3244"/>
    <w:rsid w:val="001C3990"/>
    <w:rsid w:val="001C3C2E"/>
    <w:rsid w:val="001C40A1"/>
    <w:rsid w:val="001C419F"/>
    <w:rsid w:val="001C4221"/>
    <w:rsid w:val="001C5C97"/>
    <w:rsid w:val="001C5E58"/>
    <w:rsid w:val="001C655A"/>
    <w:rsid w:val="001C6D2A"/>
    <w:rsid w:val="001C7761"/>
    <w:rsid w:val="001C7A07"/>
    <w:rsid w:val="001C7A22"/>
    <w:rsid w:val="001D0173"/>
    <w:rsid w:val="001D2477"/>
    <w:rsid w:val="001D3448"/>
    <w:rsid w:val="001D3AE7"/>
    <w:rsid w:val="001D510C"/>
    <w:rsid w:val="001D653D"/>
    <w:rsid w:val="001E1229"/>
    <w:rsid w:val="001E1E9D"/>
    <w:rsid w:val="001E294C"/>
    <w:rsid w:val="001E2C30"/>
    <w:rsid w:val="001E3279"/>
    <w:rsid w:val="001E33C7"/>
    <w:rsid w:val="001E362C"/>
    <w:rsid w:val="001E4426"/>
    <w:rsid w:val="001E4CE0"/>
    <w:rsid w:val="001E51BC"/>
    <w:rsid w:val="001E5D04"/>
    <w:rsid w:val="001E5FB6"/>
    <w:rsid w:val="001E69E4"/>
    <w:rsid w:val="001E6C9F"/>
    <w:rsid w:val="001E750F"/>
    <w:rsid w:val="001E7C96"/>
    <w:rsid w:val="001F06A0"/>
    <w:rsid w:val="001F0C6B"/>
    <w:rsid w:val="001F2A4C"/>
    <w:rsid w:val="001F2C29"/>
    <w:rsid w:val="001F2E05"/>
    <w:rsid w:val="001F3DB8"/>
    <w:rsid w:val="001F5081"/>
    <w:rsid w:val="001F5A78"/>
    <w:rsid w:val="001F5D33"/>
    <w:rsid w:val="001F63DA"/>
    <w:rsid w:val="001F68FE"/>
    <w:rsid w:val="001F7702"/>
    <w:rsid w:val="00200153"/>
    <w:rsid w:val="00200924"/>
    <w:rsid w:val="00201E66"/>
    <w:rsid w:val="00202C25"/>
    <w:rsid w:val="00202CED"/>
    <w:rsid w:val="00203435"/>
    <w:rsid w:val="00203D44"/>
    <w:rsid w:val="00204316"/>
    <w:rsid w:val="00204996"/>
    <w:rsid w:val="00205464"/>
    <w:rsid w:val="002062F9"/>
    <w:rsid w:val="00206996"/>
    <w:rsid w:val="00206DD2"/>
    <w:rsid w:val="00207015"/>
    <w:rsid w:val="002070AB"/>
    <w:rsid w:val="002071BD"/>
    <w:rsid w:val="002103C6"/>
    <w:rsid w:val="00210763"/>
    <w:rsid w:val="0021248C"/>
    <w:rsid w:val="00213A3B"/>
    <w:rsid w:val="00213F29"/>
    <w:rsid w:val="00215C1C"/>
    <w:rsid w:val="00215C4D"/>
    <w:rsid w:val="00216775"/>
    <w:rsid w:val="00217441"/>
    <w:rsid w:val="00217C85"/>
    <w:rsid w:val="002217A5"/>
    <w:rsid w:val="00222118"/>
    <w:rsid w:val="002240DA"/>
    <w:rsid w:val="002253C7"/>
    <w:rsid w:val="00225A9C"/>
    <w:rsid w:val="00226B28"/>
    <w:rsid w:val="00227B68"/>
    <w:rsid w:val="0023013D"/>
    <w:rsid w:val="0023052A"/>
    <w:rsid w:val="0023102F"/>
    <w:rsid w:val="00232338"/>
    <w:rsid w:val="00232E5E"/>
    <w:rsid w:val="002337D7"/>
    <w:rsid w:val="002344C6"/>
    <w:rsid w:val="00234E5E"/>
    <w:rsid w:val="00236A8D"/>
    <w:rsid w:val="00237462"/>
    <w:rsid w:val="002377DC"/>
    <w:rsid w:val="00240387"/>
    <w:rsid w:val="00241A8A"/>
    <w:rsid w:val="00241ABE"/>
    <w:rsid w:val="00241B33"/>
    <w:rsid w:val="00242005"/>
    <w:rsid w:val="00242479"/>
    <w:rsid w:val="0024252B"/>
    <w:rsid w:val="00244470"/>
    <w:rsid w:val="002468DB"/>
    <w:rsid w:val="00246BFA"/>
    <w:rsid w:val="00247C1F"/>
    <w:rsid w:val="00250690"/>
    <w:rsid w:val="002508DE"/>
    <w:rsid w:val="00250985"/>
    <w:rsid w:val="00251119"/>
    <w:rsid w:val="00251329"/>
    <w:rsid w:val="00251B6F"/>
    <w:rsid w:val="00252E6D"/>
    <w:rsid w:val="002530AF"/>
    <w:rsid w:val="00254AC3"/>
    <w:rsid w:val="00254C55"/>
    <w:rsid w:val="00256317"/>
    <w:rsid w:val="0025647A"/>
    <w:rsid w:val="00256730"/>
    <w:rsid w:val="00256954"/>
    <w:rsid w:val="00257221"/>
    <w:rsid w:val="002573C9"/>
    <w:rsid w:val="002600EE"/>
    <w:rsid w:val="00260598"/>
    <w:rsid w:val="002614C0"/>
    <w:rsid w:val="00261E32"/>
    <w:rsid w:val="00264414"/>
    <w:rsid w:val="00266E75"/>
    <w:rsid w:val="00270D30"/>
    <w:rsid w:val="002711EB"/>
    <w:rsid w:val="00271248"/>
    <w:rsid w:val="002717C5"/>
    <w:rsid w:val="00271FD6"/>
    <w:rsid w:val="002727BD"/>
    <w:rsid w:val="002735FE"/>
    <w:rsid w:val="00273917"/>
    <w:rsid w:val="00274E87"/>
    <w:rsid w:val="0027517C"/>
    <w:rsid w:val="002753A0"/>
    <w:rsid w:val="00275B91"/>
    <w:rsid w:val="0027681C"/>
    <w:rsid w:val="0027714B"/>
    <w:rsid w:val="00277B80"/>
    <w:rsid w:val="0028089B"/>
    <w:rsid w:val="002808EC"/>
    <w:rsid w:val="0028103D"/>
    <w:rsid w:val="002818BB"/>
    <w:rsid w:val="00281BAA"/>
    <w:rsid w:val="00283925"/>
    <w:rsid w:val="00283BF9"/>
    <w:rsid w:val="002841D3"/>
    <w:rsid w:val="0028420D"/>
    <w:rsid w:val="0028469B"/>
    <w:rsid w:val="0028523A"/>
    <w:rsid w:val="00285551"/>
    <w:rsid w:val="00286CCB"/>
    <w:rsid w:val="00286F36"/>
    <w:rsid w:val="002907D7"/>
    <w:rsid w:val="00290D4F"/>
    <w:rsid w:val="00290F1C"/>
    <w:rsid w:val="00291639"/>
    <w:rsid w:val="0029187D"/>
    <w:rsid w:val="002919DC"/>
    <w:rsid w:val="00291D06"/>
    <w:rsid w:val="002936B6"/>
    <w:rsid w:val="00294981"/>
    <w:rsid w:val="002950A7"/>
    <w:rsid w:val="00295F7B"/>
    <w:rsid w:val="0029626B"/>
    <w:rsid w:val="002962A2"/>
    <w:rsid w:val="002970BF"/>
    <w:rsid w:val="002A16D3"/>
    <w:rsid w:val="002A1CF3"/>
    <w:rsid w:val="002A2194"/>
    <w:rsid w:val="002A21F2"/>
    <w:rsid w:val="002A226D"/>
    <w:rsid w:val="002A2996"/>
    <w:rsid w:val="002A30E4"/>
    <w:rsid w:val="002A52FA"/>
    <w:rsid w:val="002A54B1"/>
    <w:rsid w:val="002A6E95"/>
    <w:rsid w:val="002A7D51"/>
    <w:rsid w:val="002B0914"/>
    <w:rsid w:val="002B0CF0"/>
    <w:rsid w:val="002B0F7A"/>
    <w:rsid w:val="002B3443"/>
    <w:rsid w:val="002B494E"/>
    <w:rsid w:val="002B5E67"/>
    <w:rsid w:val="002B7604"/>
    <w:rsid w:val="002B77E0"/>
    <w:rsid w:val="002B7836"/>
    <w:rsid w:val="002B788C"/>
    <w:rsid w:val="002C128C"/>
    <w:rsid w:val="002C1C01"/>
    <w:rsid w:val="002C2941"/>
    <w:rsid w:val="002C2D82"/>
    <w:rsid w:val="002C3897"/>
    <w:rsid w:val="002C3CC3"/>
    <w:rsid w:val="002C4C7C"/>
    <w:rsid w:val="002C4D60"/>
    <w:rsid w:val="002C4DBD"/>
    <w:rsid w:val="002C4FE1"/>
    <w:rsid w:val="002C534A"/>
    <w:rsid w:val="002C53AC"/>
    <w:rsid w:val="002C54A7"/>
    <w:rsid w:val="002C7171"/>
    <w:rsid w:val="002D1002"/>
    <w:rsid w:val="002D176D"/>
    <w:rsid w:val="002D2996"/>
    <w:rsid w:val="002D3A4D"/>
    <w:rsid w:val="002D4BC9"/>
    <w:rsid w:val="002D62F8"/>
    <w:rsid w:val="002D6848"/>
    <w:rsid w:val="002D70F4"/>
    <w:rsid w:val="002D77B0"/>
    <w:rsid w:val="002E045D"/>
    <w:rsid w:val="002E0C80"/>
    <w:rsid w:val="002E1503"/>
    <w:rsid w:val="002E18E3"/>
    <w:rsid w:val="002E2014"/>
    <w:rsid w:val="002E21A0"/>
    <w:rsid w:val="002E22D8"/>
    <w:rsid w:val="002E23E8"/>
    <w:rsid w:val="002E323B"/>
    <w:rsid w:val="002E3443"/>
    <w:rsid w:val="002E3FC1"/>
    <w:rsid w:val="002E4626"/>
    <w:rsid w:val="002E48F8"/>
    <w:rsid w:val="002E5EDB"/>
    <w:rsid w:val="002E6419"/>
    <w:rsid w:val="002E661F"/>
    <w:rsid w:val="002E6884"/>
    <w:rsid w:val="002E6D1A"/>
    <w:rsid w:val="002E7ADC"/>
    <w:rsid w:val="002F0304"/>
    <w:rsid w:val="002F0A25"/>
    <w:rsid w:val="002F182D"/>
    <w:rsid w:val="002F1CA0"/>
    <w:rsid w:val="002F2171"/>
    <w:rsid w:val="002F36EA"/>
    <w:rsid w:val="002F412C"/>
    <w:rsid w:val="002F41A6"/>
    <w:rsid w:val="002F427B"/>
    <w:rsid w:val="002F4758"/>
    <w:rsid w:val="002F4FAD"/>
    <w:rsid w:val="002F5D9B"/>
    <w:rsid w:val="002F61E9"/>
    <w:rsid w:val="002F67F7"/>
    <w:rsid w:val="002F69C2"/>
    <w:rsid w:val="002F6D5A"/>
    <w:rsid w:val="002F723A"/>
    <w:rsid w:val="002F7FBB"/>
    <w:rsid w:val="00300443"/>
    <w:rsid w:val="00300896"/>
    <w:rsid w:val="00301445"/>
    <w:rsid w:val="00301500"/>
    <w:rsid w:val="0030267F"/>
    <w:rsid w:val="00304526"/>
    <w:rsid w:val="00304BC1"/>
    <w:rsid w:val="00304D47"/>
    <w:rsid w:val="00305AEC"/>
    <w:rsid w:val="00305BD1"/>
    <w:rsid w:val="00306155"/>
    <w:rsid w:val="003070AE"/>
    <w:rsid w:val="00307387"/>
    <w:rsid w:val="00307E33"/>
    <w:rsid w:val="00311B46"/>
    <w:rsid w:val="00311FB6"/>
    <w:rsid w:val="003127E9"/>
    <w:rsid w:val="00312CA7"/>
    <w:rsid w:val="00313903"/>
    <w:rsid w:val="00315833"/>
    <w:rsid w:val="00315B67"/>
    <w:rsid w:val="00315E8A"/>
    <w:rsid w:val="00315FD9"/>
    <w:rsid w:val="00316218"/>
    <w:rsid w:val="00316C04"/>
    <w:rsid w:val="00316DE1"/>
    <w:rsid w:val="00317686"/>
    <w:rsid w:val="0032119E"/>
    <w:rsid w:val="00325B8A"/>
    <w:rsid w:val="0032615D"/>
    <w:rsid w:val="00326727"/>
    <w:rsid w:val="003268A9"/>
    <w:rsid w:val="00326BCA"/>
    <w:rsid w:val="00326E61"/>
    <w:rsid w:val="00326F09"/>
    <w:rsid w:val="00327B2D"/>
    <w:rsid w:val="0033000C"/>
    <w:rsid w:val="00330CD8"/>
    <w:rsid w:val="00331039"/>
    <w:rsid w:val="00331084"/>
    <w:rsid w:val="0033108C"/>
    <w:rsid w:val="00331169"/>
    <w:rsid w:val="003316EC"/>
    <w:rsid w:val="00332D43"/>
    <w:rsid w:val="00332E61"/>
    <w:rsid w:val="003335AC"/>
    <w:rsid w:val="0033588E"/>
    <w:rsid w:val="00336120"/>
    <w:rsid w:val="0033625E"/>
    <w:rsid w:val="00336B60"/>
    <w:rsid w:val="00336D65"/>
    <w:rsid w:val="00340313"/>
    <w:rsid w:val="00340334"/>
    <w:rsid w:val="00342FD3"/>
    <w:rsid w:val="00343365"/>
    <w:rsid w:val="0034369C"/>
    <w:rsid w:val="00343E0B"/>
    <w:rsid w:val="00344236"/>
    <w:rsid w:val="003450E3"/>
    <w:rsid w:val="003457EB"/>
    <w:rsid w:val="0034641B"/>
    <w:rsid w:val="00346A80"/>
    <w:rsid w:val="00347992"/>
    <w:rsid w:val="003500EF"/>
    <w:rsid w:val="003507F8"/>
    <w:rsid w:val="0035099F"/>
    <w:rsid w:val="0035174A"/>
    <w:rsid w:val="00351D0D"/>
    <w:rsid w:val="0035213E"/>
    <w:rsid w:val="00352F9D"/>
    <w:rsid w:val="00353841"/>
    <w:rsid w:val="0035395F"/>
    <w:rsid w:val="00353E85"/>
    <w:rsid w:val="003546D0"/>
    <w:rsid w:val="00354964"/>
    <w:rsid w:val="00354E76"/>
    <w:rsid w:val="00354F74"/>
    <w:rsid w:val="0035513A"/>
    <w:rsid w:val="0035517E"/>
    <w:rsid w:val="00355586"/>
    <w:rsid w:val="00355B33"/>
    <w:rsid w:val="00356307"/>
    <w:rsid w:val="00356AF7"/>
    <w:rsid w:val="0035700F"/>
    <w:rsid w:val="00357C3E"/>
    <w:rsid w:val="003605E8"/>
    <w:rsid w:val="00360DE9"/>
    <w:rsid w:val="00360E68"/>
    <w:rsid w:val="00361C31"/>
    <w:rsid w:val="00361F9A"/>
    <w:rsid w:val="00362374"/>
    <w:rsid w:val="00362A95"/>
    <w:rsid w:val="00363783"/>
    <w:rsid w:val="0036389A"/>
    <w:rsid w:val="0036399A"/>
    <w:rsid w:val="00363ECC"/>
    <w:rsid w:val="00364941"/>
    <w:rsid w:val="00364E43"/>
    <w:rsid w:val="00365205"/>
    <w:rsid w:val="0036542D"/>
    <w:rsid w:val="00365470"/>
    <w:rsid w:val="003658E9"/>
    <w:rsid w:val="00367A48"/>
    <w:rsid w:val="00367A4D"/>
    <w:rsid w:val="00367DC5"/>
    <w:rsid w:val="00367FAB"/>
    <w:rsid w:val="00370192"/>
    <w:rsid w:val="00370557"/>
    <w:rsid w:val="003706AF"/>
    <w:rsid w:val="003724E1"/>
    <w:rsid w:val="00373961"/>
    <w:rsid w:val="00373B2C"/>
    <w:rsid w:val="003758C7"/>
    <w:rsid w:val="00376AC3"/>
    <w:rsid w:val="00376ADA"/>
    <w:rsid w:val="00376DC4"/>
    <w:rsid w:val="003772C7"/>
    <w:rsid w:val="00377431"/>
    <w:rsid w:val="00377B21"/>
    <w:rsid w:val="00377DB5"/>
    <w:rsid w:val="00380588"/>
    <w:rsid w:val="003809B7"/>
    <w:rsid w:val="00380EED"/>
    <w:rsid w:val="00380FD1"/>
    <w:rsid w:val="00381053"/>
    <w:rsid w:val="00381470"/>
    <w:rsid w:val="003815A7"/>
    <w:rsid w:val="00382793"/>
    <w:rsid w:val="0038279E"/>
    <w:rsid w:val="00382A7B"/>
    <w:rsid w:val="00383656"/>
    <w:rsid w:val="00383F32"/>
    <w:rsid w:val="003847E3"/>
    <w:rsid w:val="003849BB"/>
    <w:rsid w:val="003853FA"/>
    <w:rsid w:val="00385846"/>
    <w:rsid w:val="00385A8B"/>
    <w:rsid w:val="003866BC"/>
    <w:rsid w:val="0038686A"/>
    <w:rsid w:val="00386C5F"/>
    <w:rsid w:val="0038744B"/>
    <w:rsid w:val="003900D7"/>
    <w:rsid w:val="0039020B"/>
    <w:rsid w:val="00391091"/>
    <w:rsid w:val="0039118C"/>
    <w:rsid w:val="0039483E"/>
    <w:rsid w:val="00394A2F"/>
    <w:rsid w:val="00394C06"/>
    <w:rsid w:val="00395E50"/>
    <w:rsid w:val="00397812"/>
    <w:rsid w:val="00397C49"/>
    <w:rsid w:val="003A0530"/>
    <w:rsid w:val="003A0A60"/>
    <w:rsid w:val="003A12C9"/>
    <w:rsid w:val="003A1851"/>
    <w:rsid w:val="003A1CC7"/>
    <w:rsid w:val="003A1E84"/>
    <w:rsid w:val="003A3770"/>
    <w:rsid w:val="003A3EF5"/>
    <w:rsid w:val="003A431F"/>
    <w:rsid w:val="003A45F7"/>
    <w:rsid w:val="003A5F46"/>
    <w:rsid w:val="003A6912"/>
    <w:rsid w:val="003A6BEA"/>
    <w:rsid w:val="003A6CBB"/>
    <w:rsid w:val="003A6CCC"/>
    <w:rsid w:val="003B025F"/>
    <w:rsid w:val="003B0282"/>
    <w:rsid w:val="003B0DDD"/>
    <w:rsid w:val="003B2CA5"/>
    <w:rsid w:val="003B3796"/>
    <w:rsid w:val="003B3E62"/>
    <w:rsid w:val="003B40C0"/>
    <w:rsid w:val="003B4513"/>
    <w:rsid w:val="003B62FC"/>
    <w:rsid w:val="003B7DF1"/>
    <w:rsid w:val="003C0CDE"/>
    <w:rsid w:val="003C1D4F"/>
    <w:rsid w:val="003C3C52"/>
    <w:rsid w:val="003C3D35"/>
    <w:rsid w:val="003C67FA"/>
    <w:rsid w:val="003C6C2F"/>
    <w:rsid w:val="003C6CB6"/>
    <w:rsid w:val="003C7301"/>
    <w:rsid w:val="003D09BC"/>
    <w:rsid w:val="003D0B7C"/>
    <w:rsid w:val="003D1308"/>
    <w:rsid w:val="003D2905"/>
    <w:rsid w:val="003D2F59"/>
    <w:rsid w:val="003D35E7"/>
    <w:rsid w:val="003D36FB"/>
    <w:rsid w:val="003D4ED2"/>
    <w:rsid w:val="003D571C"/>
    <w:rsid w:val="003D5BEB"/>
    <w:rsid w:val="003D6459"/>
    <w:rsid w:val="003D69A1"/>
    <w:rsid w:val="003D7EEE"/>
    <w:rsid w:val="003E053F"/>
    <w:rsid w:val="003E223E"/>
    <w:rsid w:val="003E395E"/>
    <w:rsid w:val="003E4376"/>
    <w:rsid w:val="003E4CBC"/>
    <w:rsid w:val="003E5876"/>
    <w:rsid w:val="003E69EA"/>
    <w:rsid w:val="003E6CCB"/>
    <w:rsid w:val="003F00B3"/>
    <w:rsid w:val="003F1179"/>
    <w:rsid w:val="003F1308"/>
    <w:rsid w:val="003F1659"/>
    <w:rsid w:val="003F24A5"/>
    <w:rsid w:val="003F262E"/>
    <w:rsid w:val="003F32E3"/>
    <w:rsid w:val="003F3B82"/>
    <w:rsid w:val="003F3C3E"/>
    <w:rsid w:val="003F492F"/>
    <w:rsid w:val="003F68D0"/>
    <w:rsid w:val="00401398"/>
    <w:rsid w:val="00401893"/>
    <w:rsid w:val="00401922"/>
    <w:rsid w:val="004021CF"/>
    <w:rsid w:val="00402969"/>
    <w:rsid w:val="00403035"/>
    <w:rsid w:val="00403994"/>
    <w:rsid w:val="00404581"/>
    <w:rsid w:val="00405090"/>
    <w:rsid w:val="004056E3"/>
    <w:rsid w:val="00406025"/>
    <w:rsid w:val="00406266"/>
    <w:rsid w:val="00407144"/>
    <w:rsid w:val="00410DEA"/>
    <w:rsid w:val="004114C8"/>
    <w:rsid w:val="00411B99"/>
    <w:rsid w:val="00411F42"/>
    <w:rsid w:val="00412676"/>
    <w:rsid w:val="00413061"/>
    <w:rsid w:val="00413352"/>
    <w:rsid w:val="00413808"/>
    <w:rsid w:val="00415B34"/>
    <w:rsid w:val="004162DD"/>
    <w:rsid w:val="0041744E"/>
    <w:rsid w:val="00417512"/>
    <w:rsid w:val="004175A8"/>
    <w:rsid w:val="0042005A"/>
    <w:rsid w:val="00421404"/>
    <w:rsid w:val="00421649"/>
    <w:rsid w:val="004224ED"/>
    <w:rsid w:val="00423E0E"/>
    <w:rsid w:val="004250C1"/>
    <w:rsid w:val="00425CFE"/>
    <w:rsid w:val="0042662C"/>
    <w:rsid w:val="0042693A"/>
    <w:rsid w:val="0043026B"/>
    <w:rsid w:val="0043078C"/>
    <w:rsid w:val="00430F55"/>
    <w:rsid w:val="0043153D"/>
    <w:rsid w:val="0043218F"/>
    <w:rsid w:val="00433303"/>
    <w:rsid w:val="00433523"/>
    <w:rsid w:val="00434D90"/>
    <w:rsid w:val="00435028"/>
    <w:rsid w:val="00435088"/>
    <w:rsid w:val="004353E4"/>
    <w:rsid w:val="00435C04"/>
    <w:rsid w:val="00436F6A"/>
    <w:rsid w:val="00440ACA"/>
    <w:rsid w:val="00440C1D"/>
    <w:rsid w:val="00441331"/>
    <w:rsid w:val="00441941"/>
    <w:rsid w:val="0044223F"/>
    <w:rsid w:val="004423B3"/>
    <w:rsid w:val="0044281A"/>
    <w:rsid w:val="00443A53"/>
    <w:rsid w:val="00443D66"/>
    <w:rsid w:val="00444484"/>
    <w:rsid w:val="00444D57"/>
    <w:rsid w:val="00444E3C"/>
    <w:rsid w:val="00445404"/>
    <w:rsid w:val="00445A2B"/>
    <w:rsid w:val="00445FCD"/>
    <w:rsid w:val="0044619C"/>
    <w:rsid w:val="004465E1"/>
    <w:rsid w:val="00446DE6"/>
    <w:rsid w:val="004502D5"/>
    <w:rsid w:val="00451061"/>
    <w:rsid w:val="00451466"/>
    <w:rsid w:val="00451D8E"/>
    <w:rsid w:val="00452F31"/>
    <w:rsid w:val="0045382F"/>
    <w:rsid w:val="00453F6F"/>
    <w:rsid w:val="00454A48"/>
    <w:rsid w:val="00454D2C"/>
    <w:rsid w:val="0045586C"/>
    <w:rsid w:val="00455C89"/>
    <w:rsid w:val="0046035C"/>
    <w:rsid w:val="00461B1D"/>
    <w:rsid w:val="00461DF2"/>
    <w:rsid w:val="00462739"/>
    <w:rsid w:val="00462B74"/>
    <w:rsid w:val="00462C4D"/>
    <w:rsid w:val="004632DF"/>
    <w:rsid w:val="004652A8"/>
    <w:rsid w:val="0047007E"/>
    <w:rsid w:val="00470FB1"/>
    <w:rsid w:val="0047128F"/>
    <w:rsid w:val="00471570"/>
    <w:rsid w:val="00473089"/>
    <w:rsid w:val="00474FF7"/>
    <w:rsid w:val="0047614D"/>
    <w:rsid w:val="0047676C"/>
    <w:rsid w:val="00477171"/>
    <w:rsid w:val="004779BE"/>
    <w:rsid w:val="00480EB3"/>
    <w:rsid w:val="00480FF6"/>
    <w:rsid w:val="004818E4"/>
    <w:rsid w:val="00482242"/>
    <w:rsid w:val="00482443"/>
    <w:rsid w:val="00482CFE"/>
    <w:rsid w:val="00482D97"/>
    <w:rsid w:val="00483BD6"/>
    <w:rsid w:val="00483C38"/>
    <w:rsid w:val="0048664F"/>
    <w:rsid w:val="0048676E"/>
    <w:rsid w:val="00486D0C"/>
    <w:rsid w:val="0049026B"/>
    <w:rsid w:val="00490380"/>
    <w:rsid w:val="00490561"/>
    <w:rsid w:val="0049070B"/>
    <w:rsid w:val="0049144C"/>
    <w:rsid w:val="0049174F"/>
    <w:rsid w:val="004919A1"/>
    <w:rsid w:val="00491DEE"/>
    <w:rsid w:val="00492D95"/>
    <w:rsid w:val="0049366D"/>
    <w:rsid w:val="00493D27"/>
    <w:rsid w:val="0049443E"/>
    <w:rsid w:val="004947C9"/>
    <w:rsid w:val="0049483E"/>
    <w:rsid w:val="004964D5"/>
    <w:rsid w:val="004968A5"/>
    <w:rsid w:val="0049694D"/>
    <w:rsid w:val="00497176"/>
    <w:rsid w:val="00497E75"/>
    <w:rsid w:val="004A019F"/>
    <w:rsid w:val="004A23E6"/>
    <w:rsid w:val="004A2BD0"/>
    <w:rsid w:val="004A3514"/>
    <w:rsid w:val="004A49C3"/>
    <w:rsid w:val="004A4D7A"/>
    <w:rsid w:val="004A4E80"/>
    <w:rsid w:val="004A5F77"/>
    <w:rsid w:val="004A6042"/>
    <w:rsid w:val="004A7662"/>
    <w:rsid w:val="004B006C"/>
    <w:rsid w:val="004B045C"/>
    <w:rsid w:val="004B04CF"/>
    <w:rsid w:val="004B0B79"/>
    <w:rsid w:val="004B1369"/>
    <w:rsid w:val="004B299E"/>
    <w:rsid w:val="004B2AB6"/>
    <w:rsid w:val="004B3936"/>
    <w:rsid w:val="004B3C95"/>
    <w:rsid w:val="004B4D4E"/>
    <w:rsid w:val="004B54F2"/>
    <w:rsid w:val="004B66C0"/>
    <w:rsid w:val="004B6706"/>
    <w:rsid w:val="004C0801"/>
    <w:rsid w:val="004C1718"/>
    <w:rsid w:val="004C1CC3"/>
    <w:rsid w:val="004C1DB1"/>
    <w:rsid w:val="004C2294"/>
    <w:rsid w:val="004C23AD"/>
    <w:rsid w:val="004C2598"/>
    <w:rsid w:val="004C26F7"/>
    <w:rsid w:val="004C2C6E"/>
    <w:rsid w:val="004C33AE"/>
    <w:rsid w:val="004C3BC8"/>
    <w:rsid w:val="004C3C4C"/>
    <w:rsid w:val="004C3D11"/>
    <w:rsid w:val="004C46C5"/>
    <w:rsid w:val="004C4CBB"/>
    <w:rsid w:val="004C574E"/>
    <w:rsid w:val="004C61D4"/>
    <w:rsid w:val="004C6F9D"/>
    <w:rsid w:val="004D1299"/>
    <w:rsid w:val="004D1C79"/>
    <w:rsid w:val="004D21E9"/>
    <w:rsid w:val="004D2469"/>
    <w:rsid w:val="004D2587"/>
    <w:rsid w:val="004D2635"/>
    <w:rsid w:val="004D293E"/>
    <w:rsid w:val="004D2B66"/>
    <w:rsid w:val="004D33F3"/>
    <w:rsid w:val="004D42BE"/>
    <w:rsid w:val="004D48E7"/>
    <w:rsid w:val="004D5B70"/>
    <w:rsid w:val="004E0189"/>
    <w:rsid w:val="004E21EE"/>
    <w:rsid w:val="004E2AB2"/>
    <w:rsid w:val="004E2DA2"/>
    <w:rsid w:val="004E340D"/>
    <w:rsid w:val="004E3D1F"/>
    <w:rsid w:val="004E3D2B"/>
    <w:rsid w:val="004E42BD"/>
    <w:rsid w:val="004E42F0"/>
    <w:rsid w:val="004E4D14"/>
    <w:rsid w:val="004E5C33"/>
    <w:rsid w:val="004E6124"/>
    <w:rsid w:val="004E7019"/>
    <w:rsid w:val="004E71A2"/>
    <w:rsid w:val="004F061F"/>
    <w:rsid w:val="004F0EB7"/>
    <w:rsid w:val="004F1465"/>
    <w:rsid w:val="004F1B9A"/>
    <w:rsid w:val="004F1C69"/>
    <w:rsid w:val="004F1EF3"/>
    <w:rsid w:val="004F2C33"/>
    <w:rsid w:val="004F36AB"/>
    <w:rsid w:val="004F4543"/>
    <w:rsid w:val="004F4645"/>
    <w:rsid w:val="004F4FB5"/>
    <w:rsid w:val="004F5560"/>
    <w:rsid w:val="004F75D7"/>
    <w:rsid w:val="004F7E46"/>
    <w:rsid w:val="00500262"/>
    <w:rsid w:val="005003A9"/>
    <w:rsid w:val="005006A9"/>
    <w:rsid w:val="00500A89"/>
    <w:rsid w:val="00500DD0"/>
    <w:rsid w:val="00500F35"/>
    <w:rsid w:val="00501001"/>
    <w:rsid w:val="0050108C"/>
    <w:rsid w:val="00501586"/>
    <w:rsid w:val="00501B03"/>
    <w:rsid w:val="00502A08"/>
    <w:rsid w:val="00504287"/>
    <w:rsid w:val="00504D7C"/>
    <w:rsid w:val="00504ECE"/>
    <w:rsid w:val="005058A4"/>
    <w:rsid w:val="005068DC"/>
    <w:rsid w:val="00506F8A"/>
    <w:rsid w:val="005104C3"/>
    <w:rsid w:val="00510A56"/>
    <w:rsid w:val="00510B90"/>
    <w:rsid w:val="00510FB0"/>
    <w:rsid w:val="00512752"/>
    <w:rsid w:val="00512DD4"/>
    <w:rsid w:val="005132DE"/>
    <w:rsid w:val="00513658"/>
    <w:rsid w:val="0051441F"/>
    <w:rsid w:val="00514693"/>
    <w:rsid w:val="00514904"/>
    <w:rsid w:val="00514E61"/>
    <w:rsid w:val="00515D49"/>
    <w:rsid w:val="005160AC"/>
    <w:rsid w:val="00516EA6"/>
    <w:rsid w:val="0052053D"/>
    <w:rsid w:val="00520AEA"/>
    <w:rsid w:val="00523ACE"/>
    <w:rsid w:val="00523AF4"/>
    <w:rsid w:val="005244DB"/>
    <w:rsid w:val="0052497A"/>
    <w:rsid w:val="00524C13"/>
    <w:rsid w:val="005250F0"/>
    <w:rsid w:val="00525A0D"/>
    <w:rsid w:val="00525CA1"/>
    <w:rsid w:val="005264BD"/>
    <w:rsid w:val="0052667B"/>
    <w:rsid w:val="0052681E"/>
    <w:rsid w:val="00530495"/>
    <w:rsid w:val="00530636"/>
    <w:rsid w:val="0053071A"/>
    <w:rsid w:val="00532396"/>
    <w:rsid w:val="0053386A"/>
    <w:rsid w:val="005351D2"/>
    <w:rsid w:val="00535BB3"/>
    <w:rsid w:val="00535CCF"/>
    <w:rsid w:val="005363E1"/>
    <w:rsid w:val="00536843"/>
    <w:rsid w:val="00536EBA"/>
    <w:rsid w:val="0053703F"/>
    <w:rsid w:val="005400E8"/>
    <w:rsid w:val="005402C1"/>
    <w:rsid w:val="00541089"/>
    <w:rsid w:val="00541E23"/>
    <w:rsid w:val="0054233F"/>
    <w:rsid w:val="00542508"/>
    <w:rsid w:val="00542694"/>
    <w:rsid w:val="00542DBE"/>
    <w:rsid w:val="0054389A"/>
    <w:rsid w:val="005439E0"/>
    <w:rsid w:val="00544567"/>
    <w:rsid w:val="005460BC"/>
    <w:rsid w:val="00546761"/>
    <w:rsid w:val="00546987"/>
    <w:rsid w:val="00546BAC"/>
    <w:rsid w:val="005505AB"/>
    <w:rsid w:val="00551887"/>
    <w:rsid w:val="00552A15"/>
    <w:rsid w:val="005538FA"/>
    <w:rsid w:val="00553A0E"/>
    <w:rsid w:val="005545E6"/>
    <w:rsid w:val="0055468B"/>
    <w:rsid w:val="005546AD"/>
    <w:rsid w:val="00555097"/>
    <w:rsid w:val="005559B4"/>
    <w:rsid w:val="00555CD2"/>
    <w:rsid w:val="00555E1D"/>
    <w:rsid w:val="005560D3"/>
    <w:rsid w:val="0055687B"/>
    <w:rsid w:val="005573C5"/>
    <w:rsid w:val="00557986"/>
    <w:rsid w:val="00557C36"/>
    <w:rsid w:val="0056027A"/>
    <w:rsid w:val="005603B4"/>
    <w:rsid w:val="00560AF7"/>
    <w:rsid w:val="00560CAD"/>
    <w:rsid w:val="00560D4F"/>
    <w:rsid w:val="00561FAD"/>
    <w:rsid w:val="00565142"/>
    <w:rsid w:val="00565221"/>
    <w:rsid w:val="00565DE0"/>
    <w:rsid w:val="00566D94"/>
    <w:rsid w:val="005700F3"/>
    <w:rsid w:val="00571C66"/>
    <w:rsid w:val="005720BE"/>
    <w:rsid w:val="00572814"/>
    <w:rsid w:val="00572CD0"/>
    <w:rsid w:val="00572EE1"/>
    <w:rsid w:val="00573AB9"/>
    <w:rsid w:val="00573CEF"/>
    <w:rsid w:val="00574233"/>
    <w:rsid w:val="00574A6F"/>
    <w:rsid w:val="00575729"/>
    <w:rsid w:val="00575A77"/>
    <w:rsid w:val="00576555"/>
    <w:rsid w:val="005769B4"/>
    <w:rsid w:val="00576BA4"/>
    <w:rsid w:val="0057752D"/>
    <w:rsid w:val="0058057B"/>
    <w:rsid w:val="00580977"/>
    <w:rsid w:val="00580C7B"/>
    <w:rsid w:val="005812C6"/>
    <w:rsid w:val="0058172B"/>
    <w:rsid w:val="00583274"/>
    <w:rsid w:val="00584BBF"/>
    <w:rsid w:val="00584E9E"/>
    <w:rsid w:val="0058603F"/>
    <w:rsid w:val="00586A20"/>
    <w:rsid w:val="00586F66"/>
    <w:rsid w:val="00587A34"/>
    <w:rsid w:val="00587E4B"/>
    <w:rsid w:val="00590372"/>
    <w:rsid w:val="0059089C"/>
    <w:rsid w:val="00590AF3"/>
    <w:rsid w:val="00590DF1"/>
    <w:rsid w:val="005914BA"/>
    <w:rsid w:val="00591A57"/>
    <w:rsid w:val="00591CA2"/>
    <w:rsid w:val="005920E0"/>
    <w:rsid w:val="00593A60"/>
    <w:rsid w:val="00593D72"/>
    <w:rsid w:val="00594142"/>
    <w:rsid w:val="00594D1B"/>
    <w:rsid w:val="00594D9A"/>
    <w:rsid w:val="005A0470"/>
    <w:rsid w:val="005A0CB9"/>
    <w:rsid w:val="005A1939"/>
    <w:rsid w:val="005A1D57"/>
    <w:rsid w:val="005A242C"/>
    <w:rsid w:val="005A2843"/>
    <w:rsid w:val="005A2D6C"/>
    <w:rsid w:val="005A3A67"/>
    <w:rsid w:val="005A51DC"/>
    <w:rsid w:val="005A5978"/>
    <w:rsid w:val="005A5BA7"/>
    <w:rsid w:val="005A64E0"/>
    <w:rsid w:val="005B00B9"/>
    <w:rsid w:val="005B044C"/>
    <w:rsid w:val="005B0AB5"/>
    <w:rsid w:val="005B26E0"/>
    <w:rsid w:val="005B2DCB"/>
    <w:rsid w:val="005B2EC8"/>
    <w:rsid w:val="005B30E1"/>
    <w:rsid w:val="005B543A"/>
    <w:rsid w:val="005B5451"/>
    <w:rsid w:val="005B5F8C"/>
    <w:rsid w:val="005B6FD0"/>
    <w:rsid w:val="005B7190"/>
    <w:rsid w:val="005B77D8"/>
    <w:rsid w:val="005B7BA3"/>
    <w:rsid w:val="005C0776"/>
    <w:rsid w:val="005C1243"/>
    <w:rsid w:val="005C14E3"/>
    <w:rsid w:val="005C171B"/>
    <w:rsid w:val="005C184E"/>
    <w:rsid w:val="005C1863"/>
    <w:rsid w:val="005C1DD2"/>
    <w:rsid w:val="005C25D7"/>
    <w:rsid w:val="005C2F47"/>
    <w:rsid w:val="005C3018"/>
    <w:rsid w:val="005C391D"/>
    <w:rsid w:val="005C419D"/>
    <w:rsid w:val="005C44C0"/>
    <w:rsid w:val="005C44D6"/>
    <w:rsid w:val="005C462F"/>
    <w:rsid w:val="005C5BFB"/>
    <w:rsid w:val="005C6569"/>
    <w:rsid w:val="005C6977"/>
    <w:rsid w:val="005C6D69"/>
    <w:rsid w:val="005C7298"/>
    <w:rsid w:val="005C7A2E"/>
    <w:rsid w:val="005D227F"/>
    <w:rsid w:val="005D24D5"/>
    <w:rsid w:val="005D3E08"/>
    <w:rsid w:val="005D4447"/>
    <w:rsid w:val="005D46FA"/>
    <w:rsid w:val="005D4768"/>
    <w:rsid w:val="005D4A4D"/>
    <w:rsid w:val="005D614E"/>
    <w:rsid w:val="005D6A59"/>
    <w:rsid w:val="005D6FC6"/>
    <w:rsid w:val="005D7587"/>
    <w:rsid w:val="005E03E9"/>
    <w:rsid w:val="005E0DB6"/>
    <w:rsid w:val="005E190E"/>
    <w:rsid w:val="005E1DFD"/>
    <w:rsid w:val="005E2016"/>
    <w:rsid w:val="005E22C9"/>
    <w:rsid w:val="005E2324"/>
    <w:rsid w:val="005E259D"/>
    <w:rsid w:val="005E3BEE"/>
    <w:rsid w:val="005E3D48"/>
    <w:rsid w:val="005E4198"/>
    <w:rsid w:val="005E4226"/>
    <w:rsid w:val="005E4916"/>
    <w:rsid w:val="005E51B0"/>
    <w:rsid w:val="005E5719"/>
    <w:rsid w:val="005E5CDD"/>
    <w:rsid w:val="005E5D6C"/>
    <w:rsid w:val="005E693C"/>
    <w:rsid w:val="005E7B17"/>
    <w:rsid w:val="005F13ED"/>
    <w:rsid w:val="005F1705"/>
    <w:rsid w:val="005F261E"/>
    <w:rsid w:val="005F2FC8"/>
    <w:rsid w:val="005F32CC"/>
    <w:rsid w:val="005F33E8"/>
    <w:rsid w:val="005F3D86"/>
    <w:rsid w:val="005F3DB9"/>
    <w:rsid w:val="005F4716"/>
    <w:rsid w:val="005F4B86"/>
    <w:rsid w:val="005F4F05"/>
    <w:rsid w:val="005F535F"/>
    <w:rsid w:val="005F5E75"/>
    <w:rsid w:val="005F681B"/>
    <w:rsid w:val="005F69AB"/>
    <w:rsid w:val="005F69CF"/>
    <w:rsid w:val="005F6F49"/>
    <w:rsid w:val="005F7230"/>
    <w:rsid w:val="005F7ABE"/>
    <w:rsid w:val="005F7D03"/>
    <w:rsid w:val="00600FB4"/>
    <w:rsid w:val="006011E9"/>
    <w:rsid w:val="00601C19"/>
    <w:rsid w:val="006020BE"/>
    <w:rsid w:val="006021B0"/>
    <w:rsid w:val="0060298B"/>
    <w:rsid w:val="006034FF"/>
    <w:rsid w:val="00603B87"/>
    <w:rsid w:val="006045D2"/>
    <w:rsid w:val="006046E9"/>
    <w:rsid w:val="00604B60"/>
    <w:rsid w:val="00605EE4"/>
    <w:rsid w:val="006061ED"/>
    <w:rsid w:val="00606326"/>
    <w:rsid w:val="006071F2"/>
    <w:rsid w:val="006076B0"/>
    <w:rsid w:val="00611A41"/>
    <w:rsid w:val="00611B43"/>
    <w:rsid w:val="00613B9F"/>
    <w:rsid w:val="00614928"/>
    <w:rsid w:val="00614E85"/>
    <w:rsid w:val="00615439"/>
    <w:rsid w:val="006159CF"/>
    <w:rsid w:val="00615DDB"/>
    <w:rsid w:val="0061729A"/>
    <w:rsid w:val="00620AD3"/>
    <w:rsid w:val="00621223"/>
    <w:rsid w:val="00621362"/>
    <w:rsid w:val="0062146C"/>
    <w:rsid w:val="00621B5D"/>
    <w:rsid w:val="00621FBF"/>
    <w:rsid w:val="00622188"/>
    <w:rsid w:val="00624795"/>
    <w:rsid w:val="006253E4"/>
    <w:rsid w:val="00626A42"/>
    <w:rsid w:val="00627527"/>
    <w:rsid w:val="0062764E"/>
    <w:rsid w:val="0062776A"/>
    <w:rsid w:val="006309D3"/>
    <w:rsid w:val="00631290"/>
    <w:rsid w:val="006328D2"/>
    <w:rsid w:val="00632AB0"/>
    <w:rsid w:val="00633812"/>
    <w:rsid w:val="00633951"/>
    <w:rsid w:val="00633A49"/>
    <w:rsid w:val="00635A63"/>
    <w:rsid w:val="0064030C"/>
    <w:rsid w:val="00640FE1"/>
    <w:rsid w:val="00641279"/>
    <w:rsid w:val="00641A1D"/>
    <w:rsid w:val="00642045"/>
    <w:rsid w:val="00642313"/>
    <w:rsid w:val="00642BED"/>
    <w:rsid w:val="00642C25"/>
    <w:rsid w:val="00642EAA"/>
    <w:rsid w:val="00643322"/>
    <w:rsid w:val="006441F7"/>
    <w:rsid w:val="006442F3"/>
    <w:rsid w:val="006447A3"/>
    <w:rsid w:val="00644B6E"/>
    <w:rsid w:val="00645790"/>
    <w:rsid w:val="0064649E"/>
    <w:rsid w:val="006464B1"/>
    <w:rsid w:val="00646F15"/>
    <w:rsid w:val="006473C2"/>
    <w:rsid w:val="00650585"/>
    <w:rsid w:val="00650CC3"/>
    <w:rsid w:val="00651D06"/>
    <w:rsid w:val="00652AAC"/>
    <w:rsid w:val="00652CB7"/>
    <w:rsid w:val="00653AB5"/>
    <w:rsid w:val="00653B5D"/>
    <w:rsid w:val="00653E89"/>
    <w:rsid w:val="00653FC0"/>
    <w:rsid w:val="006562C4"/>
    <w:rsid w:val="00656AAC"/>
    <w:rsid w:val="00656D17"/>
    <w:rsid w:val="00657016"/>
    <w:rsid w:val="006572AB"/>
    <w:rsid w:val="0065789D"/>
    <w:rsid w:val="00660607"/>
    <w:rsid w:val="00660D58"/>
    <w:rsid w:val="0066165E"/>
    <w:rsid w:val="00664852"/>
    <w:rsid w:val="00664920"/>
    <w:rsid w:val="00665D11"/>
    <w:rsid w:val="00665E27"/>
    <w:rsid w:val="00666791"/>
    <w:rsid w:val="0066703E"/>
    <w:rsid w:val="0066715F"/>
    <w:rsid w:val="006674EB"/>
    <w:rsid w:val="00670163"/>
    <w:rsid w:val="006705A9"/>
    <w:rsid w:val="00671A51"/>
    <w:rsid w:val="006723DC"/>
    <w:rsid w:val="00672A07"/>
    <w:rsid w:val="00672B1A"/>
    <w:rsid w:val="00673556"/>
    <w:rsid w:val="00673DCA"/>
    <w:rsid w:val="0067451D"/>
    <w:rsid w:val="00674E05"/>
    <w:rsid w:val="006751A8"/>
    <w:rsid w:val="00675544"/>
    <w:rsid w:val="00675E2B"/>
    <w:rsid w:val="00676213"/>
    <w:rsid w:val="006768E3"/>
    <w:rsid w:val="00676B3E"/>
    <w:rsid w:val="00677301"/>
    <w:rsid w:val="0067742B"/>
    <w:rsid w:val="006777FB"/>
    <w:rsid w:val="006804BD"/>
    <w:rsid w:val="00680FA6"/>
    <w:rsid w:val="00682C46"/>
    <w:rsid w:val="0068395E"/>
    <w:rsid w:val="00684BDE"/>
    <w:rsid w:val="00686473"/>
    <w:rsid w:val="00687262"/>
    <w:rsid w:val="00690053"/>
    <w:rsid w:val="00690782"/>
    <w:rsid w:val="00690EA1"/>
    <w:rsid w:val="00691732"/>
    <w:rsid w:val="006918E3"/>
    <w:rsid w:val="00691B3E"/>
    <w:rsid w:val="00691C64"/>
    <w:rsid w:val="00692CD0"/>
    <w:rsid w:val="006936FE"/>
    <w:rsid w:val="0069404C"/>
    <w:rsid w:val="006943DF"/>
    <w:rsid w:val="00694658"/>
    <w:rsid w:val="006964A6"/>
    <w:rsid w:val="006975C0"/>
    <w:rsid w:val="00697D63"/>
    <w:rsid w:val="006A0388"/>
    <w:rsid w:val="006A0988"/>
    <w:rsid w:val="006A0D1D"/>
    <w:rsid w:val="006A23A5"/>
    <w:rsid w:val="006A27A6"/>
    <w:rsid w:val="006A3BF8"/>
    <w:rsid w:val="006A4BC4"/>
    <w:rsid w:val="006A5227"/>
    <w:rsid w:val="006A5D55"/>
    <w:rsid w:val="006A6F33"/>
    <w:rsid w:val="006A7B22"/>
    <w:rsid w:val="006A7FF4"/>
    <w:rsid w:val="006B1A1A"/>
    <w:rsid w:val="006B3A71"/>
    <w:rsid w:val="006B3B6B"/>
    <w:rsid w:val="006B542F"/>
    <w:rsid w:val="006B56C2"/>
    <w:rsid w:val="006B5ED2"/>
    <w:rsid w:val="006B67A1"/>
    <w:rsid w:val="006B7337"/>
    <w:rsid w:val="006B75B0"/>
    <w:rsid w:val="006B7DC5"/>
    <w:rsid w:val="006C0EC7"/>
    <w:rsid w:val="006C14A5"/>
    <w:rsid w:val="006C1A9E"/>
    <w:rsid w:val="006C1C75"/>
    <w:rsid w:val="006C2FA7"/>
    <w:rsid w:val="006C304A"/>
    <w:rsid w:val="006C3459"/>
    <w:rsid w:val="006C44D3"/>
    <w:rsid w:val="006C459E"/>
    <w:rsid w:val="006C4815"/>
    <w:rsid w:val="006C4C53"/>
    <w:rsid w:val="006C5F38"/>
    <w:rsid w:val="006C61AA"/>
    <w:rsid w:val="006C6221"/>
    <w:rsid w:val="006C6557"/>
    <w:rsid w:val="006C6813"/>
    <w:rsid w:val="006C6ABF"/>
    <w:rsid w:val="006C6C9C"/>
    <w:rsid w:val="006C7336"/>
    <w:rsid w:val="006C79E6"/>
    <w:rsid w:val="006D003E"/>
    <w:rsid w:val="006D0F7F"/>
    <w:rsid w:val="006D1277"/>
    <w:rsid w:val="006D132A"/>
    <w:rsid w:val="006D1DD6"/>
    <w:rsid w:val="006D2837"/>
    <w:rsid w:val="006D42B8"/>
    <w:rsid w:val="006D5565"/>
    <w:rsid w:val="006D571E"/>
    <w:rsid w:val="006D68C0"/>
    <w:rsid w:val="006D6E18"/>
    <w:rsid w:val="006D6F0B"/>
    <w:rsid w:val="006D770D"/>
    <w:rsid w:val="006E0D3B"/>
    <w:rsid w:val="006E14FF"/>
    <w:rsid w:val="006E285F"/>
    <w:rsid w:val="006E2F0D"/>
    <w:rsid w:val="006E2F1D"/>
    <w:rsid w:val="006E30D3"/>
    <w:rsid w:val="006E3868"/>
    <w:rsid w:val="006E3B13"/>
    <w:rsid w:val="006E3C44"/>
    <w:rsid w:val="006E421A"/>
    <w:rsid w:val="006E4EC4"/>
    <w:rsid w:val="006E5C6B"/>
    <w:rsid w:val="006E6686"/>
    <w:rsid w:val="006E723E"/>
    <w:rsid w:val="006E76F9"/>
    <w:rsid w:val="006E7A5E"/>
    <w:rsid w:val="006E7D46"/>
    <w:rsid w:val="006E7DA3"/>
    <w:rsid w:val="006F01CF"/>
    <w:rsid w:val="006F0C38"/>
    <w:rsid w:val="006F0E03"/>
    <w:rsid w:val="006F2133"/>
    <w:rsid w:val="006F2969"/>
    <w:rsid w:val="006F3D05"/>
    <w:rsid w:val="006F405C"/>
    <w:rsid w:val="006F5171"/>
    <w:rsid w:val="006F5B02"/>
    <w:rsid w:val="006F6626"/>
    <w:rsid w:val="006F6AED"/>
    <w:rsid w:val="006F6EE0"/>
    <w:rsid w:val="006F6EFB"/>
    <w:rsid w:val="006F76C0"/>
    <w:rsid w:val="006F78EF"/>
    <w:rsid w:val="007010E6"/>
    <w:rsid w:val="00702AB0"/>
    <w:rsid w:val="007035D2"/>
    <w:rsid w:val="00703ACD"/>
    <w:rsid w:val="00703BE5"/>
    <w:rsid w:val="00703EE8"/>
    <w:rsid w:val="007044D4"/>
    <w:rsid w:val="00704620"/>
    <w:rsid w:val="007060B5"/>
    <w:rsid w:val="00706DF3"/>
    <w:rsid w:val="0070789A"/>
    <w:rsid w:val="00707B59"/>
    <w:rsid w:val="00707CF0"/>
    <w:rsid w:val="00710F7A"/>
    <w:rsid w:val="00711328"/>
    <w:rsid w:val="00713285"/>
    <w:rsid w:val="007135A6"/>
    <w:rsid w:val="0071455E"/>
    <w:rsid w:val="00714573"/>
    <w:rsid w:val="00714856"/>
    <w:rsid w:val="0071632D"/>
    <w:rsid w:val="007165CC"/>
    <w:rsid w:val="0071662F"/>
    <w:rsid w:val="007169BB"/>
    <w:rsid w:val="007174E7"/>
    <w:rsid w:val="00717DCF"/>
    <w:rsid w:val="00717FD7"/>
    <w:rsid w:val="00720194"/>
    <w:rsid w:val="007206BD"/>
    <w:rsid w:val="00721F40"/>
    <w:rsid w:val="00722ADB"/>
    <w:rsid w:val="0072340B"/>
    <w:rsid w:val="00723473"/>
    <w:rsid w:val="00723D46"/>
    <w:rsid w:val="00723E7C"/>
    <w:rsid w:val="007241D3"/>
    <w:rsid w:val="00725E78"/>
    <w:rsid w:val="00726D0E"/>
    <w:rsid w:val="007273BA"/>
    <w:rsid w:val="00727506"/>
    <w:rsid w:val="00730219"/>
    <w:rsid w:val="007308B2"/>
    <w:rsid w:val="00730DF6"/>
    <w:rsid w:val="00731976"/>
    <w:rsid w:val="007333BB"/>
    <w:rsid w:val="007339F6"/>
    <w:rsid w:val="00734AED"/>
    <w:rsid w:val="00735E27"/>
    <w:rsid w:val="007364B3"/>
    <w:rsid w:val="007366CD"/>
    <w:rsid w:val="00737C15"/>
    <w:rsid w:val="00740256"/>
    <w:rsid w:val="00741018"/>
    <w:rsid w:val="007410C6"/>
    <w:rsid w:val="007418AE"/>
    <w:rsid w:val="00741D6F"/>
    <w:rsid w:val="0074229B"/>
    <w:rsid w:val="00742A03"/>
    <w:rsid w:val="007437A9"/>
    <w:rsid w:val="007437B4"/>
    <w:rsid w:val="00743BEF"/>
    <w:rsid w:val="0074464A"/>
    <w:rsid w:val="00744EEE"/>
    <w:rsid w:val="00744F12"/>
    <w:rsid w:val="007453FE"/>
    <w:rsid w:val="00745C7D"/>
    <w:rsid w:val="00745FA6"/>
    <w:rsid w:val="00745FEF"/>
    <w:rsid w:val="00747811"/>
    <w:rsid w:val="00750A03"/>
    <w:rsid w:val="00751A51"/>
    <w:rsid w:val="00751DDB"/>
    <w:rsid w:val="0075213E"/>
    <w:rsid w:val="00752A2A"/>
    <w:rsid w:val="00753217"/>
    <w:rsid w:val="00753474"/>
    <w:rsid w:val="00754560"/>
    <w:rsid w:val="007551A5"/>
    <w:rsid w:val="007551E9"/>
    <w:rsid w:val="00755353"/>
    <w:rsid w:val="00755815"/>
    <w:rsid w:val="007569D4"/>
    <w:rsid w:val="00756E7F"/>
    <w:rsid w:val="00756F85"/>
    <w:rsid w:val="007579E4"/>
    <w:rsid w:val="00757B40"/>
    <w:rsid w:val="00757DC3"/>
    <w:rsid w:val="00760649"/>
    <w:rsid w:val="00760B8C"/>
    <w:rsid w:val="00761F87"/>
    <w:rsid w:val="00762139"/>
    <w:rsid w:val="00762C94"/>
    <w:rsid w:val="00762FC7"/>
    <w:rsid w:val="00763468"/>
    <w:rsid w:val="00763CD3"/>
    <w:rsid w:val="00764388"/>
    <w:rsid w:val="00764F58"/>
    <w:rsid w:val="007657B3"/>
    <w:rsid w:val="00766843"/>
    <w:rsid w:val="0077222F"/>
    <w:rsid w:val="00772A63"/>
    <w:rsid w:val="007733ED"/>
    <w:rsid w:val="00773990"/>
    <w:rsid w:val="007740E1"/>
    <w:rsid w:val="00774622"/>
    <w:rsid w:val="00774652"/>
    <w:rsid w:val="007747F8"/>
    <w:rsid w:val="00774D56"/>
    <w:rsid w:val="007750EC"/>
    <w:rsid w:val="00775AD9"/>
    <w:rsid w:val="00775C75"/>
    <w:rsid w:val="0077707C"/>
    <w:rsid w:val="007779AE"/>
    <w:rsid w:val="00780065"/>
    <w:rsid w:val="0078019C"/>
    <w:rsid w:val="007804ED"/>
    <w:rsid w:val="00780613"/>
    <w:rsid w:val="007809BF"/>
    <w:rsid w:val="00780D24"/>
    <w:rsid w:val="00780D2C"/>
    <w:rsid w:val="00782232"/>
    <w:rsid w:val="00782881"/>
    <w:rsid w:val="00782B65"/>
    <w:rsid w:val="00782D5F"/>
    <w:rsid w:val="00783443"/>
    <w:rsid w:val="00783F37"/>
    <w:rsid w:val="00785113"/>
    <w:rsid w:val="00785B0E"/>
    <w:rsid w:val="00791551"/>
    <w:rsid w:val="00792E45"/>
    <w:rsid w:val="007939A8"/>
    <w:rsid w:val="007942D8"/>
    <w:rsid w:val="00795098"/>
    <w:rsid w:val="00795278"/>
    <w:rsid w:val="007958EE"/>
    <w:rsid w:val="00795A63"/>
    <w:rsid w:val="007964F7"/>
    <w:rsid w:val="00796630"/>
    <w:rsid w:val="00796E52"/>
    <w:rsid w:val="00797096"/>
    <w:rsid w:val="00797E3A"/>
    <w:rsid w:val="00797FF2"/>
    <w:rsid w:val="007A0E55"/>
    <w:rsid w:val="007A1D61"/>
    <w:rsid w:val="007A2CC8"/>
    <w:rsid w:val="007A42E4"/>
    <w:rsid w:val="007A45D5"/>
    <w:rsid w:val="007A513E"/>
    <w:rsid w:val="007A57FF"/>
    <w:rsid w:val="007A6A3A"/>
    <w:rsid w:val="007A75AA"/>
    <w:rsid w:val="007A771B"/>
    <w:rsid w:val="007A7A88"/>
    <w:rsid w:val="007A7DEE"/>
    <w:rsid w:val="007B3DA3"/>
    <w:rsid w:val="007B58A5"/>
    <w:rsid w:val="007B617A"/>
    <w:rsid w:val="007B6E34"/>
    <w:rsid w:val="007B7717"/>
    <w:rsid w:val="007C01F2"/>
    <w:rsid w:val="007C0B9C"/>
    <w:rsid w:val="007C112F"/>
    <w:rsid w:val="007C1898"/>
    <w:rsid w:val="007C1E73"/>
    <w:rsid w:val="007C248F"/>
    <w:rsid w:val="007C2C5A"/>
    <w:rsid w:val="007C2C9E"/>
    <w:rsid w:val="007C36A8"/>
    <w:rsid w:val="007C3F29"/>
    <w:rsid w:val="007C40FD"/>
    <w:rsid w:val="007C49F1"/>
    <w:rsid w:val="007C5064"/>
    <w:rsid w:val="007C600B"/>
    <w:rsid w:val="007C7111"/>
    <w:rsid w:val="007C7553"/>
    <w:rsid w:val="007C7729"/>
    <w:rsid w:val="007D005B"/>
    <w:rsid w:val="007D0492"/>
    <w:rsid w:val="007D04A6"/>
    <w:rsid w:val="007D0C1A"/>
    <w:rsid w:val="007D4A19"/>
    <w:rsid w:val="007D524F"/>
    <w:rsid w:val="007D5537"/>
    <w:rsid w:val="007D7087"/>
    <w:rsid w:val="007D79FC"/>
    <w:rsid w:val="007E0A07"/>
    <w:rsid w:val="007E0ED1"/>
    <w:rsid w:val="007E15E0"/>
    <w:rsid w:val="007E1617"/>
    <w:rsid w:val="007E2111"/>
    <w:rsid w:val="007E2C3E"/>
    <w:rsid w:val="007E3648"/>
    <w:rsid w:val="007E40CA"/>
    <w:rsid w:val="007E51F3"/>
    <w:rsid w:val="007E6CC9"/>
    <w:rsid w:val="007E6F53"/>
    <w:rsid w:val="007E77DC"/>
    <w:rsid w:val="007E7AA1"/>
    <w:rsid w:val="007E7EDC"/>
    <w:rsid w:val="007F05B6"/>
    <w:rsid w:val="007F0D0C"/>
    <w:rsid w:val="007F116E"/>
    <w:rsid w:val="007F1182"/>
    <w:rsid w:val="007F202C"/>
    <w:rsid w:val="007F2C40"/>
    <w:rsid w:val="007F3469"/>
    <w:rsid w:val="007F361A"/>
    <w:rsid w:val="007F3720"/>
    <w:rsid w:val="007F3F29"/>
    <w:rsid w:val="007F4421"/>
    <w:rsid w:val="007F4786"/>
    <w:rsid w:val="007F4BB0"/>
    <w:rsid w:val="007F64F2"/>
    <w:rsid w:val="007F7496"/>
    <w:rsid w:val="00800626"/>
    <w:rsid w:val="0080084B"/>
    <w:rsid w:val="00800A2D"/>
    <w:rsid w:val="00800AB0"/>
    <w:rsid w:val="00800D61"/>
    <w:rsid w:val="00801781"/>
    <w:rsid w:val="008024EE"/>
    <w:rsid w:val="00803068"/>
    <w:rsid w:val="00806849"/>
    <w:rsid w:val="00806CF8"/>
    <w:rsid w:val="00807304"/>
    <w:rsid w:val="00807312"/>
    <w:rsid w:val="0080757F"/>
    <w:rsid w:val="00811E6E"/>
    <w:rsid w:val="008125F8"/>
    <w:rsid w:val="0081291D"/>
    <w:rsid w:val="00812A66"/>
    <w:rsid w:val="00813A33"/>
    <w:rsid w:val="00813F55"/>
    <w:rsid w:val="00816022"/>
    <w:rsid w:val="008160AA"/>
    <w:rsid w:val="008160B4"/>
    <w:rsid w:val="00816406"/>
    <w:rsid w:val="00816D0A"/>
    <w:rsid w:val="0081778B"/>
    <w:rsid w:val="00820176"/>
    <w:rsid w:val="00820207"/>
    <w:rsid w:val="00820C53"/>
    <w:rsid w:val="00820E88"/>
    <w:rsid w:val="00821A7C"/>
    <w:rsid w:val="00821BBB"/>
    <w:rsid w:val="0082201D"/>
    <w:rsid w:val="008222A9"/>
    <w:rsid w:val="008225F9"/>
    <w:rsid w:val="008230D9"/>
    <w:rsid w:val="008237D7"/>
    <w:rsid w:val="008239E5"/>
    <w:rsid w:val="00823D74"/>
    <w:rsid w:val="00823FBD"/>
    <w:rsid w:val="00823FC2"/>
    <w:rsid w:val="00824796"/>
    <w:rsid w:val="00824CA7"/>
    <w:rsid w:val="00824EA5"/>
    <w:rsid w:val="00825276"/>
    <w:rsid w:val="00825348"/>
    <w:rsid w:val="00825B34"/>
    <w:rsid w:val="00826206"/>
    <w:rsid w:val="0082622D"/>
    <w:rsid w:val="00826E64"/>
    <w:rsid w:val="00827AA1"/>
    <w:rsid w:val="00827BE7"/>
    <w:rsid w:val="00830ABD"/>
    <w:rsid w:val="00830BC9"/>
    <w:rsid w:val="00831746"/>
    <w:rsid w:val="00832E19"/>
    <w:rsid w:val="00833680"/>
    <w:rsid w:val="00835BB3"/>
    <w:rsid w:val="00836DD7"/>
    <w:rsid w:val="00837D66"/>
    <w:rsid w:val="008407F8"/>
    <w:rsid w:val="00840A8F"/>
    <w:rsid w:val="00840B0D"/>
    <w:rsid w:val="00841BC1"/>
    <w:rsid w:val="008423E3"/>
    <w:rsid w:val="008432F0"/>
    <w:rsid w:val="00843499"/>
    <w:rsid w:val="008439A2"/>
    <w:rsid w:val="00843B03"/>
    <w:rsid w:val="00843D70"/>
    <w:rsid w:val="00844758"/>
    <w:rsid w:val="00844800"/>
    <w:rsid w:val="00844A5D"/>
    <w:rsid w:val="008452B2"/>
    <w:rsid w:val="00845EAB"/>
    <w:rsid w:val="00846966"/>
    <w:rsid w:val="00850AB5"/>
    <w:rsid w:val="00850BCE"/>
    <w:rsid w:val="00852A7A"/>
    <w:rsid w:val="00854DEE"/>
    <w:rsid w:val="0085592A"/>
    <w:rsid w:val="0085611A"/>
    <w:rsid w:val="008562AB"/>
    <w:rsid w:val="008572A2"/>
    <w:rsid w:val="008575FB"/>
    <w:rsid w:val="008577A6"/>
    <w:rsid w:val="00857824"/>
    <w:rsid w:val="00860A76"/>
    <w:rsid w:val="00860DE3"/>
    <w:rsid w:val="008610F4"/>
    <w:rsid w:val="0086345D"/>
    <w:rsid w:val="00863A48"/>
    <w:rsid w:val="00863DBA"/>
    <w:rsid w:val="00863E84"/>
    <w:rsid w:val="0086461F"/>
    <w:rsid w:val="00864FB5"/>
    <w:rsid w:val="0086557A"/>
    <w:rsid w:val="008658E7"/>
    <w:rsid w:val="00865F6B"/>
    <w:rsid w:val="0086680F"/>
    <w:rsid w:val="00867E08"/>
    <w:rsid w:val="00867E91"/>
    <w:rsid w:val="00870AA4"/>
    <w:rsid w:val="0087161D"/>
    <w:rsid w:val="008716E0"/>
    <w:rsid w:val="008718CC"/>
    <w:rsid w:val="0087378F"/>
    <w:rsid w:val="00873987"/>
    <w:rsid w:val="00874362"/>
    <w:rsid w:val="00874EFC"/>
    <w:rsid w:val="008751F3"/>
    <w:rsid w:val="00875E7B"/>
    <w:rsid w:val="008768DA"/>
    <w:rsid w:val="008777AD"/>
    <w:rsid w:val="00877F8B"/>
    <w:rsid w:val="0088083E"/>
    <w:rsid w:val="00880B04"/>
    <w:rsid w:val="00880F0A"/>
    <w:rsid w:val="00881608"/>
    <w:rsid w:val="0088176B"/>
    <w:rsid w:val="00881C61"/>
    <w:rsid w:val="00882762"/>
    <w:rsid w:val="00882A7A"/>
    <w:rsid w:val="00882A89"/>
    <w:rsid w:val="00885186"/>
    <w:rsid w:val="008856F6"/>
    <w:rsid w:val="00885964"/>
    <w:rsid w:val="00886CFD"/>
    <w:rsid w:val="00887B31"/>
    <w:rsid w:val="00887F50"/>
    <w:rsid w:val="008909B8"/>
    <w:rsid w:val="00890D36"/>
    <w:rsid w:val="008914CC"/>
    <w:rsid w:val="008918D3"/>
    <w:rsid w:val="0089196E"/>
    <w:rsid w:val="00891CFA"/>
    <w:rsid w:val="0089433A"/>
    <w:rsid w:val="00895129"/>
    <w:rsid w:val="008953F2"/>
    <w:rsid w:val="008965BB"/>
    <w:rsid w:val="00896BB5"/>
    <w:rsid w:val="00896C30"/>
    <w:rsid w:val="00896D31"/>
    <w:rsid w:val="008973B6"/>
    <w:rsid w:val="00897639"/>
    <w:rsid w:val="008978C6"/>
    <w:rsid w:val="00897E8D"/>
    <w:rsid w:val="008A01DF"/>
    <w:rsid w:val="008A0E8D"/>
    <w:rsid w:val="008A17F0"/>
    <w:rsid w:val="008A2270"/>
    <w:rsid w:val="008A33D1"/>
    <w:rsid w:val="008A3562"/>
    <w:rsid w:val="008A459D"/>
    <w:rsid w:val="008A5107"/>
    <w:rsid w:val="008A766A"/>
    <w:rsid w:val="008B083D"/>
    <w:rsid w:val="008B0E19"/>
    <w:rsid w:val="008B109D"/>
    <w:rsid w:val="008B1750"/>
    <w:rsid w:val="008B19C6"/>
    <w:rsid w:val="008B2C02"/>
    <w:rsid w:val="008B30C0"/>
    <w:rsid w:val="008B36D0"/>
    <w:rsid w:val="008B3B5A"/>
    <w:rsid w:val="008B44B8"/>
    <w:rsid w:val="008B513B"/>
    <w:rsid w:val="008B5297"/>
    <w:rsid w:val="008B5F5C"/>
    <w:rsid w:val="008B6322"/>
    <w:rsid w:val="008B689B"/>
    <w:rsid w:val="008B69D9"/>
    <w:rsid w:val="008B7264"/>
    <w:rsid w:val="008B762F"/>
    <w:rsid w:val="008B7800"/>
    <w:rsid w:val="008C023E"/>
    <w:rsid w:val="008C079D"/>
    <w:rsid w:val="008C147E"/>
    <w:rsid w:val="008C341E"/>
    <w:rsid w:val="008C3EB9"/>
    <w:rsid w:val="008C47C4"/>
    <w:rsid w:val="008C54E1"/>
    <w:rsid w:val="008C553A"/>
    <w:rsid w:val="008C742B"/>
    <w:rsid w:val="008C7ACF"/>
    <w:rsid w:val="008D0115"/>
    <w:rsid w:val="008D0743"/>
    <w:rsid w:val="008D1CCC"/>
    <w:rsid w:val="008D1D49"/>
    <w:rsid w:val="008D1E64"/>
    <w:rsid w:val="008D44F0"/>
    <w:rsid w:val="008D44F9"/>
    <w:rsid w:val="008D49D3"/>
    <w:rsid w:val="008D6707"/>
    <w:rsid w:val="008D6BE8"/>
    <w:rsid w:val="008D78BA"/>
    <w:rsid w:val="008D7F1D"/>
    <w:rsid w:val="008E11FB"/>
    <w:rsid w:val="008E13B8"/>
    <w:rsid w:val="008E1617"/>
    <w:rsid w:val="008E16B8"/>
    <w:rsid w:val="008E1889"/>
    <w:rsid w:val="008E1EEE"/>
    <w:rsid w:val="008E271A"/>
    <w:rsid w:val="008E2822"/>
    <w:rsid w:val="008E3A51"/>
    <w:rsid w:val="008E411F"/>
    <w:rsid w:val="008E4373"/>
    <w:rsid w:val="008E46FE"/>
    <w:rsid w:val="008E4768"/>
    <w:rsid w:val="008E5807"/>
    <w:rsid w:val="008E5D44"/>
    <w:rsid w:val="008E5EEA"/>
    <w:rsid w:val="008E6943"/>
    <w:rsid w:val="008E79B8"/>
    <w:rsid w:val="008E7E2D"/>
    <w:rsid w:val="008F159B"/>
    <w:rsid w:val="008F2769"/>
    <w:rsid w:val="008F2CFD"/>
    <w:rsid w:val="008F30C8"/>
    <w:rsid w:val="008F335A"/>
    <w:rsid w:val="008F45D7"/>
    <w:rsid w:val="008F46F7"/>
    <w:rsid w:val="008F5FCF"/>
    <w:rsid w:val="008F61B7"/>
    <w:rsid w:val="008F6864"/>
    <w:rsid w:val="00901124"/>
    <w:rsid w:val="00901ABF"/>
    <w:rsid w:val="0090297D"/>
    <w:rsid w:val="00902DE2"/>
    <w:rsid w:val="00902F28"/>
    <w:rsid w:val="00904396"/>
    <w:rsid w:val="0090469A"/>
    <w:rsid w:val="009047C6"/>
    <w:rsid w:val="00904861"/>
    <w:rsid w:val="00904CD9"/>
    <w:rsid w:val="00904D33"/>
    <w:rsid w:val="00905AD2"/>
    <w:rsid w:val="00906866"/>
    <w:rsid w:val="00906933"/>
    <w:rsid w:val="00907EF3"/>
    <w:rsid w:val="009100E7"/>
    <w:rsid w:val="0091084F"/>
    <w:rsid w:val="00911171"/>
    <w:rsid w:val="00911486"/>
    <w:rsid w:val="009114C9"/>
    <w:rsid w:val="0091315D"/>
    <w:rsid w:val="00913271"/>
    <w:rsid w:val="00913E4B"/>
    <w:rsid w:val="00914D21"/>
    <w:rsid w:val="00915084"/>
    <w:rsid w:val="00915577"/>
    <w:rsid w:val="009156F7"/>
    <w:rsid w:val="00915CCE"/>
    <w:rsid w:val="00917463"/>
    <w:rsid w:val="009174BA"/>
    <w:rsid w:val="00920742"/>
    <w:rsid w:val="0092156D"/>
    <w:rsid w:val="00921CCF"/>
    <w:rsid w:val="00921E26"/>
    <w:rsid w:val="00923127"/>
    <w:rsid w:val="0092502F"/>
    <w:rsid w:val="0092537A"/>
    <w:rsid w:val="009257F6"/>
    <w:rsid w:val="009273F5"/>
    <w:rsid w:val="009275C3"/>
    <w:rsid w:val="00931032"/>
    <w:rsid w:val="009311A9"/>
    <w:rsid w:val="00931A38"/>
    <w:rsid w:val="009333A0"/>
    <w:rsid w:val="00933503"/>
    <w:rsid w:val="00933AFB"/>
    <w:rsid w:val="0093442E"/>
    <w:rsid w:val="00934B6D"/>
    <w:rsid w:val="00935014"/>
    <w:rsid w:val="00936F21"/>
    <w:rsid w:val="00937338"/>
    <w:rsid w:val="00940293"/>
    <w:rsid w:val="00940D3C"/>
    <w:rsid w:val="0094154D"/>
    <w:rsid w:val="00941C9C"/>
    <w:rsid w:val="00941CB7"/>
    <w:rsid w:val="00942AFB"/>
    <w:rsid w:val="00943E6A"/>
    <w:rsid w:val="009471DD"/>
    <w:rsid w:val="009476FB"/>
    <w:rsid w:val="009477C8"/>
    <w:rsid w:val="009500B7"/>
    <w:rsid w:val="00950A64"/>
    <w:rsid w:val="00950A6E"/>
    <w:rsid w:val="00951130"/>
    <w:rsid w:val="00951192"/>
    <w:rsid w:val="00951476"/>
    <w:rsid w:val="0095154D"/>
    <w:rsid w:val="009517DF"/>
    <w:rsid w:val="0095198A"/>
    <w:rsid w:val="00951B1A"/>
    <w:rsid w:val="00952357"/>
    <w:rsid w:val="00952B4D"/>
    <w:rsid w:val="00952B76"/>
    <w:rsid w:val="00953C4D"/>
    <w:rsid w:val="00953D6F"/>
    <w:rsid w:val="00955BAE"/>
    <w:rsid w:val="00961609"/>
    <w:rsid w:val="00962A5B"/>
    <w:rsid w:val="0096345A"/>
    <w:rsid w:val="0096362A"/>
    <w:rsid w:val="00963643"/>
    <w:rsid w:val="00963C1C"/>
    <w:rsid w:val="00963D12"/>
    <w:rsid w:val="00963FF2"/>
    <w:rsid w:val="00964113"/>
    <w:rsid w:val="009651B9"/>
    <w:rsid w:val="00965E2F"/>
    <w:rsid w:val="00966420"/>
    <w:rsid w:val="00966818"/>
    <w:rsid w:val="00967574"/>
    <w:rsid w:val="0097218D"/>
    <w:rsid w:val="00972516"/>
    <w:rsid w:val="00972896"/>
    <w:rsid w:val="00972B88"/>
    <w:rsid w:val="00974105"/>
    <w:rsid w:val="00974CEA"/>
    <w:rsid w:val="00976B74"/>
    <w:rsid w:val="00977B6E"/>
    <w:rsid w:val="00980E33"/>
    <w:rsid w:val="0098260E"/>
    <w:rsid w:val="009826F9"/>
    <w:rsid w:val="00983D1F"/>
    <w:rsid w:val="00983E04"/>
    <w:rsid w:val="009841F4"/>
    <w:rsid w:val="00984612"/>
    <w:rsid w:val="0098481A"/>
    <w:rsid w:val="009851C3"/>
    <w:rsid w:val="009859D8"/>
    <w:rsid w:val="00986904"/>
    <w:rsid w:val="00986B98"/>
    <w:rsid w:val="00986DC8"/>
    <w:rsid w:val="00987B90"/>
    <w:rsid w:val="00987D4D"/>
    <w:rsid w:val="00987ED4"/>
    <w:rsid w:val="00987ED7"/>
    <w:rsid w:val="0099025F"/>
    <w:rsid w:val="0099129E"/>
    <w:rsid w:val="009917FD"/>
    <w:rsid w:val="00991A79"/>
    <w:rsid w:val="00991FE8"/>
    <w:rsid w:val="00992424"/>
    <w:rsid w:val="00992736"/>
    <w:rsid w:val="00992857"/>
    <w:rsid w:val="00993282"/>
    <w:rsid w:val="00994289"/>
    <w:rsid w:val="009943FE"/>
    <w:rsid w:val="009948A8"/>
    <w:rsid w:val="0099555F"/>
    <w:rsid w:val="00995A9B"/>
    <w:rsid w:val="00995D39"/>
    <w:rsid w:val="00995D94"/>
    <w:rsid w:val="00996639"/>
    <w:rsid w:val="009968E2"/>
    <w:rsid w:val="0099787F"/>
    <w:rsid w:val="009A0A82"/>
    <w:rsid w:val="009A1164"/>
    <w:rsid w:val="009A1949"/>
    <w:rsid w:val="009A21F5"/>
    <w:rsid w:val="009A37F2"/>
    <w:rsid w:val="009A57F4"/>
    <w:rsid w:val="009A6554"/>
    <w:rsid w:val="009A793F"/>
    <w:rsid w:val="009B0515"/>
    <w:rsid w:val="009B0BD2"/>
    <w:rsid w:val="009B0FC9"/>
    <w:rsid w:val="009B18C6"/>
    <w:rsid w:val="009B1906"/>
    <w:rsid w:val="009B284D"/>
    <w:rsid w:val="009B4494"/>
    <w:rsid w:val="009B4C3E"/>
    <w:rsid w:val="009B7198"/>
    <w:rsid w:val="009B78D3"/>
    <w:rsid w:val="009B79B9"/>
    <w:rsid w:val="009C07F6"/>
    <w:rsid w:val="009C23DB"/>
    <w:rsid w:val="009C2A38"/>
    <w:rsid w:val="009C2E2C"/>
    <w:rsid w:val="009C30AA"/>
    <w:rsid w:val="009C3790"/>
    <w:rsid w:val="009C4671"/>
    <w:rsid w:val="009C47BF"/>
    <w:rsid w:val="009C49A3"/>
    <w:rsid w:val="009C4D89"/>
    <w:rsid w:val="009C571E"/>
    <w:rsid w:val="009C5CE2"/>
    <w:rsid w:val="009C5E0C"/>
    <w:rsid w:val="009C65F3"/>
    <w:rsid w:val="009C6686"/>
    <w:rsid w:val="009C66C7"/>
    <w:rsid w:val="009C6E5F"/>
    <w:rsid w:val="009C794A"/>
    <w:rsid w:val="009D00D6"/>
    <w:rsid w:val="009D030D"/>
    <w:rsid w:val="009D0400"/>
    <w:rsid w:val="009D1152"/>
    <w:rsid w:val="009D1C69"/>
    <w:rsid w:val="009D24E4"/>
    <w:rsid w:val="009D2F1D"/>
    <w:rsid w:val="009D2FFC"/>
    <w:rsid w:val="009D4271"/>
    <w:rsid w:val="009D43DD"/>
    <w:rsid w:val="009D506A"/>
    <w:rsid w:val="009D5D3B"/>
    <w:rsid w:val="009D67C4"/>
    <w:rsid w:val="009D6AA9"/>
    <w:rsid w:val="009E0020"/>
    <w:rsid w:val="009E0B7F"/>
    <w:rsid w:val="009E2021"/>
    <w:rsid w:val="009E6349"/>
    <w:rsid w:val="009E6547"/>
    <w:rsid w:val="009E694F"/>
    <w:rsid w:val="009E6CEB"/>
    <w:rsid w:val="009E7DD8"/>
    <w:rsid w:val="009E7F8A"/>
    <w:rsid w:val="009F03A6"/>
    <w:rsid w:val="009F0984"/>
    <w:rsid w:val="009F0C1C"/>
    <w:rsid w:val="009F0C1D"/>
    <w:rsid w:val="009F1D22"/>
    <w:rsid w:val="009F2B4E"/>
    <w:rsid w:val="009F39A4"/>
    <w:rsid w:val="009F4583"/>
    <w:rsid w:val="009F4910"/>
    <w:rsid w:val="009F4BAF"/>
    <w:rsid w:val="009F5BF2"/>
    <w:rsid w:val="009F74D0"/>
    <w:rsid w:val="00A0006B"/>
    <w:rsid w:val="00A00A56"/>
    <w:rsid w:val="00A00A93"/>
    <w:rsid w:val="00A00B6F"/>
    <w:rsid w:val="00A04ECE"/>
    <w:rsid w:val="00A04F60"/>
    <w:rsid w:val="00A0539E"/>
    <w:rsid w:val="00A05D3C"/>
    <w:rsid w:val="00A060DF"/>
    <w:rsid w:val="00A0653D"/>
    <w:rsid w:val="00A066F9"/>
    <w:rsid w:val="00A06F8C"/>
    <w:rsid w:val="00A11B1B"/>
    <w:rsid w:val="00A135FD"/>
    <w:rsid w:val="00A13C0D"/>
    <w:rsid w:val="00A15601"/>
    <w:rsid w:val="00A164F7"/>
    <w:rsid w:val="00A16714"/>
    <w:rsid w:val="00A16BFC"/>
    <w:rsid w:val="00A16F30"/>
    <w:rsid w:val="00A2073D"/>
    <w:rsid w:val="00A21F0A"/>
    <w:rsid w:val="00A22320"/>
    <w:rsid w:val="00A2285B"/>
    <w:rsid w:val="00A23C89"/>
    <w:rsid w:val="00A246F1"/>
    <w:rsid w:val="00A247B5"/>
    <w:rsid w:val="00A25243"/>
    <w:rsid w:val="00A2579A"/>
    <w:rsid w:val="00A25AB8"/>
    <w:rsid w:val="00A25FC6"/>
    <w:rsid w:val="00A2698B"/>
    <w:rsid w:val="00A2721B"/>
    <w:rsid w:val="00A27938"/>
    <w:rsid w:val="00A30E78"/>
    <w:rsid w:val="00A3251C"/>
    <w:rsid w:val="00A325E3"/>
    <w:rsid w:val="00A32757"/>
    <w:rsid w:val="00A32E7F"/>
    <w:rsid w:val="00A33F82"/>
    <w:rsid w:val="00A3512C"/>
    <w:rsid w:val="00A35988"/>
    <w:rsid w:val="00A4005D"/>
    <w:rsid w:val="00A407A6"/>
    <w:rsid w:val="00A40CD4"/>
    <w:rsid w:val="00A41CEF"/>
    <w:rsid w:val="00A42EE1"/>
    <w:rsid w:val="00A4310F"/>
    <w:rsid w:val="00A43561"/>
    <w:rsid w:val="00A45F20"/>
    <w:rsid w:val="00A46DD9"/>
    <w:rsid w:val="00A474BB"/>
    <w:rsid w:val="00A500BA"/>
    <w:rsid w:val="00A50C23"/>
    <w:rsid w:val="00A50F97"/>
    <w:rsid w:val="00A513B8"/>
    <w:rsid w:val="00A51639"/>
    <w:rsid w:val="00A5166A"/>
    <w:rsid w:val="00A51FC9"/>
    <w:rsid w:val="00A5251F"/>
    <w:rsid w:val="00A52F59"/>
    <w:rsid w:val="00A537A3"/>
    <w:rsid w:val="00A53F93"/>
    <w:rsid w:val="00A5409B"/>
    <w:rsid w:val="00A54B7D"/>
    <w:rsid w:val="00A54E12"/>
    <w:rsid w:val="00A54E67"/>
    <w:rsid w:val="00A55057"/>
    <w:rsid w:val="00A559A6"/>
    <w:rsid w:val="00A57F93"/>
    <w:rsid w:val="00A6086C"/>
    <w:rsid w:val="00A608AC"/>
    <w:rsid w:val="00A6240E"/>
    <w:rsid w:val="00A6295E"/>
    <w:rsid w:val="00A62B4D"/>
    <w:rsid w:val="00A64CBD"/>
    <w:rsid w:val="00A64E68"/>
    <w:rsid w:val="00A6568D"/>
    <w:rsid w:val="00A656C1"/>
    <w:rsid w:val="00A657ED"/>
    <w:rsid w:val="00A67A91"/>
    <w:rsid w:val="00A70822"/>
    <w:rsid w:val="00A70965"/>
    <w:rsid w:val="00A7104F"/>
    <w:rsid w:val="00A7331A"/>
    <w:rsid w:val="00A73956"/>
    <w:rsid w:val="00A740E9"/>
    <w:rsid w:val="00A75F8B"/>
    <w:rsid w:val="00A75F9D"/>
    <w:rsid w:val="00A772D2"/>
    <w:rsid w:val="00A77823"/>
    <w:rsid w:val="00A83688"/>
    <w:rsid w:val="00A83D1E"/>
    <w:rsid w:val="00A83FAE"/>
    <w:rsid w:val="00A8474B"/>
    <w:rsid w:val="00A84E6E"/>
    <w:rsid w:val="00A85845"/>
    <w:rsid w:val="00A85B27"/>
    <w:rsid w:val="00A86E92"/>
    <w:rsid w:val="00A87193"/>
    <w:rsid w:val="00A90CF7"/>
    <w:rsid w:val="00A90DC9"/>
    <w:rsid w:val="00A916CF"/>
    <w:rsid w:val="00A918DA"/>
    <w:rsid w:val="00A91955"/>
    <w:rsid w:val="00A91CD6"/>
    <w:rsid w:val="00A923FE"/>
    <w:rsid w:val="00A92527"/>
    <w:rsid w:val="00A92738"/>
    <w:rsid w:val="00A93873"/>
    <w:rsid w:val="00A94F48"/>
    <w:rsid w:val="00A959F0"/>
    <w:rsid w:val="00A95BA3"/>
    <w:rsid w:val="00AA0661"/>
    <w:rsid w:val="00AA0C64"/>
    <w:rsid w:val="00AA113C"/>
    <w:rsid w:val="00AA16E4"/>
    <w:rsid w:val="00AA19AD"/>
    <w:rsid w:val="00AA1E3F"/>
    <w:rsid w:val="00AA209C"/>
    <w:rsid w:val="00AA2592"/>
    <w:rsid w:val="00AA2602"/>
    <w:rsid w:val="00AA461F"/>
    <w:rsid w:val="00AA4A0A"/>
    <w:rsid w:val="00AA4D1F"/>
    <w:rsid w:val="00AA51F3"/>
    <w:rsid w:val="00AA583A"/>
    <w:rsid w:val="00AA617A"/>
    <w:rsid w:val="00AA6ADC"/>
    <w:rsid w:val="00AB072A"/>
    <w:rsid w:val="00AB10F6"/>
    <w:rsid w:val="00AB27E9"/>
    <w:rsid w:val="00AB2B80"/>
    <w:rsid w:val="00AB3112"/>
    <w:rsid w:val="00AB3701"/>
    <w:rsid w:val="00AB53AF"/>
    <w:rsid w:val="00AB54A9"/>
    <w:rsid w:val="00AB6232"/>
    <w:rsid w:val="00AB664A"/>
    <w:rsid w:val="00AB7770"/>
    <w:rsid w:val="00AC0853"/>
    <w:rsid w:val="00AC21AC"/>
    <w:rsid w:val="00AC2EA9"/>
    <w:rsid w:val="00AC3501"/>
    <w:rsid w:val="00AC3C08"/>
    <w:rsid w:val="00AC4075"/>
    <w:rsid w:val="00AC4D1A"/>
    <w:rsid w:val="00AC5D0F"/>
    <w:rsid w:val="00AC62A3"/>
    <w:rsid w:val="00AC63D9"/>
    <w:rsid w:val="00AC64FE"/>
    <w:rsid w:val="00AC7CFA"/>
    <w:rsid w:val="00AD0051"/>
    <w:rsid w:val="00AD03AC"/>
    <w:rsid w:val="00AD0C94"/>
    <w:rsid w:val="00AD0FE1"/>
    <w:rsid w:val="00AD1244"/>
    <w:rsid w:val="00AD2A30"/>
    <w:rsid w:val="00AD3FDE"/>
    <w:rsid w:val="00AD44AF"/>
    <w:rsid w:val="00AD5ED1"/>
    <w:rsid w:val="00AD73E6"/>
    <w:rsid w:val="00AD7708"/>
    <w:rsid w:val="00AD7B36"/>
    <w:rsid w:val="00AE023A"/>
    <w:rsid w:val="00AE0B75"/>
    <w:rsid w:val="00AE0D4B"/>
    <w:rsid w:val="00AE0EB0"/>
    <w:rsid w:val="00AE1846"/>
    <w:rsid w:val="00AE19C8"/>
    <w:rsid w:val="00AE3183"/>
    <w:rsid w:val="00AE4056"/>
    <w:rsid w:val="00AE4D9A"/>
    <w:rsid w:val="00AE5199"/>
    <w:rsid w:val="00AE5721"/>
    <w:rsid w:val="00AE580B"/>
    <w:rsid w:val="00AE7C14"/>
    <w:rsid w:val="00AE7E5A"/>
    <w:rsid w:val="00AF0309"/>
    <w:rsid w:val="00AF0D82"/>
    <w:rsid w:val="00AF1838"/>
    <w:rsid w:val="00AF18A8"/>
    <w:rsid w:val="00AF242F"/>
    <w:rsid w:val="00AF27EF"/>
    <w:rsid w:val="00AF2B20"/>
    <w:rsid w:val="00AF32B3"/>
    <w:rsid w:val="00AF3372"/>
    <w:rsid w:val="00AF34EB"/>
    <w:rsid w:val="00AF49EC"/>
    <w:rsid w:val="00AF4D6F"/>
    <w:rsid w:val="00AF5CA3"/>
    <w:rsid w:val="00AF6015"/>
    <w:rsid w:val="00AF65D9"/>
    <w:rsid w:val="00AF74D9"/>
    <w:rsid w:val="00B000BA"/>
    <w:rsid w:val="00B00BD1"/>
    <w:rsid w:val="00B0147B"/>
    <w:rsid w:val="00B01B38"/>
    <w:rsid w:val="00B0301F"/>
    <w:rsid w:val="00B031E7"/>
    <w:rsid w:val="00B049FE"/>
    <w:rsid w:val="00B04A6F"/>
    <w:rsid w:val="00B05AD0"/>
    <w:rsid w:val="00B05C92"/>
    <w:rsid w:val="00B05ECD"/>
    <w:rsid w:val="00B0705D"/>
    <w:rsid w:val="00B076BB"/>
    <w:rsid w:val="00B07739"/>
    <w:rsid w:val="00B07781"/>
    <w:rsid w:val="00B07C88"/>
    <w:rsid w:val="00B1074F"/>
    <w:rsid w:val="00B112F7"/>
    <w:rsid w:val="00B121DB"/>
    <w:rsid w:val="00B14289"/>
    <w:rsid w:val="00B15188"/>
    <w:rsid w:val="00B15AFD"/>
    <w:rsid w:val="00B15E94"/>
    <w:rsid w:val="00B176ED"/>
    <w:rsid w:val="00B1799D"/>
    <w:rsid w:val="00B17C44"/>
    <w:rsid w:val="00B17DEE"/>
    <w:rsid w:val="00B20B10"/>
    <w:rsid w:val="00B2148C"/>
    <w:rsid w:val="00B229CB"/>
    <w:rsid w:val="00B2319A"/>
    <w:rsid w:val="00B2354A"/>
    <w:rsid w:val="00B2463D"/>
    <w:rsid w:val="00B24815"/>
    <w:rsid w:val="00B24C35"/>
    <w:rsid w:val="00B259E9"/>
    <w:rsid w:val="00B2730B"/>
    <w:rsid w:val="00B3081A"/>
    <w:rsid w:val="00B30AED"/>
    <w:rsid w:val="00B30EB6"/>
    <w:rsid w:val="00B31BB4"/>
    <w:rsid w:val="00B32C82"/>
    <w:rsid w:val="00B32E57"/>
    <w:rsid w:val="00B33BC6"/>
    <w:rsid w:val="00B3564B"/>
    <w:rsid w:val="00B36094"/>
    <w:rsid w:val="00B36661"/>
    <w:rsid w:val="00B37D37"/>
    <w:rsid w:val="00B37E4D"/>
    <w:rsid w:val="00B4141F"/>
    <w:rsid w:val="00B415C4"/>
    <w:rsid w:val="00B42039"/>
    <w:rsid w:val="00B4482A"/>
    <w:rsid w:val="00B4517F"/>
    <w:rsid w:val="00B462A7"/>
    <w:rsid w:val="00B47F08"/>
    <w:rsid w:val="00B50EB5"/>
    <w:rsid w:val="00B5288E"/>
    <w:rsid w:val="00B530C5"/>
    <w:rsid w:val="00B53128"/>
    <w:rsid w:val="00B533E7"/>
    <w:rsid w:val="00B549E1"/>
    <w:rsid w:val="00B5502D"/>
    <w:rsid w:val="00B56324"/>
    <w:rsid w:val="00B56356"/>
    <w:rsid w:val="00B56712"/>
    <w:rsid w:val="00B57370"/>
    <w:rsid w:val="00B5773B"/>
    <w:rsid w:val="00B604D7"/>
    <w:rsid w:val="00B62B56"/>
    <w:rsid w:val="00B62E0C"/>
    <w:rsid w:val="00B62FE2"/>
    <w:rsid w:val="00B6345B"/>
    <w:rsid w:val="00B65145"/>
    <w:rsid w:val="00B652A2"/>
    <w:rsid w:val="00B65AEF"/>
    <w:rsid w:val="00B66212"/>
    <w:rsid w:val="00B670D2"/>
    <w:rsid w:val="00B700DC"/>
    <w:rsid w:val="00B7019A"/>
    <w:rsid w:val="00B7080C"/>
    <w:rsid w:val="00B710B7"/>
    <w:rsid w:val="00B71455"/>
    <w:rsid w:val="00B71A52"/>
    <w:rsid w:val="00B71BB8"/>
    <w:rsid w:val="00B7219D"/>
    <w:rsid w:val="00B72528"/>
    <w:rsid w:val="00B73132"/>
    <w:rsid w:val="00B74238"/>
    <w:rsid w:val="00B7629C"/>
    <w:rsid w:val="00B76968"/>
    <w:rsid w:val="00B82C06"/>
    <w:rsid w:val="00B83F33"/>
    <w:rsid w:val="00B85953"/>
    <w:rsid w:val="00B85FFF"/>
    <w:rsid w:val="00B86200"/>
    <w:rsid w:val="00B876BB"/>
    <w:rsid w:val="00B9053A"/>
    <w:rsid w:val="00B90924"/>
    <w:rsid w:val="00B910E9"/>
    <w:rsid w:val="00B92BE1"/>
    <w:rsid w:val="00B934AB"/>
    <w:rsid w:val="00B93B72"/>
    <w:rsid w:val="00B9438A"/>
    <w:rsid w:val="00B950EA"/>
    <w:rsid w:val="00B95553"/>
    <w:rsid w:val="00B97093"/>
    <w:rsid w:val="00BA02EA"/>
    <w:rsid w:val="00BA03DD"/>
    <w:rsid w:val="00BA0490"/>
    <w:rsid w:val="00BA19CA"/>
    <w:rsid w:val="00BA2FEF"/>
    <w:rsid w:val="00BA3232"/>
    <w:rsid w:val="00BA3D26"/>
    <w:rsid w:val="00BA3FE9"/>
    <w:rsid w:val="00BA40BC"/>
    <w:rsid w:val="00BA4CF8"/>
    <w:rsid w:val="00BA5492"/>
    <w:rsid w:val="00BA5E0B"/>
    <w:rsid w:val="00BA6528"/>
    <w:rsid w:val="00BA6F97"/>
    <w:rsid w:val="00BA70B8"/>
    <w:rsid w:val="00BA72AA"/>
    <w:rsid w:val="00BA7DC9"/>
    <w:rsid w:val="00BA7FDB"/>
    <w:rsid w:val="00BB018C"/>
    <w:rsid w:val="00BB1BEB"/>
    <w:rsid w:val="00BB266B"/>
    <w:rsid w:val="00BB2AA1"/>
    <w:rsid w:val="00BB3934"/>
    <w:rsid w:val="00BB404C"/>
    <w:rsid w:val="00BB5581"/>
    <w:rsid w:val="00BB62E0"/>
    <w:rsid w:val="00BB68BF"/>
    <w:rsid w:val="00BC25F1"/>
    <w:rsid w:val="00BC26DB"/>
    <w:rsid w:val="00BC4777"/>
    <w:rsid w:val="00BC4BF0"/>
    <w:rsid w:val="00BC5066"/>
    <w:rsid w:val="00BC5267"/>
    <w:rsid w:val="00BC52B7"/>
    <w:rsid w:val="00BC596E"/>
    <w:rsid w:val="00BC6023"/>
    <w:rsid w:val="00BC6155"/>
    <w:rsid w:val="00BC62BB"/>
    <w:rsid w:val="00BC7A89"/>
    <w:rsid w:val="00BD07DB"/>
    <w:rsid w:val="00BD0C38"/>
    <w:rsid w:val="00BD15D6"/>
    <w:rsid w:val="00BD3D98"/>
    <w:rsid w:val="00BD4026"/>
    <w:rsid w:val="00BD46FA"/>
    <w:rsid w:val="00BD4728"/>
    <w:rsid w:val="00BD5108"/>
    <w:rsid w:val="00BD5A6E"/>
    <w:rsid w:val="00BD724A"/>
    <w:rsid w:val="00BD778B"/>
    <w:rsid w:val="00BD7B38"/>
    <w:rsid w:val="00BE0D85"/>
    <w:rsid w:val="00BE111F"/>
    <w:rsid w:val="00BE2407"/>
    <w:rsid w:val="00BE3F38"/>
    <w:rsid w:val="00BE586D"/>
    <w:rsid w:val="00BE5917"/>
    <w:rsid w:val="00BE7A77"/>
    <w:rsid w:val="00BE7EE7"/>
    <w:rsid w:val="00BF19C3"/>
    <w:rsid w:val="00BF1E4C"/>
    <w:rsid w:val="00BF405F"/>
    <w:rsid w:val="00BF4A0C"/>
    <w:rsid w:val="00BF5438"/>
    <w:rsid w:val="00BF5AB9"/>
    <w:rsid w:val="00BF5D00"/>
    <w:rsid w:val="00BF6339"/>
    <w:rsid w:val="00BF6699"/>
    <w:rsid w:val="00BF6FFD"/>
    <w:rsid w:val="00BF7078"/>
    <w:rsid w:val="00BF78B4"/>
    <w:rsid w:val="00BF7A2A"/>
    <w:rsid w:val="00BF7BC7"/>
    <w:rsid w:val="00C00140"/>
    <w:rsid w:val="00C008EE"/>
    <w:rsid w:val="00C01962"/>
    <w:rsid w:val="00C01FAF"/>
    <w:rsid w:val="00C021D8"/>
    <w:rsid w:val="00C02C2C"/>
    <w:rsid w:val="00C02E1F"/>
    <w:rsid w:val="00C02F0B"/>
    <w:rsid w:val="00C0372F"/>
    <w:rsid w:val="00C0498A"/>
    <w:rsid w:val="00C068AD"/>
    <w:rsid w:val="00C0707B"/>
    <w:rsid w:val="00C07923"/>
    <w:rsid w:val="00C079D4"/>
    <w:rsid w:val="00C07D51"/>
    <w:rsid w:val="00C10666"/>
    <w:rsid w:val="00C11DF4"/>
    <w:rsid w:val="00C12A7A"/>
    <w:rsid w:val="00C1444D"/>
    <w:rsid w:val="00C15009"/>
    <w:rsid w:val="00C15CA0"/>
    <w:rsid w:val="00C15D65"/>
    <w:rsid w:val="00C176A0"/>
    <w:rsid w:val="00C17EF6"/>
    <w:rsid w:val="00C20031"/>
    <w:rsid w:val="00C20F8F"/>
    <w:rsid w:val="00C22210"/>
    <w:rsid w:val="00C222F3"/>
    <w:rsid w:val="00C22881"/>
    <w:rsid w:val="00C22CDC"/>
    <w:rsid w:val="00C23BF4"/>
    <w:rsid w:val="00C23F8C"/>
    <w:rsid w:val="00C24DB5"/>
    <w:rsid w:val="00C25AE2"/>
    <w:rsid w:val="00C2636C"/>
    <w:rsid w:val="00C265F7"/>
    <w:rsid w:val="00C2687D"/>
    <w:rsid w:val="00C271F3"/>
    <w:rsid w:val="00C27641"/>
    <w:rsid w:val="00C314C8"/>
    <w:rsid w:val="00C31DFD"/>
    <w:rsid w:val="00C32822"/>
    <w:rsid w:val="00C32ACE"/>
    <w:rsid w:val="00C32D38"/>
    <w:rsid w:val="00C32FEE"/>
    <w:rsid w:val="00C33583"/>
    <w:rsid w:val="00C34500"/>
    <w:rsid w:val="00C35787"/>
    <w:rsid w:val="00C36CEC"/>
    <w:rsid w:val="00C40E79"/>
    <w:rsid w:val="00C42178"/>
    <w:rsid w:val="00C42F50"/>
    <w:rsid w:val="00C43B1E"/>
    <w:rsid w:val="00C43E77"/>
    <w:rsid w:val="00C4520E"/>
    <w:rsid w:val="00C47216"/>
    <w:rsid w:val="00C478C4"/>
    <w:rsid w:val="00C47A38"/>
    <w:rsid w:val="00C50657"/>
    <w:rsid w:val="00C50B49"/>
    <w:rsid w:val="00C5194B"/>
    <w:rsid w:val="00C5207D"/>
    <w:rsid w:val="00C525C0"/>
    <w:rsid w:val="00C528DA"/>
    <w:rsid w:val="00C53E9A"/>
    <w:rsid w:val="00C543B0"/>
    <w:rsid w:val="00C55CC6"/>
    <w:rsid w:val="00C56C13"/>
    <w:rsid w:val="00C56CCA"/>
    <w:rsid w:val="00C5723D"/>
    <w:rsid w:val="00C57A3B"/>
    <w:rsid w:val="00C607AF"/>
    <w:rsid w:val="00C607E8"/>
    <w:rsid w:val="00C60B14"/>
    <w:rsid w:val="00C60D56"/>
    <w:rsid w:val="00C614F1"/>
    <w:rsid w:val="00C619B5"/>
    <w:rsid w:val="00C625A6"/>
    <w:rsid w:val="00C64AD7"/>
    <w:rsid w:val="00C64B7B"/>
    <w:rsid w:val="00C64C85"/>
    <w:rsid w:val="00C66627"/>
    <w:rsid w:val="00C6798B"/>
    <w:rsid w:val="00C67D3E"/>
    <w:rsid w:val="00C7064E"/>
    <w:rsid w:val="00C70AB5"/>
    <w:rsid w:val="00C70EC9"/>
    <w:rsid w:val="00C70FF4"/>
    <w:rsid w:val="00C720B4"/>
    <w:rsid w:val="00C7255D"/>
    <w:rsid w:val="00C72659"/>
    <w:rsid w:val="00C7330E"/>
    <w:rsid w:val="00C737FD"/>
    <w:rsid w:val="00C74BF8"/>
    <w:rsid w:val="00C75D08"/>
    <w:rsid w:val="00C76720"/>
    <w:rsid w:val="00C76B84"/>
    <w:rsid w:val="00C76C2D"/>
    <w:rsid w:val="00C809F6"/>
    <w:rsid w:val="00C80E3F"/>
    <w:rsid w:val="00C810E9"/>
    <w:rsid w:val="00C816E8"/>
    <w:rsid w:val="00C82AFD"/>
    <w:rsid w:val="00C835B9"/>
    <w:rsid w:val="00C84A8C"/>
    <w:rsid w:val="00C84B30"/>
    <w:rsid w:val="00C85987"/>
    <w:rsid w:val="00C85FE0"/>
    <w:rsid w:val="00C86580"/>
    <w:rsid w:val="00C8669F"/>
    <w:rsid w:val="00C8673C"/>
    <w:rsid w:val="00C87419"/>
    <w:rsid w:val="00C875BC"/>
    <w:rsid w:val="00C907ED"/>
    <w:rsid w:val="00C918C0"/>
    <w:rsid w:val="00C91ACA"/>
    <w:rsid w:val="00C91EDF"/>
    <w:rsid w:val="00C932FC"/>
    <w:rsid w:val="00C93500"/>
    <w:rsid w:val="00C93788"/>
    <w:rsid w:val="00C9448E"/>
    <w:rsid w:val="00C945C9"/>
    <w:rsid w:val="00C949B8"/>
    <w:rsid w:val="00C94B35"/>
    <w:rsid w:val="00C94D37"/>
    <w:rsid w:val="00C94F86"/>
    <w:rsid w:val="00C976FF"/>
    <w:rsid w:val="00C97D4F"/>
    <w:rsid w:val="00CA0FBA"/>
    <w:rsid w:val="00CA10DA"/>
    <w:rsid w:val="00CA1A93"/>
    <w:rsid w:val="00CA1D90"/>
    <w:rsid w:val="00CA1E59"/>
    <w:rsid w:val="00CA2293"/>
    <w:rsid w:val="00CA25A2"/>
    <w:rsid w:val="00CA30BB"/>
    <w:rsid w:val="00CA35F7"/>
    <w:rsid w:val="00CA3FB7"/>
    <w:rsid w:val="00CA595D"/>
    <w:rsid w:val="00CA65F3"/>
    <w:rsid w:val="00CA6FD5"/>
    <w:rsid w:val="00CA7528"/>
    <w:rsid w:val="00CB12B6"/>
    <w:rsid w:val="00CB13ED"/>
    <w:rsid w:val="00CB172D"/>
    <w:rsid w:val="00CB1BD8"/>
    <w:rsid w:val="00CB1E16"/>
    <w:rsid w:val="00CB2BE3"/>
    <w:rsid w:val="00CB380E"/>
    <w:rsid w:val="00CB3A1F"/>
    <w:rsid w:val="00CB4A5D"/>
    <w:rsid w:val="00CB517F"/>
    <w:rsid w:val="00CB5BDE"/>
    <w:rsid w:val="00CB63FF"/>
    <w:rsid w:val="00CB6C39"/>
    <w:rsid w:val="00CB70A5"/>
    <w:rsid w:val="00CB72BB"/>
    <w:rsid w:val="00CB758C"/>
    <w:rsid w:val="00CB7BE8"/>
    <w:rsid w:val="00CC0F2C"/>
    <w:rsid w:val="00CC120E"/>
    <w:rsid w:val="00CC362B"/>
    <w:rsid w:val="00CC371D"/>
    <w:rsid w:val="00CC39F1"/>
    <w:rsid w:val="00CC3F5A"/>
    <w:rsid w:val="00CC4D5C"/>
    <w:rsid w:val="00CC4F32"/>
    <w:rsid w:val="00CC4F7E"/>
    <w:rsid w:val="00CC53C9"/>
    <w:rsid w:val="00CC7A2A"/>
    <w:rsid w:val="00CD013A"/>
    <w:rsid w:val="00CD13DE"/>
    <w:rsid w:val="00CD1C61"/>
    <w:rsid w:val="00CD2679"/>
    <w:rsid w:val="00CD2681"/>
    <w:rsid w:val="00CD3FB4"/>
    <w:rsid w:val="00CD4C7A"/>
    <w:rsid w:val="00CD4F2D"/>
    <w:rsid w:val="00CD5603"/>
    <w:rsid w:val="00CD6250"/>
    <w:rsid w:val="00CD6AE9"/>
    <w:rsid w:val="00CD7520"/>
    <w:rsid w:val="00CD7973"/>
    <w:rsid w:val="00CD7E47"/>
    <w:rsid w:val="00CE106A"/>
    <w:rsid w:val="00CE127A"/>
    <w:rsid w:val="00CE3414"/>
    <w:rsid w:val="00CE3C9B"/>
    <w:rsid w:val="00CE73AF"/>
    <w:rsid w:val="00CE7831"/>
    <w:rsid w:val="00CF0300"/>
    <w:rsid w:val="00CF0387"/>
    <w:rsid w:val="00CF0938"/>
    <w:rsid w:val="00CF1D30"/>
    <w:rsid w:val="00CF222B"/>
    <w:rsid w:val="00CF26AF"/>
    <w:rsid w:val="00CF36F7"/>
    <w:rsid w:val="00CF3711"/>
    <w:rsid w:val="00CF3ABF"/>
    <w:rsid w:val="00CF4069"/>
    <w:rsid w:val="00CF43E8"/>
    <w:rsid w:val="00CF4B6C"/>
    <w:rsid w:val="00CF5885"/>
    <w:rsid w:val="00CF5D93"/>
    <w:rsid w:val="00CF716A"/>
    <w:rsid w:val="00D011FE"/>
    <w:rsid w:val="00D02206"/>
    <w:rsid w:val="00D02FAC"/>
    <w:rsid w:val="00D03868"/>
    <w:rsid w:val="00D04786"/>
    <w:rsid w:val="00D053A6"/>
    <w:rsid w:val="00D05E7A"/>
    <w:rsid w:val="00D069BF"/>
    <w:rsid w:val="00D06A17"/>
    <w:rsid w:val="00D06C89"/>
    <w:rsid w:val="00D0759C"/>
    <w:rsid w:val="00D07869"/>
    <w:rsid w:val="00D07CA1"/>
    <w:rsid w:val="00D10445"/>
    <w:rsid w:val="00D10F06"/>
    <w:rsid w:val="00D1145B"/>
    <w:rsid w:val="00D12E72"/>
    <w:rsid w:val="00D13807"/>
    <w:rsid w:val="00D13C3A"/>
    <w:rsid w:val="00D14694"/>
    <w:rsid w:val="00D14BDF"/>
    <w:rsid w:val="00D15074"/>
    <w:rsid w:val="00D15BAE"/>
    <w:rsid w:val="00D15FF6"/>
    <w:rsid w:val="00D1727B"/>
    <w:rsid w:val="00D174C7"/>
    <w:rsid w:val="00D20608"/>
    <w:rsid w:val="00D21A56"/>
    <w:rsid w:val="00D22313"/>
    <w:rsid w:val="00D229E2"/>
    <w:rsid w:val="00D2371F"/>
    <w:rsid w:val="00D23ADC"/>
    <w:rsid w:val="00D23EF3"/>
    <w:rsid w:val="00D246B4"/>
    <w:rsid w:val="00D2543D"/>
    <w:rsid w:val="00D25A9D"/>
    <w:rsid w:val="00D25E33"/>
    <w:rsid w:val="00D25E66"/>
    <w:rsid w:val="00D26159"/>
    <w:rsid w:val="00D26899"/>
    <w:rsid w:val="00D27A55"/>
    <w:rsid w:val="00D30FB7"/>
    <w:rsid w:val="00D31C76"/>
    <w:rsid w:val="00D329A0"/>
    <w:rsid w:val="00D33237"/>
    <w:rsid w:val="00D339E6"/>
    <w:rsid w:val="00D34FFF"/>
    <w:rsid w:val="00D35B1F"/>
    <w:rsid w:val="00D369EE"/>
    <w:rsid w:val="00D377B8"/>
    <w:rsid w:val="00D37D12"/>
    <w:rsid w:val="00D37E95"/>
    <w:rsid w:val="00D40C3C"/>
    <w:rsid w:val="00D4121A"/>
    <w:rsid w:val="00D412E0"/>
    <w:rsid w:val="00D418B5"/>
    <w:rsid w:val="00D42B37"/>
    <w:rsid w:val="00D44765"/>
    <w:rsid w:val="00D44845"/>
    <w:rsid w:val="00D449AE"/>
    <w:rsid w:val="00D44F20"/>
    <w:rsid w:val="00D45879"/>
    <w:rsid w:val="00D460F8"/>
    <w:rsid w:val="00D47146"/>
    <w:rsid w:val="00D47A8D"/>
    <w:rsid w:val="00D47BC2"/>
    <w:rsid w:val="00D5145E"/>
    <w:rsid w:val="00D5195F"/>
    <w:rsid w:val="00D51AB4"/>
    <w:rsid w:val="00D52E6E"/>
    <w:rsid w:val="00D5308A"/>
    <w:rsid w:val="00D538A6"/>
    <w:rsid w:val="00D53FCA"/>
    <w:rsid w:val="00D5453D"/>
    <w:rsid w:val="00D5472E"/>
    <w:rsid w:val="00D548F1"/>
    <w:rsid w:val="00D55A9E"/>
    <w:rsid w:val="00D55E08"/>
    <w:rsid w:val="00D56DE2"/>
    <w:rsid w:val="00D57EF3"/>
    <w:rsid w:val="00D6024F"/>
    <w:rsid w:val="00D6103D"/>
    <w:rsid w:val="00D629AB"/>
    <w:rsid w:val="00D63F77"/>
    <w:rsid w:val="00D6444E"/>
    <w:rsid w:val="00D64D60"/>
    <w:rsid w:val="00D6575D"/>
    <w:rsid w:val="00D65EB6"/>
    <w:rsid w:val="00D66722"/>
    <w:rsid w:val="00D67AA0"/>
    <w:rsid w:val="00D703F0"/>
    <w:rsid w:val="00D7219B"/>
    <w:rsid w:val="00D7229B"/>
    <w:rsid w:val="00D7316E"/>
    <w:rsid w:val="00D7384B"/>
    <w:rsid w:val="00D74379"/>
    <w:rsid w:val="00D743BE"/>
    <w:rsid w:val="00D74A9E"/>
    <w:rsid w:val="00D758CC"/>
    <w:rsid w:val="00D764B2"/>
    <w:rsid w:val="00D80F51"/>
    <w:rsid w:val="00D81747"/>
    <w:rsid w:val="00D81E0F"/>
    <w:rsid w:val="00D821CB"/>
    <w:rsid w:val="00D82D02"/>
    <w:rsid w:val="00D83395"/>
    <w:rsid w:val="00D8404F"/>
    <w:rsid w:val="00D8457E"/>
    <w:rsid w:val="00D85D09"/>
    <w:rsid w:val="00D905FC"/>
    <w:rsid w:val="00D92336"/>
    <w:rsid w:val="00D92B30"/>
    <w:rsid w:val="00D92ED4"/>
    <w:rsid w:val="00D93706"/>
    <w:rsid w:val="00D93F9A"/>
    <w:rsid w:val="00D945A3"/>
    <w:rsid w:val="00D94A3E"/>
    <w:rsid w:val="00D955DB"/>
    <w:rsid w:val="00D961FE"/>
    <w:rsid w:val="00D96266"/>
    <w:rsid w:val="00D96E90"/>
    <w:rsid w:val="00D96EB3"/>
    <w:rsid w:val="00D97A31"/>
    <w:rsid w:val="00DA2743"/>
    <w:rsid w:val="00DA2C40"/>
    <w:rsid w:val="00DA30F7"/>
    <w:rsid w:val="00DA3B3F"/>
    <w:rsid w:val="00DA3CF2"/>
    <w:rsid w:val="00DA43D3"/>
    <w:rsid w:val="00DA51B6"/>
    <w:rsid w:val="00DA5640"/>
    <w:rsid w:val="00DA57AF"/>
    <w:rsid w:val="00DA5D47"/>
    <w:rsid w:val="00DA7F13"/>
    <w:rsid w:val="00DB145D"/>
    <w:rsid w:val="00DB1D8B"/>
    <w:rsid w:val="00DB1F07"/>
    <w:rsid w:val="00DB4C01"/>
    <w:rsid w:val="00DB5D9D"/>
    <w:rsid w:val="00DB5E59"/>
    <w:rsid w:val="00DB64D4"/>
    <w:rsid w:val="00DB772B"/>
    <w:rsid w:val="00DB7B6B"/>
    <w:rsid w:val="00DB7D99"/>
    <w:rsid w:val="00DB7DD4"/>
    <w:rsid w:val="00DC0AEB"/>
    <w:rsid w:val="00DC0F91"/>
    <w:rsid w:val="00DC1FAD"/>
    <w:rsid w:val="00DC282E"/>
    <w:rsid w:val="00DC3CAF"/>
    <w:rsid w:val="00DC40E1"/>
    <w:rsid w:val="00DC55CA"/>
    <w:rsid w:val="00DC5CE8"/>
    <w:rsid w:val="00DC63D9"/>
    <w:rsid w:val="00DD0955"/>
    <w:rsid w:val="00DD0CF1"/>
    <w:rsid w:val="00DD0EB7"/>
    <w:rsid w:val="00DD3429"/>
    <w:rsid w:val="00DD3998"/>
    <w:rsid w:val="00DD5339"/>
    <w:rsid w:val="00DD5629"/>
    <w:rsid w:val="00DD5998"/>
    <w:rsid w:val="00DD5F09"/>
    <w:rsid w:val="00DD66A6"/>
    <w:rsid w:val="00DD7098"/>
    <w:rsid w:val="00DE0188"/>
    <w:rsid w:val="00DE068D"/>
    <w:rsid w:val="00DE09D6"/>
    <w:rsid w:val="00DE266E"/>
    <w:rsid w:val="00DE277A"/>
    <w:rsid w:val="00DE27EC"/>
    <w:rsid w:val="00DE2BF5"/>
    <w:rsid w:val="00DE3353"/>
    <w:rsid w:val="00DE44AA"/>
    <w:rsid w:val="00DE61EB"/>
    <w:rsid w:val="00DE6300"/>
    <w:rsid w:val="00DE63F6"/>
    <w:rsid w:val="00DE6F10"/>
    <w:rsid w:val="00DF0835"/>
    <w:rsid w:val="00DF12F8"/>
    <w:rsid w:val="00DF1346"/>
    <w:rsid w:val="00DF14E9"/>
    <w:rsid w:val="00DF203D"/>
    <w:rsid w:val="00DF2399"/>
    <w:rsid w:val="00DF29ED"/>
    <w:rsid w:val="00DF3162"/>
    <w:rsid w:val="00DF3490"/>
    <w:rsid w:val="00DF4DB9"/>
    <w:rsid w:val="00DF61EC"/>
    <w:rsid w:val="00DF6DDB"/>
    <w:rsid w:val="00DF7387"/>
    <w:rsid w:val="00DF795C"/>
    <w:rsid w:val="00E0051F"/>
    <w:rsid w:val="00E00C3E"/>
    <w:rsid w:val="00E00E66"/>
    <w:rsid w:val="00E00E9E"/>
    <w:rsid w:val="00E00F4C"/>
    <w:rsid w:val="00E032A9"/>
    <w:rsid w:val="00E03E62"/>
    <w:rsid w:val="00E0421F"/>
    <w:rsid w:val="00E0439F"/>
    <w:rsid w:val="00E060B3"/>
    <w:rsid w:val="00E060C2"/>
    <w:rsid w:val="00E063D9"/>
    <w:rsid w:val="00E06932"/>
    <w:rsid w:val="00E10751"/>
    <w:rsid w:val="00E11060"/>
    <w:rsid w:val="00E11A38"/>
    <w:rsid w:val="00E11F66"/>
    <w:rsid w:val="00E12132"/>
    <w:rsid w:val="00E12575"/>
    <w:rsid w:val="00E129D2"/>
    <w:rsid w:val="00E14C28"/>
    <w:rsid w:val="00E152F7"/>
    <w:rsid w:val="00E15C8E"/>
    <w:rsid w:val="00E15D8C"/>
    <w:rsid w:val="00E1686D"/>
    <w:rsid w:val="00E169C2"/>
    <w:rsid w:val="00E20014"/>
    <w:rsid w:val="00E20938"/>
    <w:rsid w:val="00E213A6"/>
    <w:rsid w:val="00E21FC5"/>
    <w:rsid w:val="00E23D6E"/>
    <w:rsid w:val="00E23E09"/>
    <w:rsid w:val="00E23E79"/>
    <w:rsid w:val="00E24744"/>
    <w:rsid w:val="00E24D4F"/>
    <w:rsid w:val="00E24EC2"/>
    <w:rsid w:val="00E26072"/>
    <w:rsid w:val="00E2620B"/>
    <w:rsid w:val="00E26306"/>
    <w:rsid w:val="00E27309"/>
    <w:rsid w:val="00E277E1"/>
    <w:rsid w:val="00E30658"/>
    <w:rsid w:val="00E30884"/>
    <w:rsid w:val="00E31D9B"/>
    <w:rsid w:val="00E31F3A"/>
    <w:rsid w:val="00E33FB8"/>
    <w:rsid w:val="00E341D8"/>
    <w:rsid w:val="00E341F8"/>
    <w:rsid w:val="00E35D69"/>
    <w:rsid w:val="00E3691F"/>
    <w:rsid w:val="00E36D5E"/>
    <w:rsid w:val="00E37007"/>
    <w:rsid w:val="00E412B3"/>
    <w:rsid w:val="00E41F04"/>
    <w:rsid w:val="00E42918"/>
    <w:rsid w:val="00E429AF"/>
    <w:rsid w:val="00E42F1C"/>
    <w:rsid w:val="00E434FD"/>
    <w:rsid w:val="00E436C8"/>
    <w:rsid w:val="00E45AE9"/>
    <w:rsid w:val="00E45B0A"/>
    <w:rsid w:val="00E46FD7"/>
    <w:rsid w:val="00E47CE2"/>
    <w:rsid w:val="00E509F3"/>
    <w:rsid w:val="00E52720"/>
    <w:rsid w:val="00E53842"/>
    <w:rsid w:val="00E548FB"/>
    <w:rsid w:val="00E550E6"/>
    <w:rsid w:val="00E55412"/>
    <w:rsid w:val="00E556E5"/>
    <w:rsid w:val="00E55CA8"/>
    <w:rsid w:val="00E5642F"/>
    <w:rsid w:val="00E56561"/>
    <w:rsid w:val="00E566FE"/>
    <w:rsid w:val="00E56CD5"/>
    <w:rsid w:val="00E56D6C"/>
    <w:rsid w:val="00E56E43"/>
    <w:rsid w:val="00E57439"/>
    <w:rsid w:val="00E57B86"/>
    <w:rsid w:val="00E62288"/>
    <w:rsid w:val="00E63253"/>
    <w:rsid w:val="00E64F47"/>
    <w:rsid w:val="00E65FEF"/>
    <w:rsid w:val="00E66827"/>
    <w:rsid w:val="00E6732F"/>
    <w:rsid w:val="00E67755"/>
    <w:rsid w:val="00E67FE0"/>
    <w:rsid w:val="00E70388"/>
    <w:rsid w:val="00E70902"/>
    <w:rsid w:val="00E71B6B"/>
    <w:rsid w:val="00E721EA"/>
    <w:rsid w:val="00E7254D"/>
    <w:rsid w:val="00E72E99"/>
    <w:rsid w:val="00E72EB7"/>
    <w:rsid w:val="00E74629"/>
    <w:rsid w:val="00E75580"/>
    <w:rsid w:val="00E755EF"/>
    <w:rsid w:val="00E75655"/>
    <w:rsid w:val="00E7595B"/>
    <w:rsid w:val="00E75D1C"/>
    <w:rsid w:val="00E75FDE"/>
    <w:rsid w:val="00E76AAF"/>
    <w:rsid w:val="00E77269"/>
    <w:rsid w:val="00E80099"/>
    <w:rsid w:val="00E80152"/>
    <w:rsid w:val="00E80DCC"/>
    <w:rsid w:val="00E8191C"/>
    <w:rsid w:val="00E823A0"/>
    <w:rsid w:val="00E82871"/>
    <w:rsid w:val="00E82A1A"/>
    <w:rsid w:val="00E82D13"/>
    <w:rsid w:val="00E83B71"/>
    <w:rsid w:val="00E84662"/>
    <w:rsid w:val="00E85152"/>
    <w:rsid w:val="00E860E1"/>
    <w:rsid w:val="00E86C55"/>
    <w:rsid w:val="00E87468"/>
    <w:rsid w:val="00E8774C"/>
    <w:rsid w:val="00E87E3E"/>
    <w:rsid w:val="00E90B57"/>
    <w:rsid w:val="00E90EE9"/>
    <w:rsid w:val="00E917A6"/>
    <w:rsid w:val="00E92057"/>
    <w:rsid w:val="00E9212A"/>
    <w:rsid w:val="00E92392"/>
    <w:rsid w:val="00E92F18"/>
    <w:rsid w:val="00E94B1D"/>
    <w:rsid w:val="00E951DF"/>
    <w:rsid w:val="00E95C06"/>
    <w:rsid w:val="00E95C8F"/>
    <w:rsid w:val="00E96025"/>
    <w:rsid w:val="00E9671F"/>
    <w:rsid w:val="00E9734D"/>
    <w:rsid w:val="00EA16B1"/>
    <w:rsid w:val="00EA25DC"/>
    <w:rsid w:val="00EA2765"/>
    <w:rsid w:val="00EA336E"/>
    <w:rsid w:val="00EA3811"/>
    <w:rsid w:val="00EA3B7E"/>
    <w:rsid w:val="00EA5921"/>
    <w:rsid w:val="00EA5BA8"/>
    <w:rsid w:val="00EA5FBD"/>
    <w:rsid w:val="00EA6002"/>
    <w:rsid w:val="00EA7140"/>
    <w:rsid w:val="00EA7A4C"/>
    <w:rsid w:val="00EB1B78"/>
    <w:rsid w:val="00EB227E"/>
    <w:rsid w:val="00EB2839"/>
    <w:rsid w:val="00EB31FA"/>
    <w:rsid w:val="00EB37D1"/>
    <w:rsid w:val="00EB488E"/>
    <w:rsid w:val="00EB62DC"/>
    <w:rsid w:val="00EB6337"/>
    <w:rsid w:val="00EB657E"/>
    <w:rsid w:val="00EB690F"/>
    <w:rsid w:val="00EB705F"/>
    <w:rsid w:val="00EB7A20"/>
    <w:rsid w:val="00EC04CE"/>
    <w:rsid w:val="00EC1665"/>
    <w:rsid w:val="00EC2AB1"/>
    <w:rsid w:val="00EC383A"/>
    <w:rsid w:val="00EC4349"/>
    <w:rsid w:val="00EC4446"/>
    <w:rsid w:val="00EC557C"/>
    <w:rsid w:val="00EC61A1"/>
    <w:rsid w:val="00EC6CD4"/>
    <w:rsid w:val="00EC6E2E"/>
    <w:rsid w:val="00EC70CE"/>
    <w:rsid w:val="00EC7183"/>
    <w:rsid w:val="00EC7635"/>
    <w:rsid w:val="00EC784F"/>
    <w:rsid w:val="00EC7C53"/>
    <w:rsid w:val="00ED0AC1"/>
    <w:rsid w:val="00ED0AE5"/>
    <w:rsid w:val="00ED1A5A"/>
    <w:rsid w:val="00ED1EEC"/>
    <w:rsid w:val="00ED222C"/>
    <w:rsid w:val="00ED25B4"/>
    <w:rsid w:val="00ED2D6E"/>
    <w:rsid w:val="00ED33F1"/>
    <w:rsid w:val="00ED3C4B"/>
    <w:rsid w:val="00ED4E24"/>
    <w:rsid w:val="00ED5432"/>
    <w:rsid w:val="00ED62BD"/>
    <w:rsid w:val="00ED63FF"/>
    <w:rsid w:val="00ED69E0"/>
    <w:rsid w:val="00ED6AE2"/>
    <w:rsid w:val="00EE1C00"/>
    <w:rsid w:val="00EE300E"/>
    <w:rsid w:val="00EE337B"/>
    <w:rsid w:val="00EE349B"/>
    <w:rsid w:val="00EE3A7B"/>
    <w:rsid w:val="00EE4046"/>
    <w:rsid w:val="00EE5214"/>
    <w:rsid w:val="00EE5460"/>
    <w:rsid w:val="00EE5783"/>
    <w:rsid w:val="00EE5B06"/>
    <w:rsid w:val="00EE696A"/>
    <w:rsid w:val="00EE769F"/>
    <w:rsid w:val="00EF0828"/>
    <w:rsid w:val="00EF2E3E"/>
    <w:rsid w:val="00EF336C"/>
    <w:rsid w:val="00EF52C1"/>
    <w:rsid w:val="00EF5932"/>
    <w:rsid w:val="00EF5B30"/>
    <w:rsid w:val="00EF62E9"/>
    <w:rsid w:val="00EF74BF"/>
    <w:rsid w:val="00EF7B9E"/>
    <w:rsid w:val="00EF7C96"/>
    <w:rsid w:val="00F0063B"/>
    <w:rsid w:val="00F014A2"/>
    <w:rsid w:val="00F01BE4"/>
    <w:rsid w:val="00F023BC"/>
    <w:rsid w:val="00F024D6"/>
    <w:rsid w:val="00F02957"/>
    <w:rsid w:val="00F03863"/>
    <w:rsid w:val="00F04C67"/>
    <w:rsid w:val="00F04C7D"/>
    <w:rsid w:val="00F0522A"/>
    <w:rsid w:val="00F0578F"/>
    <w:rsid w:val="00F058F9"/>
    <w:rsid w:val="00F05F29"/>
    <w:rsid w:val="00F07BBE"/>
    <w:rsid w:val="00F10224"/>
    <w:rsid w:val="00F11366"/>
    <w:rsid w:val="00F1154F"/>
    <w:rsid w:val="00F11C3A"/>
    <w:rsid w:val="00F11F77"/>
    <w:rsid w:val="00F12528"/>
    <w:rsid w:val="00F13120"/>
    <w:rsid w:val="00F133C9"/>
    <w:rsid w:val="00F14079"/>
    <w:rsid w:val="00F14AB5"/>
    <w:rsid w:val="00F15C8D"/>
    <w:rsid w:val="00F16783"/>
    <w:rsid w:val="00F16CBD"/>
    <w:rsid w:val="00F16E9A"/>
    <w:rsid w:val="00F1741A"/>
    <w:rsid w:val="00F17E64"/>
    <w:rsid w:val="00F21560"/>
    <w:rsid w:val="00F215ED"/>
    <w:rsid w:val="00F225E5"/>
    <w:rsid w:val="00F2275D"/>
    <w:rsid w:val="00F22934"/>
    <w:rsid w:val="00F22BA8"/>
    <w:rsid w:val="00F23F72"/>
    <w:rsid w:val="00F240DD"/>
    <w:rsid w:val="00F2453C"/>
    <w:rsid w:val="00F24CFF"/>
    <w:rsid w:val="00F24DC8"/>
    <w:rsid w:val="00F25539"/>
    <w:rsid w:val="00F25852"/>
    <w:rsid w:val="00F26BD6"/>
    <w:rsid w:val="00F26ED0"/>
    <w:rsid w:val="00F2731E"/>
    <w:rsid w:val="00F27DFB"/>
    <w:rsid w:val="00F30919"/>
    <w:rsid w:val="00F3132A"/>
    <w:rsid w:val="00F31C2D"/>
    <w:rsid w:val="00F32392"/>
    <w:rsid w:val="00F32E3D"/>
    <w:rsid w:val="00F33CA6"/>
    <w:rsid w:val="00F341F0"/>
    <w:rsid w:val="00F342B6"/>
    <w:rsid w:val="00F34780"/>
    <w:rsid w:val="00F356F0"/>
    <w:rsid w:val="00F35E47"/>
    <w:rsid w:val="00F35EA1"/>
    <w:rsid w:val="00F37409"/>
    <w:rsid w:val="00F37D6D"/>
    <w:rsid w:val="00F40358"/>
    <w:rsid w:val="00F40AE2"/>
    <w:rsid w:val="00F40FA4"/>
    <w:rsid w:val="00F410F3"/>
    <w:rsid w:val="00F41C94"/>
    <w:rsid w:val="00F41E11"/>
    <w:rsid w:val="00F4265D"/>
    <w:rsid w:val="00F4289D"/>
    <w:rsid w:val="00F4381F"/>
    <w:rsid w:val="00F43985"/>
    <w:rsid w:val="00F442E6"/>
    <w:rsid w:val="00F44AC4"/>
    <w:rsid w:val="00F45001"/>
    <w:rsid w:val="00F464D1"/>
    <w:rsid w:val="00F47A44"/>
    <w:rsid w:val="00F47E73"/>
    <w:rsid w:val="00F51050"/>
    <w:rsid w:val="00F51744"/>
    <w:rsid w:val="00F51880"/>
    <w:rsid w:val="00F51A7B"/>
    <w:rsid w:val="00F52FEF"/>
    <w:rsid w:val="00F532B1"/>
    <w:rsid w:val="00F53B88"/>
    <w:rsid w:val="00F54317"/>
    <w:rsid w:val="00F55446"/>
    <w:rsid w:val="00F555E5"/>
    <w:rsid w:val="00F579B7"/>
    <w:rsid w:val="00F57FA8"/>
    <w:rsid w:val="00F60914"/>
    <w:rsid w:val="00F620CE"/>
    <w:rsid w:val="00F621B2"/>
    <w:rsid w:val="00F62A7B"/>
    <w:rsid w:val="00F63753"/>
    <w:rsid w:val="00F6383D"/>
    <w:rsid w:val="00F639EC"/>
    <w:rsid w:val="00F640BB"/>
    <w:rsid w:val="00F64A28"/>
    <w:rsid w:val="00F6610E"/>
    <w:rsid w:val="00F6613C"/>
    <w:rsid w:val="00F665DC"/>
    <w:rsid w:val="00F66E98"/>
    <w:rsid w:val="00F6707D"/>
    <w:rsid w:val="00F67685"/>
    <w:rsid w:val="00F67A37"/>
    <w:rsid w:val="00F67C7E"/>
    <w:rsid w:val="00F70955"/>
    <w:rsid w:val="00F70CAD"/>
    <w:rsid w:val="00F70CFA"/>
    <w:rsid w:val="00F70F5C"/>
    <w:rsid w:val="00F72642"/>
    <w:rsid w:val="00F728A0"/>
    <w:rsid w:val="00F73386"/>
    <w:rsid w:val="00F73B65"/>
    <w:rsid w:val="00F73BCC"/>
    <w:rsid w:val="00F73C97"/>
    <w:rsid w:val="00F744EB"/>
    <w:rsid w:val="00F74DF8"/>
    <w:rsid w:val="00F754BA"/>
    <w:rsid w:val="00F7568C"/>
    <w:rsid w:val="00F767F2"/>
    <w:rsid w:val="00F77F0D"/>
    <w:rsid w:val="00F80468"/>
    <w:rsid w:val="00F80EC7"/>
    <w:rsid w:val="00F80EF3"/>
    <w:rsid w:val="00F8162A"/>
    <w:rsid w:val="00F81AB6"/>
    <w:rsid w:val="00F8252E"/>
    <w:rsid w:val="00F8262F"/>
    <w:rsid w:val="00F845F0"/>
    <w:rsid w:val="00F84619"/>
    <w:rsid w:val="00F857D1"/>
    <w:rsid w:val="00F85E00"/>
    <w:rsid w:val="00F863E1"/>
    <w:rsid w:val="00F86590"/>
    <w:rsid w:val="00F8663C"/>
    <w:rsid w:val="00F8716A"/>
    <w:rsid w:val="00F902A8"/>
    <w:rsid w:val="00F910BC"/>
    <w:rsid w:val="00F912D2"/>
    <w:rsid w:val="00F9213A"/>
    <w:rsid w:val="00F924A3"/>
    <w:rsid w:val="00F928EA"/>
    <w:rsid w:val="00F93674"/>
    <w:rsid w:val="00F93CD0"/>
    <w:rsid w:val="00F9425A"/>
    <w:rsid w:val="00F942D7"/>
    <w:rsid w:val="00F95042"/>
    <w:rsid w:val="00F9617E"/>
    <w:rsid w:val="00F964C3"/>
    <w:rsid w:val="00F96F83"/>
    <w:rsid w:val="00F96FB8"/>
    <w:rsid w:val="00FA056B"/>
    <w:rsid w:val="00FA120C"/>
    <w:rsid w:val="00FA23E4"/>
    <w:rsid w:val="00FA2DC7"/>
    <w:rsid w:val="00FA355B"/>
    <w:rsid w:val="00FA4C81"/>
    <w:rsid w:val="00FA54BD"/>
    <w:rsid w:val="00FA600B"/>
    <w:rsid w:val="00FA639A"/>
    <w:rsid w:val="00FA768A"/>
    <w:rsid w:val="00FA7D65"/>
    <w:rsid w:val="00FB01A5"/>
    <w:rsid w:val="00FB0AFF"/>
    <w:rsid w:val="00FB105A"/>
    <w:rsid w:val="00FB1155"/>
    <w:rsid w:val="00FB1440"/>
    <w:rsid w:val="00FB1ADB"/>
    <w:rsid w:val="00FB24AC"/>
    <w:rsid w:val="00FB4271"/>
    <w:rsid w:val="00FB55DC"/>
    <w:rsid w:val="00FB5CAC"/>
    <w:rsid w:val="00FB5D77"/>
    <w:rsid w:val="00FB60B0"/>
    <w:rsid w:val="00FB657D"/>
    <w:rsid w:val="00FB679D"/>
    <w:rsid w:val="00FB714A"/>
    <w:rsid w:val="00FB7435"/>
    <w:rsid w:val="00FB79E5"/>
    <w:rsid w:val="00FC087E"/>
    <w:rsid w:val="00FC120D"/>
    <w:rsid w:val="00FC14AF"/>
    <w:rsid w:val="00FC18D3"/>
    <w:rsid w:val="00FC1BCD"/>
    <w:rsid w:val="00FC2748"/>
    <w:rsid w:val="00FC2932"/>
    <w:rsid w:val="00FC495F"/>
    <w:rsid w:val="00FC4BF8"/>
    <w:rsid w:val="00FC5A12"/>
    <w:rsid w:val="00FC72D0"/>
    <w:rsid w:val="00FC7438"/>
    <w:rsid w:val="00FC78E4"/>
    <w:rsid w:val="00FD06E7"/>
    <w:rsid w:val="00FD0AF4"/>
    <w:rsid w:val="00FD0E9B"/>
    <w:rsid w:val="00FD1849"/>
    <w:rsid w:val="00FD24D8"/>
    <w:rsid w:val="00FD29C8"/>
    <w:rsid w:val="00FD2E86"/>
    <w:rsid w:val="00FD316C"/>
    <w:rsid w:val="00FD3ABA"/>
    <w:rsid w:val="00FD4454"/>
    <w:rsid w:val="00FD48C3"/>
    <w:rsid w:val="00FD51B5"/>
    <w:rsid w:val="00FD5430"/>
    <w:rsid w:val="00FD5613"/>
    <w:rsid w:val="00FD6173"/>
    <w:rsid w:val="00FD65D0"/>
    <w:rsid w:val="00FE1118"/>
    <w:rsid w:val="00FE1B76"/>
    <w:rsid w:val="00FE2D83"/>
    <w:rsid w:val="00FE3D16"/>
    <w:rsid w:val="00FE547C"/>
    <w:rsid w:val="00FE57E1"/>
    <w:rsid w:val="00FE5A74"/>
    <w:rsid w:val="00FE5C13"/>
    <w:rsid w:val="00FE5DDA"/>
    <w:rsid w:val="00FE6120"/>
    <w:rsid w:val="00FE6A9D"/>
    <w:rsid w:val="00FE6FB0"/>
    <w:rsid w:val="00FF035A"/>
    <w:rsid w:val="00FF163E"/>
    <w:rsid w:val="00FF1840"/>
    <w:rsid w:val="00FF1DC8"/>
    <w:rsid w:val="00FF217C"/>
    <w:rsid w:val="00FF250D"/>
    <w:rsid w:val="00FF2643"/>
    <w:rsid w:val="00FF2804"/>
    <w:rsid w:val="00FF4147"/>
    <w:rsid w:val="00FF48BC"/>
    <w:rsid w:val="00FF654B"/>
    <w:rsid w:val="00FF69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43499"/>
    <w:pPr>
      <w:widowControl w:val="0"/>
      <w:jc w:val="both"/>
    </w:pPr>
    <w:rPr>
      <w:rFonts w:ascii="News Gothic Cyr" w:hAnsi="News Gothic Cyr"/>
      <w:sz w:val="22"/>
      <w:szCs w:val="24"/>
    </w:rPr>
  </w:style>
  <w:style w:type="paragraph" w:styleId="Heading1">
    <w:name w:val="heading 1"/>
    <w:basedOn w:val="Normal"/>
    <w:next w:val="Normal"/>
    <w:link w:val="Heading1Char"/>
    <w:autoRedefine/>
    <w:qFormat/>
    <w:rsid w:val="004E3D1F"/>
    <w:pPr>
      <w:numPr>
        <w:numId w:val="1"/>
      </w:numPr>
      <w:tabs>
        <w:tab w:val="left" w:pos="360"/>
      </w:tabs>
      <w:outlineLvl w:val="0"/>
    </w:pPr>
    <w:rPr>
      <w:rFonts w:cs="Arial"/>
      <w:b/>
      <w:bCs/>
      <w:kern w:val="32"/>
      <w:sz w:val="24"/>
      <w:szCs w:val="32"/>
    </w:rPr>
  </w:style>
  <w:style w:type="paragraph" w:styleId="Heading2">
    <w:name w:val="heading 2"/>
    <w:basedOn w:val="Normal"/>
    <w:next w:val="Normal"/>
    <w:qFormat/>
    <w:rsid w:val="00721F40"/>
    <w:pPr>
      <w:keepNext/>
      <w:numPr>
        <w:ilvl w:val="1"/>
        <w:numId w:val="1"/>
      </w:numPr>
      <w:spacing w:before="240" w:after="120"/>
      <w:outlineLvl w:val="1"/>
    </w:pPr>
    <w:rPr>
      <w:rFonts w:cs="Arial"/>
      <w:b/>
      <w:bCs/>
      <w:i/>
      <w:iCs/>
    </w:rPr>
  </w:style>
  <w:style w:type="paragraph" w:styleId="Heading3">
    <w:name w:val="heading 3"/>
    <w:basedOn w:val="Normal"/>
    <w:next w:val="Normal"/>
    <w:qFormat/>
    <w:rsid w:val="004D258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62E9"/>
    <w:rPr>
      <w:rFonts w:ascii="News Gothic Cyr" w:hAnsi="News Gothic Cyr" w:cs="Arial"/>
      <w:b/>
      <w:bCs/>
      <w:kern w:val="32"/>
      <w:sz w:val="24"/>
      <w:szCs w:val="32"/>
    </w:rPr>
  </w:style>
  <w:style w:type="paragraph" w:customStyle="1" w:styleId="a">
    <w:name w:val="Текст в таблица"/>
    <w:basedOn w:val="Normal"/>
    <w:next w:val="Normal"/>
    <w:link w:val="Char"/>
    <w:rsid w:val="00800D61"/>
    <w:rPr>
      <w:sz w:val="20"/>
    </w:rPr>
  </w:style>
  <w:style w:type="character" w:customStyle="1" w:styleId="Char">
    <w:name w:val="Текст в таблица Char"/>
    <w:basedOn w:val="DefaultParagraphFont"/>
    <w:link w:val="a"/>
    <w:rsid w:val="00800D61"/>
    <w:rPr>
      <w:rFonts w:ascii="News Gothic Cyr" w:hAnsi="News Gothic Cyr"/>
      <w:szCs w:val="24"/>
      <w:lang w:val="bg-BG" w:eastAsia="bg-BG" w:bidi="ar-SA"/>
    </w:rPr>
  </w:style>
  <w:style w:type="paragraph" w:customStyle="1" w:styleId="a0">
    <w:name w:val="Числа в таблица"/>
    <w:basedOn w:val="Normal"/>
    <w:rsid w:val="00800D61"/>
    <w:pPr>
      <w:jc w:val="right"/>
    </w:pPr>
    <w:rPr>
      <w:sz w:val="20"/>
    </w:rPr>
  </w:style>
  <w:style w:type="paragraph" w:styleId="BalloonText">
    <w:name w:val="Balloon Text"/>
    <w:basedOn w:val="Normal"/>
    <w:link w:val="BalloonTextChar"/>
    <w:uiPriority w:val="99"/>
    <w:semiHidden/>
    <w:unhideWhenUsed/>
    <w:rsid w:val="001524A4"/>
    <w:rPr>
      <w:rFonts w:ascii="Tahoma" w:hAnsi="Tahoma" w:cs="Tahoma"/>
      <w:sz w:val="16"/>
      <w:szCs w:val="16"/>
    </w:rPr>
  </w:style>
  <w:style w:type="character" w:customStyle="1" w:styleId="BalloonTextChar">
    <w:name w:val="Balloon Text Char"/>
    <w:basedOn w:val="DefaultParagraphFont"/>
    <w:link w:val="BalloonText"/>
    <w:uiPriority w:val="99"/>
    <w:semiHidden/>
    <w:rsid w:val="001524A4"/>
    <w:rPr>
      <w:rFonts w:ascii="Tahoma" w:hAnsi="Tahoma" w:cs="Tahoma"/>
      <w:sz w:val="16"/>
      <w:szCs w:val="16"/>
    </w:rPr>
  </w:style>
  <w:style w:type="character" w:styleId="PageNumber">
    <w:name w:val="page number"/>
    <w:basedOn w:val="DefaultParagraphFont"/>
    <w:rsid w:val="00673556"/>
  </w:style>
  <w:style w:type="paragraph" w:styleId="TOC1">
    <w:name w:val="toc 1"/>
    <w:basedOn w:val="Normal"/>
    <w:next w:val="Normal"/>
    <w:autoRedefine/>
    <w:uiPriority w:val="39"/>
    <w:rsid w:val="00CC4F32"/>
  </w:style>
  <w:style w:type="paragraph" w:styleId="TOC2">
    <w:name w:val="toc 2"/>
    <w:basedOn w:val="Normal"/>
    <w:next w:val="Normal"/>
    <w:autoRedefine/>
    <w:uiPriority w:val="39"/>
    <w:rsid w:val="00CC4F32"/>
    <w:pPr>
      <w:ind w:left="240"/>
    </w:pPr>
  </w:style>
  <w:style w:type="paragraph" w:styleId="TOC3">
    <w:name w:val="toc 3"/>
    <w:basedOn w:val="Normal"/>
    <w:next w:val="Normal"/>
    <w:autoRedefine/>
    <w:uiPriority w:val="39"/>
    <w:rsid w:val="00CC4F32"/>
    <w:pPr>
      <w:ind w:left="480"/>
    </w:pPr>
  </w:style>
  <w:style w:type="character" w:styleId="Hyperlink">
    <w:name w:val="Hyperlink"/>
    <w:basedOn w:val="DefaultParagraphFont"/>
    <w:uiPriority w:val="99"/>
    <w:rsid w:val="00CC4F32"/>
    <w:rPr>
      <w:color w:val="0000FF"/>
      <w:u w:val="single"/>
    </w:rPr>
  </w:style>
  <w:style w:type="paragraph" w:customStyle="1" w:styleId="Bullets">
    <w:name w:val="Bullets"/>
    <w:basedOn w:val="Normal"/>
    <w:rsid w:val="00403035"/>
    <w:pPr>
      <w:numPr>
        <w:numId w:val="2"/>
      </w:numPr>
      <w:tabs>
        <w:tab w:val="left" w:pos="360"/>
      </w:tabs>
      <w:ind w:left="0" w:firstLine="0"/>
    </w:pPr>
  </w:style>
  <w:style w:type="paragraph" w:customStyle="1" w:styleId="Number">
    <w:name w:val="Number"/>
    <w:basedOn w:val="Normal"/>
    <w:rsid w:val="00F40FA4"/>
    <w:pPr>
      <w:ind w:firstLine="720"/>
    </w:pPr>
    <w:rPr>
      <w:rFonts w:ascii="Verdana" w:hAnsi="Verdana"/>
      <w:b/>
      <w:bCs/>
      <w:sz w:val="20"/>
      <w:szCs w:val="20"/>
    </w:rPr>
  </w:style>
  <w:style w:type="paragraph" w:customStyle="1" w:styleId="a1">
    <w:name w:val="Заглавие на таблица"/>
    <w:basedOn w:val="Normal"/>
    <w:rsid w:val="00157448"/>
    <w:pPr>
      <w:jc w:val="center"/>
    </w:pPr>
    <w:rPr>
      <w:b/>
    </w:rPr>
  </w:style>
  <w:style w:type="paragraph" w:customStyle="1" w:styleId="SubSubNumber">
    <w:name w:val="SubSubNumber"/>
    <w:basedOn w:val="SubNumbers"/>
    <w:link w:val="SubSubNumberChar"/>
    <w:qFormat/>
    <w:rsid w:val="001524A4"/>
    <w:pPr>
      <w:numPr>
        <w:ilvl w:val="2"/>
      </w:numPr>
      <w:tabs>
        <w:tab w:val="left" w:pos="1701"/>
      </w:tabs>
    </w:pPr>
  </w:style>
  <w:style w:type="paragraph" w:customStyle="1" w:styleId="SubNumbers">
    <w:name w:val="SubNumbers"/>
    <w:basedOn w:val="Mainnumbers"/>
    <w:link w:val="SubNumbersChar"/>
    <w:qFormat/>
    <w:rsid w:val="003A3770"/>
    <w:pPr>
      <w:numPr>
        <w:ilvl w:val="1"/>
      </w:numPr>
      <w:tabs>
        <w:tab w:val="clear" w:pos="851"/>
      </w:tabs>
      <w:ind w:left="993" w:hanging="633"/>
    </w:pPr>
  </w:style>
  <w:style w:type="paragraph" w:customStyle="1" w:styleId="Mainnumbers">
    <w:name w:val="Main numbers"/>
    <w:basedOn w:val="Normal"/>
    <w:link w:val="MainnumbersChar"/>
    <w:qFormat/>
    <w:rsid w:val="00486D0C"/>
    <w:pPr>
      <w:widowControl/>
      <w:numPr>
        <w:numId w:val="4"/>
      </w:numPr>
      <w:tabs>
        <w:tab w:val="left" w:pos="851"/>
      </w:tabs>
      <w:spacing w:before="240" w:after="240"/>
      <w:ind w:left="567" w:hanging="567"/>
    </w:pPr>
    <w:rPr>
      <w:rFonts w:cs="News Gothic Cyr"/>
      <w:b/>
      <w:lang w:eastAsia="en-US"/>
    </w:rPr>
  </w:style>
  <w:style w:type="character" w:customStyle="1" w:styleId="MainnumbersChar">
    <w:name w:val="Main numbers Char"/>
    <w:basedOn w:val="DefaultParagraphFont"/>
    <w:link w:val="Mainnumbers"/>
    <w:rsid w:val="00486D0C"/>
    <w:rPr>
      <w:rFonts w:ascii="News Gothic Cyr" w:hAnsi="News Gothic Cyr" w:cs="News Gothic Cyr"/>
      <w:b/>
      <w:sz w:val="22"/>
      <w:szCs w:val="24"/>
      <w:lang w:eastAsia="en-US"/>
    </w:rPr>
  </w:style>
  <w:style w:type="character" w:customStyle="1" w:styleId="SubNumbersChar">
    <w:name w:val="SubNumbers Char"/>
    <w:basedOn w:val="MainnumbersChar"/>
    <w:link w:val="SubNumbers"/>
    <w:rsid w:val="003A3770"/>
    <w:rPr>
      <w:rFonts w:ascii="News Gothic Cyr" w:hAnsi="News Gothic Cyr" w:cs="News Gothic Cyr"/>
      <w:b/>
      <w:sz w:val="22"/>
      <w:szCs w:val="24"/>
      <w:lang w:eastAsia="en-US"/>
    </w:rPr>
  </w:style>
  <w:style w:type="character" w:customStyle="1" w:styleId="SubSubNumberChar">
    <w:name w:val="SubSubNumber Char"/>
    <w:basedOn w:val="SubNumbersChar"/>
    <w:link w:val="SubSubNumber"/>
    <w:rsid w:val="001524A4"/>
    <w:rPr>
      <w:rFonts w:ascii="News Gothic Cyr" w:hAnsi="News Gothic Cyr" w:cs="News Gothic Cyr"/>
      <w:b/>
      <w:sz w:val="22"/>
      <w:szCs w:val="24"/>
      <w:lang w:eastAsia="en-US"/>
    </w:rPr>
  </w:style>
  <w:style w:type="paragraph" w:styleId="BodyText">
    <w:name w:val="Body Text"/>
    <w:basedOn w:val="Normal"/>
    <w:link w:val="BodyTextChar"/>
    <w:rsid w:val="003D6459"/>
    <w:rPr>
      <w:rFonts w:cs="Vrinda"/>
      <w:b/>
      <w:bCs/>
      <w:lang w:eastAsia="en-US" w:bidi="bn-BD"/>
    </w:rPr>
  </w:style>
  <w:style w:type="paragraph" w:customStyle="1" w:styleId="a2">
    <w:name w:val="Етикет на таблица"/>
    <w:basedOn w:val="Normal"/>
    <w:rsid w:val="00AD7708"/>
    <w:pPr>
      <w:jc w:val="center"/>
    </w:pPr>
    <w:rPr>
      <w:i/>
      <w:sz w:val="20"/>
    </w:rPr>
  </w:style>
  <w:style w:type="table" w:styleId="TableGrid">
    <w:name w:val="Table Grid"/>
    <w:basedOn w:val="TableNormal"/>
    <w:rsid w:val="0054108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C0372F"/>
    <w:pPr>
      <w:keepLines/>
      <w:widowControl/>
      <w:numPr>
        <w:numId w:val="0"/>
      </w:numPr>
      <w:spacing w:before="480" w:line="276" w:lineRule="auto"/>
      <w:jc w:val="left"/>
      <w:outlineLvl w:val="9"/>
    </w:pPr>
    <w:rPr>
      <w:rFonts w:ascii="Cambria" w:hAnsi="Cambria" w:cs="Times New Roman"/>
      <w:color w:val="365F91"/>
      <w:kern w:val="0"/>
      <w:sz w:val="28"/>
      <w:szCs w:val="28"/>
      <w:lang w:val="en-US" w:eastAsia="en-US"/>
    </w:rPr>
  </w:style>
  <w:style w:type="character" w:styleId="IntenseEmphasis">
    <w:name w:val="Intense Emphasis"/>
    <w:basedOn w:val="DefaultParagraphFont"/>
    <w:uiPriority w:val="99"/>
    <w:qFormat/>
    <w:rsid w:val="006B1A1A"/>
    <w:rPr>
      <w:b/>
      <w:bCs/>
      <w:i/>
      <w:iCs/>
      <w:color w:val="4F81BD"/>
      <w:sz w:val="22"/>
      <w:szCs w:val="22"/>
    </w:rPr>
  </w:style>
  <w:style w:type="character" w:customStyle="1" w:styleId="hps">
    <w:name w:val="hps"/>
    <w:basedOn w:val="DefaultParagraphFont"/>
    <w:rsid w:val="00121AA5"/>
  </w:style>
  <w:style w:type="character" w:styleId="FollowedHyperlink">
    <w:name w:val="FollowedHyperlink"/>
    <w:basedOn w:val="DefaultParagraphFont"/>
    <w:uiPriority w:val="99"/>
    <w:semiHidden/>
    <w:unhideWhenUsed/>
    <w:rsid w:val="000D28BF"/>
    <w:rPr>
      <w:color w:val="800080" w:themeColor="followedHyperlink"/>
      <w:u w:val="single"/>
    </w:rPr>
  </w:style>
  <w:style w:type="paragraph" w:styleId="NormalWeb">
    <w:name w:val="Normal (Web)"/>
    <w:basedOn w:val="Normal"/>
    <w:uiPriority w:val="99"/>
    <w:semiHidden/>
    <w:unhideWhenUsed/>
    <w:rsid w:val="00445A2B"/>
    <w:pPr>
      <w:widowControl/>
      <w:spacing w:before="100" w:beforeAutospacing="1" w:after="100" w:afterAutospacing="1"/>
      <w:jc w:val="left"/>
    </w:pPr>
    <w:rPr>
      <w:rFonts w:ascii="Times New Roman" w:hAnsi="Times New Roman"/>
      <w:sz w:val="24"/>
    </w:rPr>
  </w:style>
  <w:style w:type="paragraph" w:styleId="ListParagraph">
    <w:name w:val="List Paragraph"/>
    <w:basedOn w:val="Normal"/>
    <w:uiPriority w:val="34"/>
    <w:qFormat/>
    <w:rsid w:val="00445A2B"/>
    <w:pPr>
      <w:ind w:left="720"/>
      <w:contextualSpacing/>
    </w:pPr>
  </w:style>
  <w:style w:type="paragraph" w:styleId="Header">
    <w:name w:val="header"/>
    <w:basedOn w:val="Normal"/>
    <w:link w:val="HeaderChar"/>
    <w:uiPriority w:val="99"/>
    <w:unhideWhenUsed/>
    <w:rsid w:val="005C5BFB"/>
    <w:pPr>
      <w:tabs>
        <w:tab w:val="center" w:pos="4536"/>
        <w:tab w:val="right" w:pos="9072"/>
      </w:tabs>
    </w:pPr>
  </w:style>
  <w:style w:type="character" w:customStyle="1" w:styleId="HeaderChar">
    <w:name w:val="Header Char"/>
    <w:basedOn w:val="DefaultParagraphFont"/>
    <w:link w:val="Header"/>
    <w:uiPriority w:val="99"/>
    <w:rsid w:val="005C5BFB"/>
    <w:rPr>
      <w:rFonts w:ascii="News Gothic Cyr" w:hAnsi="News Gothic Cyr"/>
      <w:sz w:val="22"/>
      <w:szCs w:val="24"/>
    </w:rPr>
  </w:style>
  <w:style w:type="paragraph" w:styleId="Footer">
    <w:name w:val="footer"/>
    <w:basedOn w:val="Normal"/>
    <w:link w:val="FooterChar"/>
    <w:uiPriority w:val="99"/>
    <w:unhideWhenUsed/>
    <w:rsid w:val="005C5BFB"/>
    <w:pPr>
      <w:tabs>
        <w:tab w:val="center" w:pos="4536"/>
        <w:tab w:val="right" w:pos="9072"/>
      </w:tabs>
    </w:pPr>
  </w:style>
  <w:style w:type="character" w:customStyle="1" w:styleId="FooterChar">
    <w:name w:val="Footer Char"/>
    <w:basedOn w:val="DefaultParagraphFont"/>
    <w:link w:val="Footer"/>
    <w:uiPriority w:val="99"/>
    <w:rsid w:val="005C5BFB"/>
    <w:rPr>
      <w:rFonts w:ascii="News Gothic Cyr" w:hAnsi="News Gothic Cyr"/>
      <w:sz w:val="22"/>
      <w:szCs w:val="24"/>
    </w:rPr>
  </w:style>
  <w:style w:type="paragraph" w:styleId="NoSpacing">
    <w:name w:val="No Spacing"/>
    <w:uiPriority w:val="1"/>
    <w:qFormat/>
    <w:rsid w:val="00154650"/>
    <w:pPr>
      <w:widowControl w:val="0"/>
      <w:jc w:val="both"/>
    </w:pPr>
    <w:rPr>
      <w:rFonts w:ascii="News Gothic Cyr" w:hAnsi="News Gothic Cyr"/>
      <w:sz w:val="22"/>
      <w:szCs w:val="24"/>
    </w:rPr>
  </w:style>
  <w:style w:type="character" w:customStyle="1" w:styleId="BodyTextChar">
    <w:name w:val="Body Text Char"/>
    <w:basedOn w:val="DefaultParagraphFont"/>
    <w:link w:val="BodyText"/>
    <w:rsid w:val="008E2822"/>
    <w:rPr>
      <w:rFonts w:ascii="News Gothic Cyr" w:hAnsi="News Gothic Cyr" w:cs="Vrinda"/>
      <w:b/>
      <w:bCs/>
      <w:sz w:val="22"/>
      <w:szCs w:val="24"/>
      <w:lang w:eastAsia="en-US" w:bidi="bn-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43499"/>
    <w:pPr>
      <w:widowControl w:val="0"/>
      <w:jc w:val="both"/>
    </w:pPr>
    <w:rPr>
      <w:rFonts w:ascii="News Gothic Cyr" w:hAnsi="News Gothic Cyr"/>
      <w:sz w:val="22"/>
      <w:szCs w:val="24"/>
    </w:rPr>
  </w:style>
  <w:style w:type="paragraph" w:styleId="Heading1">
    <w:name w:val="heading 1"/>
    <w:basedOn w:val="Normal"/>
    <w:next w:val="Normal"/>
    <w:link w:val="Heading1Char"/>
    <w:autoRedefine/>
    <w:qFormat/>
    <w:rsid w:val="004E3D1F"/>
    <w:pPr>
      <w:numPr>
        <w:numId w:val="1"/>
      </w:numPr>
      <w:tabs>
        <w:tab w:val="left" w:pos="360"/>
      </w:tabs>
      <w:outlineLvl w:val="0"/>
    </w:pPr>
    <w:rPr>
      <w:rFonts w:cs="Arial"/>
      <w:b/>
      <w:bCs/>
      <w:kern w:val="32"/>
      <w:sz w:val="24"/>
      <w:szCs w:val="32"/>
    </w:rPr>
  </w:style>
  <w:style w:type="paragraph" w:styleId="Heading2">
    <w:name w:val="heading 2"/>
    <w:basedOn w:val="Normal"/>
    <w:next w:val="Normal"/>
    <w:qFormat/>
    <w:rsid w:val="00721F40"/>
    <w:pPr>
      <w:keepNext/>
      <w:numPr>
        <w:ilvl w:val="1"/>
        <w:numId w:val="1"/>
      </w:numPr>
      <w:spacing w:before="240" w:after="120"/>
      <w:outlineLvl w:val="1"/>
    </w:pPr>
    <w:rPr>
      <w:rFonts w:cs="Arial"/>
      <w:b/>
      <w:bCs/>
      <w:i/>
      <w:iCs/>
    </w:rPr>
  </w:style>
  <w:style w:type="paragraph" w:styleId="Heading3">
    <w:name w:val="heading 3"/>
    <w:basedOn w:val="Normal"/>
    <w:next w:val="Normal"/>
    <w:qFormat/>
    <w:rsid w:val="004D258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62E9"/>
    <w:rPr>
      <w:rFonts w:ascii="News Gothic Cyr" w:hAnsi="News Gothic Cyr" w:cs="Arial"/>
      <w:b/>
      <w:bCs/>
      <w:kern w:val="32"/>
      <w:sz w:val="24"/>
      <w:szCs w:val="32"/>
    </w:rPr>
  </w:style>
  <w:style w:type="paragraph" w:customStyle="1" w:styleId="a">
    <w:name w:val="Текст в таблица"/>
    <w:basedOn w:val="Normal"/>
    <w:next w:val="Normal"/>
    <w:link w:val="Char"/>
    <w:rsid w:val="00800D61"/>
    <w:rPr>
      <w:sz w:val="20"/>
    </w:rPr>
  </w:style>
  <w:style w:type="character" w:customStyle="1" w:styleId="Char">
    <w:name w:val="Текст в таблица Char"/>
    <w:basedOn w:val="DefaultParagraphFont"/>
    <w:link w:val="a"/>
    <w:rsid w:val="00800D61"/>
    <w:rPr>
      <w:rFonts w:ascii="News Gothic Cyr" w:hAnsi="News Gothic Cyr"/>
      <w:szCs w:val="24"/>
      <w:lang w:val="bg-BG" w:eastAsia="bg-BG" w:bidi="ar-SA"/>
    </w:rPr>
  </w:style>
  <w:style w:type="paragraph" w:customStyle="1" w:styleId="a0">
    <w:name w:val="Числа в таблица"/>
    <w:basedOn w:val="Normal"/>
    <w:rsid w:val="00800D61"/>
    <w:pPr>
      <w:jc w:val="right"/>
    </w:pPr>
    <w:rPr>
      <w:sz w:val="20"/>
    </w:rPr>
  </w:style>
  <w:style w:type="paragraph" w:styleId="BalloonText">
    <w:name w:val="Balloon Text"/>
    <w:basedOn w:val="Normal"/>
    <w:link w:val="BalloonTextChar"/>
    <w:uiPriority w:val="99"/>
    <w:semiHidden/>
    <w:unhideWhenUsed/>
    <w:rsid w:val="001524A4"/>
    <w:rPr>
      <w:rFonts w:ascii="Tahoma" w:hAnsi="Tahoma" w:cs="Tahoma"/>
      <w:sz w:val="16"/>
      <w:szCs w:val="16"/>
    </w:rPr>
  </w:style>
  <w:style w:type="character" w:customStyle="1" w:styleId="BalloonTextChar">
    <w:name w:val="Balloon Text Char"/>
    <w:basedOn w:val="DefaultParagraphFont"/>
    <w:link w:val="BalloonText"/>
    <w:uiPriority w:val="99"/>
    <w:semiHidden/>
    <w:rsid w:val="001524A4"/>
    <w:rPr>
      <w:rFonts w:ascii="Tahoma" w:hAnsi="Tahoma" w:cs="Tahoma"/>
      <w:sz w:val="16"/>
      <w:szCs w:val="16"/>
    </w:rPr>
  </w:style>
  <w:style w:type="character" w:styleId="PageNumber">
    <w:name w:val="page number"/>
    <w:basedOn w:val="DefaultParagraphFont"/>
    <w:rsid w:val="00673556"/>
  </w:style>
  <w:style w:type="paragraph" w:styleId="TOC1">
    <w:name w:val="toc 1"/>
    <w:basedOn w:val="Normal"/>
    <w:next w:val="Normal"/>
    <w:autoRedefine/>
    <w:uiPriority w:val="39"/>
    <w:rsid w:val="00CC4F32"/>
  </w:style>
  <w:style w:type="paragraph" w:styleId="TOC2">
    <w:name w:val="toc 2"/>
    <w:basedOn w:val="Normal"/>
    <w:next w:val="Normal"/>
    <w:autoRedefine/>
    <w:uiPriority w:val="39"/>
    <w:rsid w:val="00CC4F32"/>
    <w:pPr>
      <w:ind w:left="240"/>
    </w:pPr>
  </w:style>
  <w:style w:type="paragraph" w:styleId="TOC3">
    <w:name w:val="toc 3"/>
    <w:basedOn w:val="Normal"/>
    <w:next w:val="Normal"/>
    <w:autoRedefine/>
    <w:uiPriority w:val="39"/>
    <w:rsid w:val="00CC4F32"/>
    <w:pPr>
      <w:ind w:left="480"/>
    </w:pPr>
  </w:style>
  <w:style w:type="character" w:styleId="Hyperlink">
    <w:name w:val="Hyperlink"/>
    <w:basedOn w:val="DefaultParagraphFont"/>
    <w:uiPriority w:val="99"/>
    <w:rsid w:val="00CC4F32"/>
    <w:rPr>
      <w:color w:val="0000FF"/>
      <w:u w:val="single"/>
    </w:rPr>
  </w:style>
  <w:style w:type="paragraph" w:customStyle="1" w:styleId="Bullets">
    <w:name w:val="Bullets"/>
    <w:basedOn w:val="Normal"/>
    <w:rsid w:val="00403035"/>
    <w:pPr>
      <w:numPr>
        <w:numId w:val="2"/>
      </w:numPr>
      <w:tabs>
        <w:tab w:val="left" w:pos="360"/>
      </w:tabs>
      <w:ind w:left="0" w:firstLine="0"/>
    </w:pPr>
  </w:style>
  <w:style w:type="paragraph" w:customStyle="1" w:styleId="Number">
    <w:name w:val="Number"/>
    <w:basedOn w:val="Normal"/>
    <w:rsid w:val="00F40FA4"/>
    <w:pPr>
      <w:ind w:firstLine="720"/>
    </w:pPr>
    <w:rPr>
      <w:rFonts w:ascii="Verdana" w:hAnsi="Verdana"/>
      <w:b/>
      <w:bCs/>
      <w:sz w:val="20"/>
      <w:szCs w:val="20"/>
    </w:rPr>
  </w:style>
  <w:style w:type="paragraph" w:customStyle="1" w:styleId="a1">
    <w:name w:val="Заглавие на таблица"/>
    <w:basedOn w:val="Normal"/>
    <w:rsid w:val="00157448"/>
    <w:pPr>
      <w:jc w:val="center"/>
    </w:pPr>
    <w:rPr>
      <w:b/>
    </w:rPr>
  </w:style>
  <w:style w:type="paragraph" w:customStyle="1" w:styleId="SubSubNumber">
    <w:name w:val="SubSubNumber"/>
    <w:basedOn w:val="SubNumbers"/>
    <w:link w:val="SubSubNumberChar"/>
    <w:qFormat/>
    <w:rsid w:val="001524A4"/>
    <w:pPr>
      <w:numPr>
        <w:ilvl w:val="2"/>
      </w:numPr>
      <w:tabs>
        <w:tab w:val="left" w:pos="1701"/>
      </w:tabs>
    </w:pPr>
  </w:style>
  <w:style w:type="paragraph" w:customStyle="1" w:styleId="SubNumbers">
    <w:name w:val="SubNumbers"/>
    <w:basedOn w:val="Mainnumbers"/>
    <w:link w:val="SubNumbersChar"/>
    <w:qFormat/>
    <w:rsid w:val="003A3770"/>
    <w:pPr>
      <w:numPr>
        <w:ilvl w:val="1"/>
      </w:numPr>
      <w:tabs>
        <w:tab w:val="clear" w:pos="851"/>
      </w:tabs>
      <w:ind w:left="993" w:hanging="633"/>
    </w:pPr>
  </w:style>
  <w:style w:type="paragraph" w:customStyle="1" w:styleId="Mainnumbers">
    <w:name w:val="Main numbers"/>
    <w:basedOn w:val="Normal"/>
    <w:link w:val="MainnumbersChar"/>
    <w:qFormat/>
    <w:rsid w:val="00486D0C"/>
    <w:pPr>
      <w:widowControl/>
      <w:numPr>
        <w:numId w:val="4"/>
      </w:numPr>
      <w:tabs>
        <w:tab w:val="left" w:pos="851"/>
      </w:tabs>
      <w:spacing w:before="240" w:after="240"/>
      <w:ind w:left="567" w:hanging="567"/>
    </w:pPr>
    <w:rPr>
      <w:rFonts w:cs="News Gothic Cyr"/>
      <w:b/>
      <w:lang w:eastAsia="en-US"/>
    </w:rPr>
  </w:style>
  <w:style w:type="character" w:customStyle="1" w:styleId="MainnumbersChar">
    <w:name w:val="Main numbers Char"/>
    <w:basedOn w:val="DefaultParagraphFont"/>
    <w:link w:val="Mainnumbers"/>
    <w:rsid w:val="00486D0C"/>
    <w:rPr>
      <w:rFonts w:ascii="News Gothic Cyr" w:hAnsi="News Gothic Cyr" w:cs="News Gothic Cyr"/>
      <w:b/>
      <w:sz w:val="22"/>
      <w:szCs w:val="24"/>
      <w:lang w:eastAsia="en-US"/>
    </w:rPr>
  </w:style>
  <w:style w:type="character" w:customStyle="1" w:styleId="SubNumbersChar">
    <w:name w:val="SubNumbers Char"/>
    <w:basedOn w:val="MainnumbersChar"/>
    <w:link w:val="SubNumbers"/>
    <w:rsid w:val="003A3770"/>
    <w:rPr>
      <w:rFonts w:ascii="News Gothic Cyr" w:hAnsi="News Gothic Cyr" w:cs="News Gothic Cyr"/>
      <w:b/>
      <w:sz w:val="22"/>
      <w:szCs w:val="24"/>
      <w:lang w:eastAsia="en-US"/>
    </w:rPr>
  </w:style>
  <w:style w:type="character" w:customStyle="1" w:styleId="SubSubNumberChar">
    <w:name w:val="SubSubNumber Char"/>
    <w:basedOn w:val="SubNumbersChar"/>
    <w:link w:val="SubSubNumber"/>
    <w:rsid w:val="001524A4"/>
    <w:rPr>
      <w:rFonts w:ascii="News Gothic Cyr" w:hAnsi="News Gothic Cyr" w:cs="News Gothic Cyr"/>
      <w:b/>
      <w:sz w:val="22"/>
      <w:szCs w:val="24"/>
      <w:lang w:eastAsia="en-US"/>
    </w:rPr>
  </w:style>
  <w:style w:type="paragraph" w:styleId="BodyText">
    <w:name w:val="Body Text"/>
    <w:basedOn w:val="Normal"/>
    <w:link w:val="BodyTextChar"/>
    <w:rsid w:val="003D6459"/>
    <w:rPr>
      <w:rFonts w:cs="Vrinda"/>
      <w:b/>
      <w:bCs/>
      <w:lang w:eastAsia="en-US" w:bidi="bn-BD"/>
    </w:rPr>
  </w:style>
  <w:style w:type="paragraph" w:customStyle="1" w:styleId="a2">
    <w:name w:val="Етикет на таблица"/>
    <w:basedOn w:val="Normal"/>
    <w:rsid w:val="00AD7708"/>
    <w:pPr>
      <w:jc w:val="center"/>
    </w:pPr>
    <w:rPr>
      <w:i/>
      <w:sz w:val="20"/>
    </w:rPr>
  </w:style>
  <w:style w:type="table" w:styleId="TableGrid">
    <w:name w:val="Table Grid"/>
    <w:basedOn w:val="TableNormal"/>
    <w:rsid w:val="0054108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C0372F"/>
    <w:pPr>
      <w:keepLines/>
      <w:widowControl/>
      <w:numPr>
        <w:numId w:val="0"/>
      </w:numPr>
      <w:spacing w:before="480" w:line="276" w:lineRule="auto"/>
      <w:jc w:val="left"/>
      <w:outlineLvl w:val="9"/>
    </w:pPr>
    <w:rPr>
      <w:rFonts w:ascii="Cambria" w:hAnsi="Cambria" w:cs="Times New Roman"/>
      <w:color w:val="365F91"/>
      <w:kern w:val="0"/>
      <w:sz w:val="28"/>
      <w:szCs w:val="28"/>
      <w:lang w:val="en-US" w:eastAsia="en-US"/>
    </w:rPr>
  </w:style>
  <w:style w:type="character" w:styleId="IntenseEmphasis">
    <w:name w:val="Intense Emphasis"/>
    <w:basedOn w:val="DefaultParagraphFont"/>
    <w:uiPriority w:val="99"/>
    <w:qFormat/>
    <w:rsid w:val="006B1A1A"/>
    <w:rPr>
      <w:b/>
      <w:bCs/>
      <w:i/>
      <w:iCs/>
      <w:color w:val="4F81BD"/>
      <w:sz w:val="22"/>
      <w:szCs w:val="22"/>
    </w:rPr>
  </w:style>
  <w:style w:type="character" w:customStyle="1" w:styleId="hps">
    <w:name w:val="hps"/>
    <w:basedOn w:val="DefaultParagraphFont"/>
    <w:rsid w:val="00121AA5"/>
  </w:style>
  <w:style w:type="character" w:styleId="FollowedHyperlink">
    <w:name w:val="FollowedHyperlink"/>
    <w:basedOn w:val="DefaultParagraphFont"/>
    <w:uiPriority w:val="99"/>
    <w:semiHidden/>
    <w:unhideWhenUsed/>
    <w:rsid w:val="000D28BF"/>
    <w:rPr>
      <w:color w:val="800080" w:themeColor="followedHyperlink"/>
      <w:u w:val="single"/>
    </w:rPr>
  </w:style>
  <w:style w:type="paragraph" w:styleId="NormalWeb">
    <w:name w:val="Normal (Web)"/>
    <w:basedOn w:val="Normal"/>
    <w:uiPriority w:val="99"/>
    <w:semiHidden/>
    <w:unhideWhenUsed/>
    <w:rsid w:val="00445A2B"/>
    <w:pPr>
      <w:widowControl/>
      <w:spacing w:before="100" w:beforeAutospacing="1" w:after="100" w:afterAutospacing="1"/>
      <w:jc w:val="left"/>
    </w:pPr>
    <w:rPr>
      <w:rFonts w:ascii="Times New Roman" w:hAnsi="Times New Roman"/>
      <w:sz w:val="24"/>
    </w:rPr>
  </w:style>
  <w:style w:type="paragraph" w:styleId="ListParagraph">
    <w:name w:val="List Paragraph"/>
    <w:basedOn w:val="Normal"/>
    <w:uiPriority w:val="34"/>
    <w:qFormat/>
    <w:rsid w:val="00445A2B"/>
    <w:pPr>
      <w:ind w:left="720"/>
      <w:contextualSpacing/>
    </w:pPr>
  </w:style>
  <w:style w:type="paragraph" w:styleId="Header">
    <w:name w:val="header"/>
    <w:basedOn w:val="Normal"/>
    <w:link w:val="HeaderChar"/>
    <w:uiPriority w:val="99"/>
    <w:unhideWhenUsed/>
    <w:rsid w:val="005C5BFB"/>
    <w:pPr>
      <w:tabs>
        <w:tab w:val="center" w:pos="4536"/>
        <w:tab w:val="right" w:pos="9072"/>
      </w:tabs>
    </w:pPr>
  </w:style>
  <w:style w:type="character" w:customStyle="1" w:styleId="HeaderChar">
    <w:name w:val="Header Char"/>
    <w:basedOn w:val="DefaultParagraphFont"/>
    <w:link w:val="Header"/>
    <w:uiPriority w:val="99"/>
    <w:rsid w:val="005C5BFB"/>
    <w:rPr>
      <w:rFonts w:ascii="News Gothic Cyr" w:hAnsi="News Gothic Cyr"/>
      <w:sz w:val="22"/>
      <w:szCs w:val="24"/>
    </w:rPr>
  </w:style>
  <w:style w:type="paragraph" w:styleId="Footer">
    <w:name w:val="footer"/>
    <w:basedOn w:val="Normal"/>
    <w:link w:val="FooterChar"/>
    <w:uiPriority w:val="99"/>
    <w:unhideWhenUsed/>
    <w:rsid w:val="005C5BFB"/>
    <w:pPr>
      <w:tabs>
        <w:tab w:val="center" w:pos="4536"/>
        <w:tab w:val="right" w:pos="9072"/>
      </w:tabs>
    </w:pPr>
  </w:style>
  <w:style w:type="character" w:customStyle="1" w:styleId="FooterChar">
    <w:name w:val="Footer Char"/>
    <w:basedOn w:val="DefaultParagraphFont"/>
    <w:link w:val="Footer"/>
    <w:uiPriority w:val="99"/>
    <w:rsid w:val="005C5BFB"/>
    <w:rPr>
      <w:rFonts w:ascii="News Gothic Cyr" w:hAnsi="News Gothic Cyr"/>
      <w:sz w:val="22"/>
      <w:szCs w:val="24"/>
    </w:rPr>
  </w:style>
  <w:style w:type="paragraph" w:styleId="NoSpacing">
    <w:name w:val="No Spacing"/>
    <w:uiPriority w:val="1"/>
    <w:qFormat/>
    <w:rsid w:val="00154650"/>
    <w:pPr>
      <w:widowControl w:val="0"/>
      <w:jc w:val="both"/>
    </w:pPr>
    <w:rPr>
      <w:rFonts w:ascii="News Gothic Cyr" w:hAnsi="News Gothic Cyr"/>
      <w:sz w:val="22"/>
      <w:szCs w:val="24"/>
    </w:rPr>
  </w:style>
  <w:style w:type="character" w:customStyle="1" w:styleId="BodyTextChar">
    <w:name w:val="Body Text Char"/>
    <w:basedOn w:val="DefaultParagraphFont"/>
    <w:link w:val="BodyText"/>
    <w:rsid w:val="008E2822"/>
    <w:rPr>
      <w:rFonts w:ascii="News Gothic Cyr" w:hAnsi="News Gothic Cyr" w:cs="Vrinda"/>
      <w:b/>
      <w:bCs/>
      <w:sz w:val="22"/>
      <w:szCs w:val="24"/>
      <w:lang w:eastAsia="en-US"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8">
      <w:bodyDiv w:val="1"/>
      <w:marLeft w:val="0"/>
      <w:marRight w:val="0"/>
      <w:marTop w:val="0"/>
      <w:marBottom w:val="0"/>
      <w:divBdr>
        <w:top w:val="none" w:sz="0" w:space="0" w:color="auto"/>
        <w:left w:val="none" w:sz="0" w:space="0" w:color="auto"/>
        <w:bottom w:val="none" w:sz="0" w:space="0" w:color="auto"/>
        <w:right w:val="none" w:sz="0" w:space="0" w:color="auto"/>
      </w:divBdr>
    </w:div>
    <w:div w:id="737862">
      <w:bodyDiv w:val="1"/>
      <w:marLeft w:val="0"/>
      <w:marRight w:val="0"/>
      <w:marTop w:val="0"/>
      <w:marBottom w:val="0"/>
      <w:divBdr>
        <w:top w:val="none" w:sz="0" w:space="0" w:color="auto"/>
        <w:left w:val="none" w:sz="0" w:space="0" w:color="auto"/>
        <w:bottom w:val="none" w:sz="0" w:space="0" w:color="auto"/>
        <w:right w:val="none" w:sz="0" w:space="0" w:color="auto"/>
      </w:divBdr>
    </w:div>
    <w:div w:id="1706087">
      <w:bodyDiv w:val="1"/>
      <w:marLeft w:val="0"/>
      <w:marRight w:val="0"/>
      <w:marTop w:val="0"/>
      <w:marBottom w:val="0"/>
      <w:divBdr>
        <w:top w:val="none" w:sz="0" w:space="0" w:color="auto"/>
        <w:left w:val="none" w:sz="0" w:space="0" w:color="auto"/>
        <w:bottom w:val="none" w:sz="0" w:space="0" w:color="auto"/>
        <w:right w:val="none" w:sz="0" w:space="0" w:color="auto"/>
      </w:divBdr>
    </w:div>
    <w:div w:id="14314647">
      <w:bodyDiv w:val="1"/>
      <w:marLeft w:val="0"/>
      <w:marRight w:val="0"/>
      <w:marTop w:val="0"/>
      <w:marBottom w:val="0"/>
      <w:divBdr>
        <w:top w:val="none" w:sz="0" w:space="0" w:color="auto"/>
        <w:left w:val="none" w:sz="0" w:space="0" w:color="auto"/>
        <w:bottom w:val="none" w:sz="0" w:space="0" w:color="auto"/>
        <w:right w:val="none" w:sz="0" w:space="0" w:color="auto"/>
      </w:divBdr>
    </w:div>
    <w:div w:id="21758335">
      <w:bodyDiv w:val="1"/>
      <w:marLeft w:val="0"/>
      <w:marRight w:val="0"/>
      <w:marTop w:val="0"/>
      <w:marBottom w:val="0"/>
      <w:divBdr>
        <w:top w:val="none" w:sz="0" w:space="0" w:color="auto"/>
        <w:left w:val="none" w:sz="0" w:space="0" w:color="auto"/>
        <w:bottom w:val="none" w:sz="0" w:space="0" w:color="auto"/>
        <w:right w:val="none" w:sz="0" w:space="0" w:color="auto"/>
      </w:divBdr>
    </w:div>
    <w:div w:id="32968721">
      <w:bodyDiv w:val="1"/>
      <w:marLeft w:val="0"/>
      <w:marRight w:val="0"/>
      <w:marTop w:val="0"/>
      <w:marBottom w:val="0"/>
      <w:divBdr>
        <w:top w:val="none" w:sz="0" w:space="0" w:color="auto"/>
        <w:left w:val="none" w:sz="0" w:space="0" w:color="auto"/>
        <w:bottom w:val="none" w:sz="0" w:space="0" w:color="auto"/>
        <w:right w:val="none" w:sz="0" w:space="0" w:color="auto"/>
      </w:divBdr>
    </w:div>
    <w:div w:id="33163988">
      <w:bodyDiv w:val="1"/>
      <w:marLeft w:val="0"/>
      <w:marRight w:val="0"/>
      <w:marTop w:val="0"/>
      <w:marBottom w:val="0"/>
      <w:divBdr>
        <w:top w:val="none" w:sz="0" w:space="0" w:color="auto"/>
        <w:left w:val="none" w:sz="0" w:space="0" w:color="auto"/>
        <w:bottom w:val="none" w:sz="0" w:space="0" w:color="auto"/>
        <w:right w:val="none" w:sz="0" w:space="0" w:color="auto"/>
      </w:divBdr>
    </w:div>
    <w:div w:id="44112772">
      <w:bodyDiv w:val="1"/>
      <w:marLeft w:val="0"/>
      <w:marRight w:val="0"/>
      <w:marTop w:val="0"/>
      <w:marBottom w:val="0"/>
      <w:divBdr>
        <w:top w:val="none" w:sz="0" w:space="0" w:color="auto"/>
        <w:left w:val="none" w:sz="0" w:space="0" w:color="auto"/>
        <w:bottom w:val="none" w:sz="0" w:space="0" w:color="auto"/>
        <w:right w:val="none" w:sz="0" w:space="0" w:color="auto"/>
      </w:divBdr>
    </w:div>
    <w:div w:id="56785541">
      <w:bodyDiv w:val="1"/>
      <w:marLeft w:val="0"/>
      <w:marRight w:val="0"/>
      <w:marTop w:val="0"/>
      <w:marBottom w:val="0"/>
      <w:divBdr>
        <w:top w:val="none" w:sz="0" w:space="0" w:color="auto"/>
        <w:left w:val="none" w:sz="0" w:space="0" w:color="auto"/>
        <w:bottom w:val="none" w:sz="0" w:space="0" w:color="auto"/>
        <w:right w:val="none" w:sz="0" w:space="0" w:color="auto"/>
      </w:divBdr>
    </w:div>
    <w:div w:id="58750120">
      <w:bodyDiv w:val="1"/>
      <w:marLeft w:val="0"/>
      <w:marRight w:val="0"/>
      <w:marTop w:val="0"/>
      <w:marBottom w:val="0"/>
      <w:divBdr>
        <w:top w:val="none" w:sz="0" w:space="0" w:color="auto"/>
        <w:left w:val="none" w:sz="0" w:space="0" w:color="auto"/>
        <w:bottom w:val="none" w:sz="0" w:space="0" w:color="auto"/>
        <w:right w:val="none" w:sz="0" w:space="0" w:color="auto"/>
      </w:divBdr>
    </w:div>
    <w:div w:id="62916016">
      <w:bodyDiv w:val="1"/>
      <w:marLeft w:val="0"/>
      <w:marRight w:val="0"/>
      <w:marTop w:val="0"/>
      <w:marBottom w:val="0"/>
      <w:divBdr>
        <w:top w:val="none" w:sz="0" w:space="0" w:color="auto"/>
        <w:left w:val="none" w:sz="0" w:space="0" w:color="auto"/>
        <w:bottom w:val="none" w:sz="0" w:space="0" w:color="auto"/>
        <w:right w:val="none" w:sz="0" w:space="0" w:color="auto"/>
      </w:divBdr>
    </w:div>
    <w:div w:id="68698147">
      <w:bodyDiv w:val="1"/>
      <w:marLeft w:val="0"/>
      <w:marRight w:val="0"/>
      <w:marTop w:val="0"/>
      <w:marBottom w:val="0"/>
      <w:divBdr>
        <w:top w:val="none" w:sz="0" w:space="0" w:color="auto"/>
        <w:left w:val="none" w:sz="0" w:space="0" w:color="auto"/>
        <w:bottom w:val="none" w:sz="0" w:space="0" w:color="auto"/>
        <w:right w:val="none" w:sz="0" w:space="0" w:color="auto"/>
      </w:divBdr>
    </w:div>
    <w:div w:id="72313707">
      <w:bodyDiv w:val="1"/>
      <w:marLeft w:val="0"/>
      <w:marRight w:val="0"/>
      <w:marTop w:val="0"/>
      <w:marBottom w:val="0"/>
      <w:divBdr>
        <w:top w:val="none" w:sz="0" w:space="0" w:color="auto"/>
        <w:left w:val="none" w:sz="0" w:space="0" w:color="auto"/>
        <w:bottom w:val="none" w:sz="0" w:space="0" w:color="auto"/>
        <w:right w:val="none" w:sz="0" w:space="0" w:color="auto"/>
      </w:divBdr>
    </w:div>
    <w:div w:id="89552614">
      <w:bodyDiv w:val="1"/>
      <w:marLeft w:val="0"/>
      <w:marRight w:val="0"/>
      <w:marTop w:val="0"/>
      <w:marBottom w:val="0"/>
      <w:divBdr>
        <w:top w:val="none" w:sz="0" w:space="0" w:color="auto"/>
        <w:left w:val="none" w:sz="0" w:space="0" w:color="auto"/>
        <w:bottom w:val="none" w:sz="0" w:space="0" w:color="auto"/>
        <w:right w:val="none" w:sz="0" w:space="0" w:color="auto"/>
      </w:divBdr>
    </w:div>
    <w:div w:id="101146134">
      <w:bodyDiv w:val="1"/>
      <w:marLeft w:val="0"/>
      <w:marRight w:val="0"/>
      <w:marTop w:val="0"/>
      <w:marBottom w:val="0"/>
      <w:divBdr>
        <w:top w:val="none" w:sz="0" w:space="0" w:color="auto"/>
        <w:left w:val="none" w:sz="0" w:space="0" w:color="auto"/>
        <w:bottom w:val="none" w:sz="0" w:space="0" w:color="auto"/>
        <w:right w:val="none" w:sz="0" w:space="0" w:color="auto"/>
      </w:divBdr>
    </w:div>
    <w:div w:id="104496576">
      <w:bodyDiv w:val="1"/>
      <w:marLeft w:val="0"/>
      <w:marRight w:val="0"/>
      <w:marTop w:val="0"/>
      <w:marBottom w:val="0"/>
      <w:divBdr>
        <w:top w:val="none" w:sz="0" w:space="0" w:color="auto"/>
        <w:left w:val="none" w:sz="0" w:space="0" w:color="auto"/>
        <w:bottom w:val="none" w:sz="0" w:space="0" w:color="auto"/>
        <w:right w:val="none" w:sz="0" w:space="0" w:color="auto"/>
      </w:divBdr>
    </w:div>
    <w:div w:id="109932554">
      <w:bodyDiv w:val="1"/>
      <w:marLeft w:val="0"/>
      <w:marRight w:val="0"/>
      <w:marTop w:val="0"/>
      <w:marBottom w:val="0"/>
      <w:divBdr>
        <w:top w:val="none" w:sz="0" w:space="0" w:color="auto"/>
        <w:left w:val="none" w:sz="0" w:space="0" w:color="auto"/>
        <w:bottom w:val="none" w:sz="0" w:space="0" w:color="auto"/>
        <w:right w:val="none" w:sz="0" w:space="0" w:color="auto"/>
      </w:divBdr>
    </w:div>
    <w:div w:id="118765879">
      <w:bodyDiv w:val="1"/>
      <w:marLeft w:val="0"/>
      <w:marRight w:val="0"/>
      <w:marTop w:val="0"/>
      <w:marBottom w:val="0"/>
      <w:divBdr>
        <w:top w:val="none" w:sz="0" w:space="0" w:color="auto"/>
        <w:left w:val="none" w:sz="0" w:space="0" w:color="auto"/>
        <w:bottom w:val="none" w:sz="0" w:space="0" w:color="auto"/>
        <w:right w:val="none" w:sz="0" w:space="0" w:color="auto"/>
      </w:divBdr>
    </w:div>
    <w:div w:id="133719793">
      <w:bodyDiv w:val="1"/>
      <w:marLeft w:val="0"/>
      <w:marRight w:val="0"/>
      <w:marTop w:val="0"/>
      <w:marBottom w:val="0"/>
      <w:divBdr>
        <w:top w:val="none" w:sz="0" w:space="0" w:color="auto"/>
        <w:left w:val="none" w:sz="0" w:space="0" w:color="auto"/>
        <w:bottom w:val="none" w:sz="0" w:space="0" w:color="auto"/>
        <w:right w:val="none" w:sz="0" w:space="0" w:color="auto"/>
      </w:divBdr>
    </w:div>
    <w:div w:id="149829900">
      <w:bodyDiv w:val="1"/>
      <w:marLeft w:val="0"/>
      <w:marRight w:val="0"/>
      <w:marTop w:val="0"/>
      <w:marBottom w:val="0"/>
      <w:divBdr>
        <w:top w:val="none" w:sz="0" w:space="0" w:color="auto"/>
        <w:left w:val="none" w:sz="0" w:space="0" w:color="auto"/>
        <w:bottom w:val="none" w:sz="0" w:space="0" w:color="auto"/>
        <w:right w:val="none" w:sz="0" w:space="0" w:color="auto"/>
      </w:divBdr>
    </w:div>
    <w:div w:id="153376122">
      <w:bodyDiv w:val="1"/>
      <w:marLeft w:val="0"/>
      <w:marRight w:val="0"/>
      <w:marTop w:val="0"/>
      <w:marBottom w:val="0"/>
      <w:divBdr>
        <w:top w:val="none" w:sz="0" w:space="0" w:color="auto"/>
        <w:left w:val="none" w:sz="0" w:space="0" w:color="auto"/>
        <w:bottom w:val="none" w:sz="0" w:space="0" w:color="auto"/>
        <w:right w:val="none" w:sz="0" w:space="0" w:color="auto"/>
      </w:divBdr>
    </w:div>
    <w:div w:id="165704984">
      <w:bodyDiv w:val="1"/>
      <w:marLeft w:val="0"/>
      <w:marRight w:val="0"/>
      <w:marTop w:val="0"/>
      <w:marBottom w:val="0"/>
      <w:divBdr>
        <w:top w:val="none" w:sz="0" w:space="0" w:color="auto"/>
        <w:left w:val="none" w:sz="0" w:space="0" w:color="auto"/>
        <w:bottom w:val="none" w:sz="0" w:space="0" w:color="auto"/>
        <w:right w:val="none" w:sz="0" w:space="0" w:color="auto"/>
      </w:divBdr>
    </w:div>
    <w:div w:id="165823883">
      <w:bodyDiv w:val="1"/>
      <w:marLeft w:val="0"/>
      <w:marRight w:val="0"/>
      <w:marTop w:val="0"/>
      <w:marBottom w:val="0"/>
      <w:divBdr>
        <w:top w:val="none" w:sz="0" w:space="0" w:color="auto"/>
        <w:left w:val="none" w:sz="0" w:space="0" w:color="auto"/>
        <w:bottom w:val="none" w:sz="0" w:space="0" w:color="auto"/>
        <w:right w:val="none" w:sz="0" w:space="0" w:color="auto"/>
      </w:divBdr>
    </w:div>
    <w:div w:id="167136820">
      <w:bodyDiv w:val="1"/>
      <w:marLeft w:val="0"/>
      <w:marRight w:val="0"/>
      <w:marTop w:val="0"/>
      <w:marBottom w:val="0"/>
      <w:divBdr>
        <w:top w:val="none" w:sz="0" w:space="0" w:color="auto"/>
        <w:left w:val="none" w:sz="0" w:space="0" w:color="auto"/>
        <w:bottom w:val="none" w:sz="0" w:space="0" w:color="auto"/>
        <w:right w:val="none" w:sz="0" w:space="0" w:color="auto"/>
      </w:divBdr>
    </w:div>
    <w:div w:id="172033457">
      <w:bodyDiv w:val="1"/>
      <w:marLeft w:val="0"/>
      <w:marRight w:val="0"/>
      <w:marTop w:val="0"/>
      <w:marBottom w:val="0"/>
      <w:divBdr>
        <w:top w:val="none" w:sz="0" w:space="0" w:color="auto"/>
        <w:left w:val="none" w:sz="0" w:space="0" w:color="auto"/>
        <w:bottom w:val="none" w:sz="0" w:space="0" w:color="auto"/>
        <w:right w:val="none" w:sz="0" w:space="0" w:color="auto"/>
      </w:divBdr>
    </w:div>
    <w:div w:id="174269726">
      <w:bodyDiv w:val="1"/>
      <w:marLeft w:val="0"/>
      <w:marRight w:val="0"/>
      <w:marTop w:val="0"/>
      <w:marBottom w:val="0"/>
      <w:divBdr>
        <w:top w:val="none" w:sz="0" w:space="0" w:color="auto"/>
        <w:left w:val="none" w:sz="0" w:space="0" w:color="auto"/>
        <w:bottom w:val="none" w:sz="0" w:space="0" w:color="auto"/>
        <w:right w:val="none" w:sz="0" w:space="0" w:color="auto"/>
      </w:divBdr>
    </w:div>
    <w:div w:id="178351831">
      <w:bodyDiv w:val="1"/>
      <w:marLeft w:val="0"/>
      <w:marRight w:val="0"/>
      <w:marTop w:val="0"/>
      <w:marBottom w:val="0"/>
      <w:divBdr>
        <w:top w:val="none" w:sz="0" w:space="0" w:color="auto"/>
        <w:left w:val="none" w:sz="0" w:space="0" w:color="auto"/>
        <w:bottom w:val="none" w:sz="0" w:space="0" w:color="auto"/>
        <w:right w:val="none" w:sz="0" w:space="0" w:color="auto"/>
      </w:divBdr>
    </w:div>
    <w:div w:id="186220150">
      <w:bodyDiv w:val="1"/>
      <w:marLeft w:val="0"/>
      <w:marRight w:val="0"/>
      <w:marTop w:val="0"/>
      <w:marBottom w:val="0"/>
      <w:divBdr>
        <w:top w:val="none" w:sz="0" w:space="0" w:color="auto"/>
        <w:left w:val="none" w:sz="0" w:space="0" w:color="auto"/>
        <w:bottom w:val="none" w:sz="0" w:space="0" w:color="auto"/>
        <w:right w:val="none" w:sz="0" w:space="0" w:color="auto"/>
      </w:divBdr>
    </w:div>
    <w:div w:id="199054379">
      <w:bodyDiv w:val="1"/>
      <w:marLeft w:val="0"/>
      <w:marRight w:val="0"/>
      <w:marTop w:val="0"/>
      <w:marBottom w:val="0"/>
      <w:divBdr>
        <w:top w:val="none" w:sz="0" w:space="0" w:color="auto"/>
        <w:left w:val="none" w:sz="0" w:space="0" w:color="auto"/>
        <w:bottom w:val="none" w:sz="0" w:space="0" w:color="auto"/>
        <w:right w:val="none" w:sz="0" w:space="0" w:color="auto"/>
      </w:divBdr>
    </w:div>
    <w:div w:id="217058219">
      <w:bodyDiv w:val="1"/>
      <w:marLeft w:val="0"/>
      <w:marRight w:val="0"/>
      <w:marTop w:val="0"/>
      <w:marBottom w:val="0"/>
      <w:divBdr>
        <w:top w:val="none" w:sz="0" w:space="0" w:color="auto"/>
        <w:left w:val="none" w:sz="0" w:space="0" w:color="auto"/>
        <w:bottom w:val="none" w:sz="0" w:space="0" w:color="auto"/>
        <w:right w:val="none" w:sz="0" w:space="0" w:color="auto"/>
      </w:divBdr>
    </w:div>
    <w:div w:id="217203286">
      <w:bodyDiv w:val="1"/>
      <w:marLeft w:val="0"/>
      <w:marRight w:val="0"/>
      <w:marTop w:val="0"/>
      <w:marBottom w:val="0"/>
      <w:divBdr>
        <w:top w:val="none" w:sz="0" w:space="0" w:color="auto"/>
        <w:left w:val="none" w:sz="0" w:space="0" w:color="auto"/>
        <w:bottom w:val="none" w:sz="0" w:space="0" w:color="auto"/>
        <w:right w:val="none" w:sz="0" w:space="0" w:color="auto"/>
      </w:divBdr>
    </w:div>
    <w:div w:id="225577995">
      <w:bodyDiv w:val="1"/>
      <w:marLeft w:val="0"/>
      <w:marRight w:val="0"/>
      <w:marTop w:val="0"/>
      <w:marBottom w:val="0"/>
      <w:divBdr>
        <w:top w:val="none" w:sz="0" w:space="0" w:color="auto"/>
        <w:left w:val="none" w:sz="0" w:space="0" w:color="auto"/>
        <w:bottom w:val="none" w:sz="0" w:space="0" w:color="auto"/>
        <w:right w:val="none" w:sz="0" w:space="0" w:color="auto"/>
      </w:divBdr>
    </w:div>
    <w:div w:id="233972772">
      <w:bodyDiv w:val="1"/>
      <w:marLeft w:val="0"/>
      <w:marRight w:val="0"/>
      <w:marTop w:val="0"/>
      <w:marBottom w:val="0"/>
      <w:divBdr>
        <w:top w:val="none" w:sz="0" w:space="0" w:color="auto"/>
        <w:left w:val="none" w:sz="0" w:space="0" w:color="auto"/>
        <w:bottom w:val="none" w:sz="0" w:space="0" w:color="auto"/>
        <w:right w:val="none" w:sz="0" w:space="0" w:color="auto"/>
      </w:divBdr>
    </w:div>
    <w:div w:id="247007950">
      <w:bodyDiv w:val="1"/>
      <w:marLeft w:val="0"/>
      <w:marRight w:val="0"/>
      <w:marTop w:val="0"/>
      <w:marBottom w:val="0"/>
      <w:divBdr>
        <w:top w:val="none" w:sz="0" w:space="0" w:color="auto"/>
        <w:left w:val="none" w:sz="0" w:space="0" w:color="auto"/>
        <w:bottom w:val="none" w:sz="0" w:space="0" w:color="auto"/>
        <w:right w:val="none" w:sz="0" w:space="0" w:color="auto"/>
      </w:divBdr>
    </w:div>
    <w:div w:id="247622497">
      <w:bodyDiv w:val="1"/>
      <w:marLeft w:val="0"/>
      <w:marRight w:val="0"/>
      <w:marTop w:val="0"/>
      <w:marBottom w:val="0"/>
      <w:divBdr>
        <w:top w:val="none" w:sz="0" w:space="0" w:color="auto"/>
        <w:left w:val="none" w:sz="0" w:space="0" w:color="auto"/>
        <w:bottom w:val="none" w:sz="0" w:space="0" w:color="auto"/>
        <w:right w:val="none" w:sz="0" w:space="0" w:color="auto"/>
      </w:divBdr>
    </w:div>
    <w:div w:id="254438043">
      <w:bodyDiv w:val="1"/>
      <w:marLeft w:val="0"/>
      <w:marRight w:val="0"/>
      <w:marTop w:val="0"/>
      <w:marBottom w:val="0"/>
      <w:divBdr>
        <w:top w:val="none" w:sz="0" w:space="0" w:color="auto"/>
        <w:left w:val="none" w:sz="0" w:space="0" w:color="auto"/>
        <w:bottom w:val="none" w:sz="0" w:space="0" w:color="auto"/>
        <w:right w:val="none" w:sz="0" w:space="0" w:color="auto"/>
      </w:divBdr>
    </w:div>
    <w:div w:id="267472470">
      <w:bodyDiv w:val="1"/>
      <w:marLeft w:val="0"/>
      <w:marRight w:val="0"/>
      <w:marTop w:val="0"/>
      <w:marBottom w:val="0"/>
      <w:divBdr>
        <w:top w:val="none" w:sz="0" w:space="0" w:color="auto"/>
        <w:left w:val="none" w:sz="0" w:space="0" w:color="auto"/>
        <w:bottom w:val="none" w:sz="0" w:space="0" w:color="auto"/>
        <w:right w:val="none" w:sz="0" w:space="0" w:color="auto"/>
      </w:divBdr>
    </w:div>
    <w:div w:id="274482005">
      <w:bodyDiv w:val="1"/>
      <w:marLeft w:val="0"/>
      <w:marRight w:val="0"/>
      <w:marTop w:val="0"/>
      <w:marBottom w:val="0"/>
      <w:divBdr>
        <w:top w:val="none" w:sz="0" w:space="0" w:color="auto"/>
        <w:left w:val="none" w:sz="0" w:space="0" w:color="auto"/>
        <w:bottom w:val="none" w:sz="0" w:space="0" w:color="auto"/>
        <w:right w:val="none" w:sz="0" w:space="0" w:color="auto"/>
      </w:divBdr>
    </w:div>
    <w:div w:id="289288987">
      <w:bodyDiv w:val="1"/>
      <w:marLeft w:val="0"/>
      <w:marRight w:val="0"/>
      <w:marTop w:val="0"/>
      <w:marBottom w:val="0"/>
      <w:divBdr>
        <w:top w:val="none" w:sz="0" w:space="0" w:color="auto"/>
        <w:left w:val="none" w:sz="0" w:space="0" w:color="auto"/>
        <w:bottom w:val="none" w:sz="0" w:space="0" w:color="auto"/>
        <w:right w:val="none" w:sz="0" w:space="0" w:color="auto"/>
      </w:divBdr>
    </w:div>
    <w:div w:id="289432986">
      <w:bodyDiv w:val="1"/>
      <w:marLeft w:val="0"/>
      <w:marRight w:val="0"/>
      <w:marTop w:val="0"/>
      <w:marBottom w:val="0"/>
      <w:divBdr>
        <w:top w:val="none" w:sz="0" w:space="0" w:color="auto"/>
        <w:left w:val="none" w:sz="0" w:space="0" w:color="auto"/>
        <w:bottom w:val="none" w:sz="0" w:space="0" w:color="auto"/>
        <w:right w:val="none" w:sz="0" w:space="0" w:color="auto"/>
      </w:divBdr>
    </w:div>
    <w:div w:id="289671977">
      <w:bodyDiv w:val="1"/>
      <w:marLeft w:val="0"/>
      <w:marRight w:val="0"/>
      <w:marTop w:val="0"/>
      <w:marBottom w:val="0"/>
      <w:divBdr>
        <w:top w:val="none" w:sz="0" w:space="0" w:color="auto"/>
        <w:left w:val="none" w:sz="0" w:space="0" w:color="auto"/>
        <w:bottom w:val="none" w:sz="0" w:space="0" w:color="auto"/>
        <w:right w:val="none" w:sz="0" w:space="0" w:color="auto"/>
      </w:divBdr>
    </w:div>
    <w:div w:id="290790905">
      <w:bodyDiv w:val="1"/>
      <w:marLeft w:val="0"/>
      <w:marRight w:val="0"/>
      <w:marTop w:val="0"/>
      <w:marBottom w:val="0"/>
      <w:divBdr>
        <w:top w:val="none" w:sz="0" w:space="0" w:color="auto"/>
        <w:left w:val="none" w:sz="0" w:space="0" w:color="auto"/>
        <w:bottom w:val="none" w:sz="0" w:space="0" w:color="auto"/>
        <w:right w:val="none" w:sz="0" w:space="0" w:color="auto"/>
      </w:divBdr>
    </w:div>
    <w:div w:id="313066868">
      <w:bodyDiv w:val="1"/>
      <w:marLeft w:val="0"/>
      <w:marRight w:val="0"/>
      <w:marTop w:val="0"/>
      <w:marBottom w:val="0"/>
      <w:divBdr>
        <w:top w:val="none" w:sz="0" w:space="0" w:color="auto"/>
        <w:left w:val="none" w:sz="0" w:space="0" w:color="auto"/>
        <w:bottom w:val="none" w:sz="0" w:space="0" w:color="auto"/>
        <w:right w:val="none" w:sz="0" w:space="0" w:color="auto"/>
      </w:divBdr>
    </w:div>
    <w:div w:id="314920588">
      <w:bodyDiv w:val="1"/>
      <w:marLeft w:val="0"/>
      <w:marRight w:val="0"/>
      <w:marTop w:val="0"/>
      <w:marBottom w:val="0"/>
      <w:divBdr>
        <w:top w:val="none" w:sz="0" w:space="0" w:color="auto"/>
        <w:left w:val="none" w:sz="0" w:space="0" w:color="auto"/>
        <w:bottom w:val="none" w:sz="0" w:space="0" w:color="auto"/>
        <w:right w:val="none" w:sz="0" w:space="0" w:color="auto"/>
      </w:divBdr>
    </w:div>
    <w:div w:id="323826048">
      <w:bodyDiv w:val="1"/>
      <w:marLeft w:val="0"/>
      <w:marRight w:val="0"/>
      <w:marTop w:val="0"/>
      <w:marBottom w:val="0"/>
      <w:divBdr>
        <w:top w:val="none" w:sz="0" w:space="0" w:color="auto"/>
        <w:left w:val="none" w:sz="0" w:space="0" w:color="auto"/>
        <w:bottom w:val="none" w:sz="0" w:space="0" w:color="auto"/>
        <w:right w:val="none" w:sz="0" w:space="0" w:color="auto"/>
      </w:divBdr>
    </w:div>
    <w:div w:id="325282802">
      <w:bodyDiv w:val="1"/>
      <w:marLeft w:val="0"/>
      <w:marRight w:val="0"/>
      <w:marTop w:val="0"/>
      <w:marBottom w:val="0"/>
      <w:divBdr>
        <w:top w:val="none" w:sz="0" w:space="0" w:color="auto"/>
        <w:left w:val="none" w:sz="0" w:space="0" w:color="auto"/>
        <w:bottom w:val="none" w:sz="0" w:space="0" w:color="auto"/>
        <w:right w:val="none" w:sz="0" w:space="0" w:color="auto"/>
      </w:divBdr>
    </w:div>
    <w:div w:id="333579920">
      <w:bodyDiv w:val="1"/>
      <w:marLeft w:val="0"/>
      <w:marRight w:val="0"/>
      <w:marTop w:val="0"/>
      <w:marBottom w:val="0"/>
      <w:divBdr>
        <w:top w:val="none" w:sz="0" w:space="0" w:color="auto"/>
        <w:left w:val="none" w:sz="0" w:space="0" w:color="auto"/>
        <w:bottom w:val="none" w:sz="0" w:space="0" w:color="auto"/>
        <w:right w:val="none" w:sz="0" w:space="0" w:color="auto"/>
      </w:divBdr>
    </w:div>
    <w:div w:id="350690188">
      <w:bodyDiv w:val="1"/>
      <w:marLeft w:val="0"/>
      <w:marRight w:val="0"/>
      <w:marTop w:val="0"/>
      <w:marBottom w:val="0"/>
      <w:divBdr>
        <w:top w:val="none" w:sz="0" w:space="0" w:color="auto"/>
        <w:left w:val="none" w:sz="0" w:space="0" w:color="auto"/>
        <w:bottom w:val="none" w:sz="0" w:space="0" w:color="auto"/>
        <w:right w:val="none" w:sz="0" w:space="0" w:color="auto"/>
      </w:divBdr>
    </w:div>
    <w:div w:id="353842875">
      <w:bodyDiv w:val="1"/>
      <w:marLeft w:val="0"/>
      <w:marRight w:val="0"/>
      <w:marTop w:val="0"/>
      <w:marBottom w:val="0"/>
      <w:divBdr>
        <w:top w:val="none" w:sz="0" w:space="0" w:color="auto"/>
        <w:left w:val="none" w:sz="0" w:space="0" w:color="auto"/>
        <w:bottom w:val="none" w:sz="0" w:space="0" w:color="auto"/>
        <w:right w:val="none" w:sz="0" w:space="0" w:color="auto"/>
      </w:divBdr>
    </w:div>
    <w:div w:id="354771815">
      <w:bodyDiv w:val="1"/>
      <w:marLeft w:val="0"/>
      <w:marRight w:val="0"/>
      <w:marTop w:val="0"/>
      <w:marBottom w:val="0"/>
      <w:divBdr>
        <w:top w:val="none" w:sz="0" w:space="0" w:color="auto"/>
        <w:left w:val="none" w:sz="0" w:space="0" w:color="auto"/>
        <w:bottom w:val="none" w:sz="0" w:space="0" w:color="auto"/>
        <w:right w:val="none" w:sz="0" w:space="0" w:color="auto"/>
      </w:divBdr>
    </w:div>
    <w:div w:id="355277347">
      <w:bodyDiv w:val="1"/>
      <w:marLeft w:val="0"/>
      <w:marRight w:val="0"/>
      <w:marTop w:val="0"/>
      <w:marBottom w:val="0"/>
      <w:divBdr>
        <w:top w:val="none" w:sz="0" w:space="0" w:color="auto"/>
        <w:left w:val="none" w:sz="0" w:space="0" w:color="auto"/>
        <w:bottom w:val="none" w:sz="0" w:space="0" w:color="auto"/>
        <w:right w:val="none" w:sz="0" w:space="0" w:color="auto"/>
      </w:divBdr>
    </w:div>
    <w:div w:id="368607103">
      <w:bodyDiv w:val="1"/>
      <w:marLeft w:val="0"/>
      <w:marRight w:val="0"/>
      <w:marTop w:val="0"/>
      <w:marBottom w:val="0"/>
      <w:divBdr>
        <w:top w:val="none" w:sz="0" w:space="0" w:color="auto"/>
        <w:left w:val="none" w:sz="0" w:space="0" w:color="auto"/>
        <w:bottom w:val="none" w:sz="0" w:space="0" w:color="auto"/>
        <w:right w:val="none" w:sz="0" w:space="0" w:color="auto"/>
      </w:divBdr>
    </w:div>
    <w:div w:id="375545003">
      <w:bodyDiv w:val="1"/>
      <w:marLeft w:val="0"/>
      <w:marRight w:val="0"/>
      <w:marTop w:val="0"/>
      <w:marBottom w:val="0"/>
      <w:divBdr>
        <w:top w:val="none" w:sz="0" w:space="0" w:color="auto"/>
        <w:left w:val="none" w:sz="0" w:space="0" w:color="auto"/>
        <w:bottom w:val="none" w:sz="0" w:space="0" w:color="auto"/>
        <w:right w:val="none" w:sz="0" w:space="0" w:color="auto"/>
      </w:divBdr>
    </w:div>
    <w:div w:id="378013292">
      <w:bodyDiv w:val="1"/>
      <w:marLeft w:val="0"/>
      <w:marRight w:val="0"/>
      <w:marTop w:val="0"/>
      <w:marBottom w:val="0"/>
      <w:divBdr>
        <w:top w:val="none" w:sz="0" w:space="0" w:color="auto"/>
        <w:left w:val="none" w:sz="0" w:space="0" w:color="auto"/>
        <w:bottom w:val="none" w:sz="0" w:space="0" w:color="auto"/>
        <w:right w:val="none" w:sz="0" w:space="0" w:color="auto"/>
      </w:divBdr>
    </w:div>
    <w:div w:id="381634040">
      <w:bodyDiv w:val="1"/>
      <w:marLeft w:val="0"/>
      <w:marRight w:val="0"/>
      <w:marTop w:val="0"/>
      <w:marBottom w:val="0"/>
      <w:divBdr>
        <w:top w:val="none" w:sz="0" w:space="0" w:color="auto"/>
        <w:left w:val="none" w:sz="0" w:space="0" w:color="auto"/>
        <w:bottom w:val="none" w:sz="0" w:space="0" w:color="auto"/>
        <w:right w:val="none" w:sz="0" w:space="0" w:color="auto"/>
      </w:divBdr>
    </w:div>
    <w:div w:id="403722934">
      <w:bodyDiv w:val="1"/>
      <w:marLeft w:val="0"/>
      <w:marRight w:val="0"/>
      <w:marTop w:val="0"/>
      <w:marBottom w:val="0"/>
      <w:divBdr>
        <w:top w:val="none" w:sz="0" w:space="0" w:color="auto"/>
        <w:left w:val="none" w:sz="0" w:space="0" w:color="auto"/>
        <w:bottom w:val="none" w:sz="0" w:space="0" w:color="auto"/>
        <w:right w:val="none" w:sz="0" w:space="0" w:color="auto"/>
      </w:divBdr>
    </w:div>
    <w:div w:id="444009105">
      <w:bodyDiv w:val="1"/>
      <w:marLeft w:val="0"/>
      <w:marRight w:val="0"/>
      <w:marTop w:val="0"/>
      <w:marBottom w:val="0"/>
      <w:divBdr>
        <w:top w:val="none" w:sz="0" w:space="0" w:color="auto"/>
        <w:left w:val="none" w:sz="0" w:space="0" w:color="auto"/>
        <w:bottom w:val="none" w:sz="0" w:space="0" w:color="auto"/>
        <w:right w:val="none" w:sz="0" w:space="0" w:color="auto"/>
      </w:divBdr>
    </w:div>
    <w:div w:id="446043458">
      <w:bodyDiv w:val="1"/>
      <w:marLeft w:val="0"/>
      <w:marRight w:val="0"/>
      <w:marTop w:val="0"/>
      <w:marBottom w:val="0"/>
      <w:divBdr>
        <w:top w:val="none" w:sz="0" w:space="0" w:color="auto"/>
        <w:left w:val="none" w:sz="0" w:space="0" w:color="auto"/>
        <w:bottom w:val="none" w:sz="0" w:space="0" w:color="auto"/>
        <w:right w:val="none" w:sz="0" w:space="0" w:color="auto"/>
      </w:divBdr>
    </w:div>
    <w:div w:id="448088984">
      <w:bodyDiv w:val="1"/>
      <w:marLeft w:val="0"/>
      <w:marRight w:val="0"/>
      <w:marTop w:val="0"/>
      <w:marBottom w:val="0"/>
      <w:divBdr>
        <w:top w:val="none" w:sz="0" w:space="0" w:color="auto"/>
        <w:left w:val="none" w:sz="0" w:space="0" w:color="auto"/>
        <w:bottom w:val="none" w:sz="0" w:space="0" w:color="auto"/>
        <w:right w:val="none" w:sz="0" w:space="0" w:color="auto"/>
      </w:divBdr>
    </w:div>
    <w:div w:id="448546223">
      <w:bodyDiv w:val="1"/>
      <w:marLeft w:val="0"/>
      <w:marRight w:val="0"/>
      <w:marTop w:val="0"/>
      <w:marBottom w:val="0"/>
      <w:divBdr>
        <w:top w:val="none" w:sz="0" w:space="0" w:color="auto"/>
        <w:left w:val="none" w:sz="0" w:space="0" w:color="auto"/>
        <w:bottom w:val="none" w:sz="0" w:space="0" w:color="auto"/>
        <w:right w:val="none" w:sz="0" w:space="0" w:color="auto"/>
      </w:divBdr>
    </w:div>
    <w:div w:id="452754677">
      <w:bodyDiv w:val="1"/>
      <w:marLeft w:val="0"/>
      <w:marRight w:val="0"/>
      <w:marTop w:val="0"/>
      <w:marBottom w:val="0"/>
      <w:divBdr>
        <w:top w:val="none" w:sz="0" w:space="0" w:color="auto"/>
        <w:left w:val="none" w:sz="0" w:space="0" w:color="auto"/>
        <w:bottom w:val="none" w:sz="0" w:space="0" w:color="auto"/>
        <w:right w:val="none" w:sz="0" w:space="0" w:color="auto"/>
      </w:divBdr>
    </w:div>
    <w:div w:id="453329139">
      <w:bodyDiv w:val="1"/>
      <w:marLeft w:val="0"/>
      <w:marRight w:val="0"/>
      <w:marTop w:val="0"/>
      <w:marBottom w:val="0"/>
      <w:divBdr>
        <w:top w:val="none" w:sz="0" w:space="0" w:color="auto"/>
        <w:left w:val="none" w:sz="0" w:space="0" w:color="auto"/>
        <w:bottom w:val="none" w:sz="0" w:space="0" w:color="auto"/>
        <w:right w:val="none" w:sz="0" w:space="0" w:color="auto"/>
      </w:divBdr>
    </w:div>
    <w:div w:id="458105975">
      <w:bodyDiv w:val="1"/>
      <w:marLeft w:val="0"/>
      <w:marRight w:val="0"/>
      <w:marTop w:val="0"/>
      <w:marBottom w:val="0"/>
      <w:divBdr>
        <w:top w:val="none" w:sz="0" w:space="0" w:color="auto"/>
        <w:left w:val="none" w:sz="0" w:space="0" w:color="auto"/>
        <w:bottom w:val="none" w:sz="0" w:space="0" w:color="auto"/>
        <w:right w:val="none" w:sz="0" w:space="0" w:color="auto"/>
      </w:divBdr>
    </w:div>
    <w:div w:id="469830147">
      <w:bodyDiv w:val="1"/>
      <w:marLeft w:val="0"/>
      <w:marRight w:val="0"/>
      <w:marTop w:val="0"/>
      <w:marBottom w:val="0"/>
      <w:divBdr>
        <w:top w:val="none" w:sz="0" w:space="0" w:color="auto"/>
        <w:left w:val="none" w:sz="0" w:space="0" w:color="auto"/>
        <w:bottom w:val="none" w:sz="0" w:space="0" w:color="auto"/>
        <w:right w:val="none" w:sz="0" w:space="0" w:color="auto"/>
      </w:divBdr>
    </w:div>
    <w:div w:id="476193969">
      <w:bodyDiv w:val="1"/>
      <w:marLeft w:val="0"/>
      <w:marRight w:val="0"/>
      <w:marTop w:val="0"/>
      <w:marBottom w:val="0"/>
      <w:divBdr>
        <w:top w:val="none" w:sz="0" w:space="0" w:color="auto"/>
        <w:left w:val="none" w:sz="0" w:space="0" w:color="auto"/>
        <w:bottom w:val="none" w:sz="0" w:space="0" w:color="auto"/>
        <w:right w:val="none" w:sz="0" w:space="0" w:color="auto"/>
      </w:divBdr>
    </w:div>
    <w:div w:id="477235416">
      <w:bodyDiv w:val="1"/>
      <w:marLeft w:val="0"/>
      <w:marRight w:val="0"/>
      <w:marTop w:val="0"/>
      <w:marBottom w:val="0"/>
      <w:divBdr>
        <w:top w:val="none" w:sz="0" w:space="0" w:color="auto"/>
        <w:left w:val="none" w:sz="0" w:space="0" w:color="auto"/>
        <w:bottom w:val="none" w:sz="0" w:space="0" w:color="auto"/>
        <w:right w:val="none" w:sz="0" w:space="0" w:color="auto"/>
      </w:divBdr>
    </w:div>
    <w:div w:id="478544683">
      <w:bodyDiv w:val="1"/>
      <w:marLeft w:val="0"/>
      <w:marRight w:val="0"/>
      <w:marTop w:val="0"/>
      <w:marBottom w:val="0"/>
      <w:divBdr>
        <w:top w:val="none" w:sz="0" w:space="0" w:color="auto"/>
        <w:left w:val="none" w:sz="0" w:space="0" w:color="auto"/>
        <w:bottom w:val="none" w:sz="0" w:space="0" w:color="auto"/>
        <w:right w:val="none" w:sz="0" w:space="0" w:color="auto"/>
      </w:divBdr>
    </w:div>
    <w:div w:id="496846279">
      <w:bodyDiv w:val="1"/>
      <w:marLeft w:val="0"/>
      <w:marRight w:val="0"/>
      <w:marTop w:val="0"/>
      <w:marBottom w:val="0"/>
      <w:divBdr>
        <w:top w:val="none" w:sz="0" w:space="0" w:color="auto"/>
        <w:left w:val="none" w:sz="0" w:space="0" w:color="auto"/>
        <w:bottom w:val="none" w:sz="0" w:space="0" w:color="auto"/>
        <w:right w:val="none" w:sz="0" w:space="0" w:color="auto"/>
      </w:divBdr>
    </w:div>
    <w:div w:id="511724597">
      <w:bodyDiv w:val="1"/>
      <w:marLeft w:val="0"/>
      <w:marRight w:val="0"/>
      <w:marTop w:val="0"/>
      <w:marBottom w:val="0"/>
      <w:divBdr>
        <w:top w:val="none" w:sz="0" w:space="0" w:color="auto"/>
        <w:left w:val="none" w:sz="0" w:space="0" w:color="auto"/>
        <w:bottom w:val="none" w:sz="0" w:space="0" w:color="auto"/>
        <w:right w:val="none" w:sz="0" w:space="0" w:color="auto"/>
      </w:divBdr>
    </w:div>
    <w:div w:id="516047641">
      <w:bodyDiv w:val="1"/>
      <w:marLeft w:val="0"/>
      <w:marRight w:val="0"/>
      <w:marTop w:val="0"/>
      <w:marBottom w:val="0"/>
      <w:divBdr>
        <w:top w:val="none" w:sz="0" w:space="0" w:color="auto"/>
        <w:left w:val="none" w:sz="0" w:space="0" w:color="auto"/>
        <w:bottom w:val="none" w:sz="0" w:space="0" w:color="auto"/>
        <w:right w:val="none" w:sz="0" w:space="0" w:color="auto"/>
      </w:divBdr>
    </w:div>
    <w:div w:id="520778868">
      <w:bodyDiv w:val="1"/>
      <w:marLeft w:val="0"/>
      <w:marRight w:val="0"/>
      <w:marTop w:val="0"/>
      <w:marBottom w:val="0"/>
      <w:divBdr>
        <w:top w:val="none" w:sz="0" w:space="0" w:color="auto"/>
        <w:left w:val="none" w:sz="0" w:space="0" w:color="auto"/>
        <w:bottom w:val="none" w:sz="0" w:space="0" w:color="auto"/>
        <w:right w:val="none" w:sz="0" w:space="0" w:color="auto"/>
      </w:divBdr>
    </w:div>
    <w:div w:id="521865510">
      <w:bodyDiv w:val="1"/>
      <w:marLeft w:val="0"/>
      <w:marRight w:val="0"/>
      <w:marTop w:val="0"/>
      <w:marBottom w:val="0"/>
      <w:divBdr>
        <w:top w:val="none" w:sz="0" w:space="0" w:color="auto"/>
        <w:left w:val="none" w:sz="0" w:space="0" w:color="auto"/>
        <w:bottom w:val="none" w:sz="0" w:space="0" w:color="auto"/>
        <w:right w:val="none" w:sz="0" w:space="0" w:color="auto"/>
      </w:divBdr>
    </w:div>
    <w:div w:id="533084261">
      <w:bodyDiv w:val="1"/>
      <w:marLeft w:val="0"/>
      <w:marRight w:val="0"/>
      <w:marTop w:val="0"/>
      <w:marBottom w:val="0"/>
      <w:divBdr>
        <w:top w:val="none" w:sz="0" w:space="0" w:color="auto"/>
        <w:left w:val="none" w:sz="0" w:space="0" w:color="auto"/>
        <w:bottom w:val="none" w:sz="0" w:space="0" w:color="auto"/>
        <w:right w:val="none" w:sz="0" w:space="0" w:color="auto"/>
      </w:divBdr>
    </w:div>
    <w:div w:id="534779706">
      <w:bodyDiv w:val="1"/>
      <w:marLeft w:val="0"/>
      <w:marRight w:val="0"/>
      <w:marTop w:val="0"/>
      <w:marBottom w:val="0"/>
      <w:divBdr>
        <w:top w:val="none" w:sz="0" w:space="0" w:color="auto"/>
        <w:left w:val="none" w:sz="0" w:space="0" w:color="auto"/>
        <w:bottom w:val="none" w:sz="0" w:space="0" w:color="auto"/>
        <w:right w:val="none" w:sz="0" w:space="0" w:color="auto"/>
      </w:divBdr>
    </w:div>
    <w:div w:id="567573420">
      <w:bodyDiv w:val="1"/>
      <w:marLeft w:val="0"/>
      <w:marRight w:val="0"/>
      <w:marTop w:val="0"/>
      <w:marBottom w:val="0"/>
      <w:divBdr>
        <w:top w:val="none" w:sz="0" w:space="0" w:color="auto"/>
        <w:left w:val="none" w:sz="0" w:space="0" w:color="auto"/>
        <w:bottom w:val="none" w:sz="0" w:space="0" w:color="auto"/>
        <w:right w:val="none" w:sz="0" w:space="0" w:color="auto"/>
      </w:divBdr>
    </w:div>
    <w:div w:id="584073430">
      <w:bodyDiv w:val="1"/>
      <w:marLeft w:val="0"/>
      <w:marRight w:val="0"/>
      <w:marTop w:val="0"/>
      <w:marBottom w:val="0"/>
      <w:divBdr>
        <w:top w:val="none" w:sz="0" w:space="0" w:color="auto"/>
        <w:left w:val="none" w:sz="0" w:space="0" w:color="auto"/>
        <w:bottom w:val="none" w:sz="0" w:space="0" w:color="auto"/>
        <w:right w:val="none" w:sz="0" w:space="0" w:color="auto"/>
      </w:divBdr>
    </w:div>
    <w:div w:id="584648117">
      <w:bodyDiv w:val="1"/>
      <w:marLeft w:val="0"/>
      <w:marRight w:val="0"/>
      <w:marTop w:val="0"/>
      <w:marBottom w:val="0"/>
      <w:divBdr>
        <w:top w:val="none" w:sz="0" w:space="0" w:color="auto"/>
        <w:left w:val="none" w:sz="0" w:space="0" w:color="auto"/>
        <w:bottom w:val="none" w:sz="0" w:space="0" w:color="auto"/>
        <w:right w:val="none" w:sz="0" w:space="0" w:color="auto"/>
      </w:divBdr>
    </w:div>
    <w:div w:id="589898874">
      <w:bodyDiv w:val="1"/>
      <w:marLeft w:val="0"/>
      <w:marRight w:val="0"/>
      <w:marTop w:val="0"/>
      <w:marBottom w:val="0"/>
      <w:divBdr>
        <w:top w:val="none" w:sz="0" w:space="0" w:color="auto"/>
        <w:left w:val="none" w:sz="0" w:space="0" w:color="auto"/>
        <w:bottom w:val="none" w:sz="0" w:space="0" w:color="auto"/>
        <w:right w:val="none" w:sz="0" w:space="0" w:color="auto"/>
      </w:divBdr>
    </w:div>
    <w:div w:id="597056810">
      <w:bodyDiv w:val="1"/>
      <w:marLeft w:val="0"/>
      <w:marRight w:val="0"/>
      <w:marTop w:val="0"/>
      <w:marBottom w:val="0"/>
      <w:divBdr>
        <w:top w:val="none" w:sz="0" w:space="0" w:color="auto"/>
        <w:left w:val="none" w:sz="0" w:space="0" w:color="auto"/>
        <w:bottom w:val="none" w:sz="0" w:space="0" w:color="auto"/>
        <w:right w:val="none" w:sz="0" w:space="0" w:color="auto"/>
      </w:divBdr>
    </w:div>
    <w:div w:id="598954027">
      <w:bodyDiv w:val="1"/>
      <w:marLeft w:val="0"/>
      <w:marRight w:val="0"/>
      <w:marTop w:val="0"/>
      <w:marBottom w:val="0"/>
      <w:divBdr>
        <w:top w:val="none" w:sz="0" w:space="0" w:color="auto"/>
        <w:left w:val="none" w:sz="0" w:space="0" w:color="auto"/>
        <w:bottom w:val="none" w:sz="0" w:space="0" w:color="auto"/>
        <w:right w:val="none" w:sz="0" w:space="0" w:color="auto"/>
      </w:divBdr>
    </w:div>
    <w:div w:id="601450922">
      <w:bodyDiv w:val="1"/>
      <w:marLeft w:val="0"/>
      <w:marRight w:val="0"/>
      <w:marTop w:val="0"/>
      <w:marBottom w:val="0"/>
      <w:divBdr>
        <w:top w:val="none" w:sz="0" w:space="0" w:color="auto"/>
        <w:left w:val="none" w:sz="0" w:space="0" w:color="auto"/>
        <w:bottom w:val="none" w:sz="0" w:space="0" w:color="auto"/>
        <w:right w:val="none" w:sz="0" w:space="0" w:color="auto"/>
      </w:divBdr>
    </w:div>
    <w:div w:id="604115154">
      <w:bodyDiv w:val="1"/>
      <w:marLeft w:val="0"/>
      <w:marRight w:val="0"/>
      <w:marTop w:val="0"/>
      <w:marBottom w:val="0"/>
      <w:divBdr>
        <w:top w:val="none" w:sz="0" w:space="0" w:color="auto"/>
        <w:left w:val="none" w:sz="0" w:space="0" w:color="auto"/>
        <w:bottom w:val="none" w:sz="0" w:space="0" w:color="auto"/>
        <w:right w:val="none" w:sz="0" w:space="0" w:color="auto"/>
      </w:divBdr>
    </w:div>
    <w:div w:id="607156691">
      <w:bodyDiv w:val="1"/>
      <w:marLeft w:val="0"/>
      <w:marRight w:val="0"/>
      <w:marTop w:val="0"/>
      <w:marBottom w:val="0"/>
      <w:divBdr>
        <w:top w:val="none" w:sz="0" w:space="0" w:color="auto"/>
        <w:left w:val="none" w:sz="0" w:space="0" w:color="auto"/>
        <w:bottom w:val="none" w:sz="0" w:space="0" w:color="auto"/>
        <w:right w:val="none" w:sz="0" w:space="0" w:color="auto"/>
      </w:divBdr>
    </w:div>
    <w:div w:id="622034192">
      <w:bodyDiv w:val="1"/>
      <w:marLeft w:val="0"/>
      <w:marRight w:val="0"/>
      <w:marTop w:val="0"/>
      <w:marBottom w:val="0"/>
      <w:divBdr>
        <w:top w:val="none" w:sz="0" w:space="0" w:color="auto"/>
        <w:left w:val="none" w:sz="0" w:space="0" w:color="auto"/>
        <w:bottom w:val="none" w:sz="0" w:space="0" w:color="auto"/>
        <w:right w:val="none" w:sz="0" w:space="0" w:color="auto"/>
      </w:divBdr>
    </w:div>
    <w:div w:id="624314070">
      <w:bodyDiv w:val="1"/>
      <w:marLeft w:val="0"/>
      <w:marRight w:val="0"/>
      <w:marTop w:val="0"/>
      <w:marBottom w:val="0"/>
      <w:divBdr>
        <w:top w:val="none" w:sz="0" w:space="0" w:color="auto"/>
        <w:left w:val="none" w:sz="0" w:space="0" w:color="auto"/>
        <w:bottom w:val="none" w:sz="0" w:space="0" w:color="auto"/>
        <w:right w:val="none" w:sz="0" w:space="0" w:color="auto"/>
      </w:divBdr>
    </w:div>
    <w:div w:id="627665702">
      <w:bodyDiv w:val="1"/>
      <w:marLeft w:val="0"/>
      <w:marRight w:val="0"/>
      <w:marTop w:val="0"/>
      <w:marBottom w:val="0"/>
      <w:divBdr>
        <w:top w:val="none" w:sz="0" w:space="0" w:color="auto"/>
        <w:left w:val="none" w:sz="0" w:space="0" w:color="auto"/>
        <w:bottom w:val="none" w:sz="0" w:space="0" w:color="auto"/>
        <w:right w:val="none" w:sz="0" w:space="0" w:color="auto"/>
      </w:divBdr>
    </w:div>
    <w:div w:id="634607538">
      <w:bodyDiv w:val="1"/>
      <w:marLeft w:val="0"/>
      <w:marRight w:val="0"/>
      <w:marTop w:val="0"/>
      <w:marBottom w:val="0"/>
      <w:divBdr>
        <w:top w:val="none" w:sz="0" w:space="0" w:color="auto"/>
        <w:left w:val="none" w:sz="0" w:space="0" w:color="auto"/>
        <w:bottom w:val="none" w:sz="0" w:space="0" w:color="auto"/>
        <w:right w:val="none" w:sz="0" w:space="0" w:color="auto"/>
      </w:divBdr>
    </w:div>
    <w:div w:id="635767788">
      <w:bodyDiv w:val="1"/>
      <w:marLeft w:val="0"/>
      <w:marRight w:val="0"/>
      <w:marTop w:val="0"/>
      <w:marBottom w:val="0"/>
      <w:divBdr>
        <w:top w:val="none" w:sz="0" w:space="0" w:color="auto"/>
        <w:left w:val="none" w:sz="0" w:space="0" w:color="auto"/>
        <w:bottom w:val="none" w:sz="0" w:space="0" w:color="auto"/>
        <w:right w:val="none" w:sz="0" w:space="0" w:color="auto"/>
      </w:divBdr>
    </w:div>
    <w:div w:id="637300867">
      <w:bodyDiv w:val="1"/>
      <w:marLeft w:val="0"/>
      <w:marRight w:val="0"/>
      <w:marTop w:val="0"/>
      <w:marBottom w:val="0"/>
      <w:divBdr>
        <w:top w:val="none" w:sz="0" w:space="0" w:color="auto"/>
        <w:left w:val="none" w:sz="0" w:space="0" w:color="auto"/>
        <w:bottom w:val="none" w:sz="0" w:space="0" w:color="auto"/>
        <w:right w:val="none" w:sz="0" w:space="0" w:color="auto"/>
      </w:divBdr>
    </w:div>
    <w:div w:id="651712382">
      <w:bodyDiv w:val="1"/>
      <w:marLeft w:val="0"/>
      <w:marRight w:val="0"/>
      <w:marTop w:val="0"/>
      <w:marBottom w:val="0"/>
      <w:divBdr>
        <w:top w:val="none" w:sz="0" w:space="0" w:color="auto"/>
        <w:left w:val="none" w:sz="0" w:space="0" w:color="auto"/>
        <w:bottom w:val="none" w:sz="0" w:space="0" w:color="auto"/>
        <w:right w:val="none" w:sz="0" w:space="0" w:color="auto"/>
      </w:divBdr>
    </w:div>
    <w:div w:id="658775430">
      <w:bodyDiv w:val="1"/>
      <w:marLeft w:val="0"/>
      <w:marRight w:val="0"/>
      <w:marTop w:val="0"/>
      <w:marBottom w:val="0"/>
      <w:divBdr>
        <w:top w:val="none" w:sz="0" w:space="0" w:color="auto"/>
        <w:left w:val="none" w:sz="0" w:space="0" w:color="auto"/>
        <w:bottom w:val="none" w:sz="0" w:space="0" w:color="auto"/>
        <w:right w:val="none" w:sz="0" w:space="0" w:color="auto"/>
      </w:divBdr>
    </w:div>
    <w:div w:id="660740262">
      <w:bodyDiv w:val="1"/>
      <w:marLeft w:val="0"/>
      <w:marRight w:val="0"/>
      <w:marTop w:val="0"/>
      <w:marBottom w:val="0"/>
      <w:divBdr>
        <w:top w:val="none" w:sz="0" w:space="0" w:color="auto"/>
        <w:left w:val="none" w:sz="0" w:space="0" w:color="auto"/>
        <w:bottom w:val="none" w:sz="0" w:space="0" w:color="auto"/>
        <w:right w:val="none" w:sz="0" w:space="0" w:color="auto"/>
      </w:divBdr>
    </w:div>
    <w:div w:id="675154405">
      <w:bodyDiv w:val="1"/>
      <w:marLeft w:val="0"/>
      <w:marRight w:val="0"/>
      <w:marTop w:val="0"/>
      <w:marBottom w:val="0"/>
      <w:divBdr>
        <w:top w:val="none" w:sz="0" w:space="0" w:color="auto"/>
        <w:left w:val="none" w:sz="0" w:space="0" w:color="auto"/>
        <w:bottom w:val="none" w:sz="0" w:space="0" w:color="auto"/>
        <w:right w:val="none" w:sz="0" w:space="0" w:color="auto"/>
      </w:divBdr>
    </w:div>
    <w:div w:id="688992750">
      <w:bodyDiv w:val="1"/>
      <w:marLeft w:val="0"/>
      <w:marRight w:val="0"/>
      <w:marTop w:val="0"/>
      <w:marBottom w:val="0"/>
      <w:divBdr>
        <w:top w:val="none" w:sz="0" w:space="0" w:color="auto"/>
        <w:left w:val="none" w:sz="0" w:space="0" w:color="auto"/>
        <w:bottom w:val="none" w:sz="0" w:space="0" w:color="auto"/>
        <w:right w:val="none" w:sz="0" w:space="0" w:color="auto"/>
      </w:divBdr>
    </w:div>
    <w:div w:id="691687692">
      <w:bodyDiv w:val="1"/>
      <w:marLeft w:val="0"/>
      <w:marRight w:val="0"/>
      <w:marTop w:val="0"/>
      <w:marBottom w:val="0"/>
      <w:divBdr>
        <w:top w:val="none" w:sz="0" w:space="0" w:color="auto"/>
        <w:left w:val="none" w:sz="0" w:space="0" w:color="auto"/>
        <w:bottom w:val="none" w:sz="0" w:space="0" w:color="auto"/>
        <w:right w:val="none" w:sz="0" w:space="0" w:color="auto"/>
      </w:divBdr>
    </w:div>
    <w:div w:id="692192126">
      <w:bodyDiv w:val="1"/>
      <w:marLeft w:val="0"/>
      <w:marRight w:val="0"/>
      <w:marTop w:val="0"/>
      <w:marBottom w:val="0"/>
      <w:divBdr>
        <w:top w:val="none" w:sz="0" w:space="0" w:color="auto"/>
        <w:left w:val="none" w:sz="0" w:space="0" w:color="auto"/>
        <w:bottom w:val="none" w:sz="0" w:space="0" w:color="auto"/>
        <w:right w:val="none" w:sz="0" w:space="0" w:color="auto"/>
      </w:divBdr>
    </w:div>
    <w:div w:id="693656331">
      <w:bodyDiv w:val="1"/>
      <w:marLeft w:val="0"/>
      <w:marRight w:val="0"/>
      <w:marTop w:val="0"/>
      <w:marBottom w:val="0"/>
      <w:divBdr>
        <w:top w:val="none" w:sz="0" w:space="0" w:color="auto"/>
        <w:left w:val="none" w:sz="0" w:space="0" w:color="auto"/>
        <w:bottom w:val="none" w:sz="0" w:space="0" w:color="auto"/>
        <w:right w:val="none" w:sz="0" w:space="0" w:color="auto"/>
      </w:divBdr>
    </w:div>
    <w:div w:id="694310073">
      <w:bodyDiv w:val="1"/>
      <w:marLeft w:val="0"/>
      <w:marRight w:val="0"/>
      <w:marTop w:val="0"/>
      <w:marBottom w:val="0"/>
      <w:divBdr>
        <w:top w:val="none" w:sz="0" w:space="0" w:color="auto"/>
        <w:left w:val="none" w:sz="0" w:space="0" w:color="auto"/>
        <w:bottom w:val="none" w:sz="0" w:space="0" w:color="auto"/>
        <w:right w:val="none" w:sz="0" w:space="0" w:color="auto"/>
      </w:divBdr>
    </w:div>
    <w:div w:id="700933709">
      <w:bodyDiv w:val="1"/>
      <w:marLeft w:val="0"/>
      <w:marRight w:val="0"/>
      <w:marTop w:val="0"/>
      <w:marBottom w:val="0"/>
      <w:divBdr>
        <w:top w:val="none" w:sz="0" w:space="0" w:color="auto"/>
        <w:left w:val="none" w:sz="0" w:space="0" w:color="auto"/>
        <w:bottom w:val="none" w:sz="0" w:space="0" w:color="auto"/>
        <w:right w:val="none" w:sz="0" w:space="0" w:color="auto"/>
      </w:divBdr>
    </w:div>
    <w:div w:id="704477308">
      <w:bodyDiv w:val="1"/>
      <w:marLeft w:val="0"/>
      <w:marRight w:val="0"/>
      <w:marTop w:val="0"/>
      <w:marBottom w:val="0"/>
      <w:divBdr>
        <w:top w:val="none" w:sz="0" w:space="0" w:color="auto"/>
        <w:left w:val="none" w:sz="0" w:space="0" w:color="auto"/>
        <w:bottom w:val="none" w:sz="0" w:space="0" w:color="auto"/>
        <w:right w:val="none" w:sz="0" w:space="0" w:color="auto"/>
      </w:divBdr>
    </w:div>
    <w:div w:id="733428025">
      <w:bodyDiv w:val="1"/>
      <w:marLeft w:val="0"/>
      <w:marRight w:val="0"/>
      <w:marTop w:val="0"/>
      <w:marBottom w:val="0"/>
      <w:divBdr>
        <w:top w:val="none" w:sz="0" w:space="0" w:color="auto"/>
        <w:left w:val="none" w:sz="0" w:space="0" w:color="auto"/>
        <w:bottom w:val="none" w:sz="0" w:space="0" w:color="auto"/>
        <w:right w:val="none" w:sz="0" w:space="0" w:color="auto"/>
      </w:divBdr>
    </w:div>
    <w:div w:id="734667541">
      <w:bodyDiv w:val="1"/>
      <w:marLeft w:val="0"/>
      <w:marRight w:val="0"/>
      <w:marTop w:val="0"/>
      <w:marBottom w:val="0"/>
      <w:divBdr>
        <w:top w:val="none" w:sz="0" w:space="0" w:color="auto"/>
        <w:left w:val="none" w:sz="0" w:space="0" w:color="auto"/>
        <w:bottom w:val="none" w:sz="0" w:space="0" w:color="auto"/>
        <w:right w:val="none" w:sz="0" w:space="0" w:color="auto"/>
      </w:divBdr>
    </w:div>
    <w:div w:id="736052301">
      <w:bodyDiv w:val="1"/>
      <w:marLeft w:val="0"/>
      <w:marRight w:val="0"/>
      <w:marTop w:val="0"/>
      <w:marBottom w:val="0"/>
      <w:divBdr>
        <w:top w:val="none" w:sz="0" w:space="0" w:color="auto"/>
        <w:left w:val="none" w:sz="0" w:space="0" w:color="auto"/>
        <w:bottom w:val="none" w:sz="0" w:space="0" w:color="auto"/>
        <w:right w:val="none" w:sz="0" w:space="0" w:color="auto"/>
      </w:divBdr>
    </w:div>
    <w:div w:id="747271677">
      <w:bodyDiv w:val="1"/>
      <w:marLeft w:val="0"/>
      <w:marRight w:val="0"/>
      <w:marTop w:val="0"/>
      <w:marBottom w:val="0"/>
      <w:divBdr>
        <w:top w:val="none" w:sz="0" w:space="0" w:color="auto"/>
        <w:left w:val="none" w:sz="0" w:space="0" w:color="auto"/>
        <w:bottom w:val="none" w:sz="0" w:space="0" w:color="auto"/>
        <w:right w:val="none" w:sz="0" w:space="0" w:color="auto"/>
      </w:divBdr>
    </w:div>
    <w:div w:id="755975584">
      <w:bodyDiv w:val="1"/>
      <w:marLeft w:val="0"/>
      <w:marRight w:val="0"/>
      <w:marTop w:val="0"/>
      <w:marBottom w:val="0"/>
      <w:divBdr>
        <w:top w:val="none" w:sz="0" w:space="0" w:color="auto"/>
        <w:left w:val="none" w:sz="0" w:space="0" w:color="auto"/>
        <w:bottom w:val="none" w:sz="0" w:space="0" w:color="auto"/>
        <w:right w:val="none" w:sz="0" w:space="0" w:color="auto"/>
      </w:divBdr>
    </w:div>
    <w:div w:id="765540740">
      <w:bodyDiv w:val="1"/>
      <w:marLeft w:val="0"/>
      <w:marRight w:val="0"/>
      <w:marTop w:val="0"/>
      <w:marBottom w:val="0"/>
      <w:divBdr>
        <w:top w:val="none" w:sz="0" w:space="0" w:color="auto"/>
        <w:left w:val="none" w:sz="0" w:space="0" w:color="auto"/>
        <w:bottom w:val="none" w:sz="0" w:space="0" w:color="auto"/>
        <w:right w:val="none" w:sz="0" w:space="0" w:color="auto"/>
      </w:divBdr>
    </w:div>
    <w:div w:id="766124397">
      <w:bodyDiv w:val="1"/>
      <w:marLeft w:val="0"/>
      <w:marRight w:val="0"/>
      <w:marTop w:val="0"/>
      <w:marBottom w:val="0"/>
      <w:divBdr>
        <w:top w:val="none" w:sz="0" w:space="0" w:color="auto"/>
        <w:left w:val="none" w:sz="0" w:space="0" w:color="auto"/>
        <w:bottom w:val="none" w:sz="0" w:space="0" w:color="auto"/>
        <w:right w:val="none" w:sz="0" w:space="0" w:color="auto"/>
      </w:divBdr>
    </w:div>
    <w:div w:id="769740242">
      <w:bodyDiv w:val="1"/>
      <w:marLeft w:val="0"/>
      <w:marRight w:val="0"/>
      <w:marTop w:val="0"/>
      <w:marBottom w:val="0"/>
      <w:divBdr>
        <w:top w:val="none" w:sz="0" w:space="0" w:color="auto"/>
        <w:left w:val="none" w:sz="0" w:space="0" w:color="auto"/>
        <w:bottom w:val="none" w:sz="0" w:space="0" w:color="auto"/>
        <w:right w:val="none" w:sz="0" w:space="0" w:color="auto"/>
      </w:divBdr>
    </w:div>
    <w:div w:id="774328597">
      <w:bodyDiv w:val="1"/>
      <w:marLeft w:val="0"/>
      <w:marRight w:val="0"/>
      <w:marTop w:val="0"/>
      <w:marBottom w:val="0"/>
      <w:divBdr>
        <w:top w:val="none" w:sz="0" w:space="0" w:color="auto"/>
        <w:left w:val="none" w:sz="0" w:space="0" w:color="auto"/>
        <w:bottom w:val="none" w:sz="0" w:space="0" w:color="auto"/>
        <w:right w:val="none" w:sz="0" w:space="0" w:color="auto"/>
      </w:divBdr>
    </w:div>
    <w:div w:id="775056805">
      <w:bodyDiv w:val="1"/>
      <w:marLeft w:val="0"/>
      <w:marRight w:val="0"/>
      <w:marTop w:val="0"/>
      <w:marBottom w:val="0"/>
      <w:divBdr>
        <w:top w:val="none" w:sz="0" w:space="0" w:color="auto"/>
        <w:left w:val="none" w:sz="0" w:space="0" w:color="auto"/>
        <w:bottom w:val="none" w:sz="0" w:space="0" w:color="auto"/>
        <w:right w:val="none" w:sz="0" w:space="0" w:color="auto"/>
      </w:divBdr>
    </w:div>
    <w:div w:id="780033771">
      <w:bodyDiv w:val="1"/>
      <w:marLeft w:val="0"/>
      <w:marRight w:val="0"/>
      <w:marTop w:val="0"/>
      <w:marBottom w:val="0"/>
      <w:divBdr>
        <w:top w:val="none" w:sz="0" w:space="0" w:color="auto"/>
        <w:left w:val="none" w:sz="0" w:space="0" w:color="auto"/>
        <w:bottom w:val="none" w:sz="0" w:space="0" w:color="auto"/>
        <w:right w:val="none" w:sz="0" w:space="0" w:color="auto"/>
      </w:divBdr>
    </w:div>
    <w:div w:id="781388896">
      <w:bodyDiv w:val="1"/>
      <w:marLeft w:val="0"/>
      <w:marRight w:val="0"/>
      <w:marTop w:val="0"/>
      <w:marBottom w:val="0"/>
      <w:divBdr>
        <w:top w:val="none" w:sz="0" w:space="0" w:color="auto"/>
        <w:left w:val="none" w:sz="0" w:space="0" w:color="auto"/>
        <w:bottom w:val="none" w:sz="0" w:space="0" w:color="auto"/>
        <w:right w:val="none" w:sz="0" w:space="0" w:color="auto"/>
      </w:divBdr>
    </w:div>
    <w:div w:id="784471345">
      <w:bodyDiv w:val="1"/>
      <w:marLeft w:val="0"/>
      <w:marRight w:val="0"/>
      <w:marTop w:val="0"/>
      <w:marBottom w:val="0"/>
      <w:divBdr>
        <w:top w:val="none" w:sz="0" w:space="0" w:color="auto"/>
        <w:left w:val="none" w:sz="0" w:space="0" w:color="auto"/>
        <w:bottom w:val="none" w:sz="0" w:space="0" w:color="auto"/>
        <w:right w:val="none" w:sz="0" w:space="0" w:color="auto"/>
      </w:divBdr>
    </w:div>
    <w:div w:id="792089904">
      <w:bodyDiv w:val="1"/>
      <w:marLeft w:val="0"/>
      <w:marRight w:val="0"/>
      <w:marTop w:val="0"/>
      <w:marBottom w:val="0"/>
      <w:divBdr>
        <w:top w:val="none" w:sz="0" w:space="0" w:color="auto"/>
        <w:left w:val="none" w:sz="0" w:space="0" w:color="auto"/>
        <w:bottom w:val="none" w:sz="0" w:space="0" w:color="auto"/>
        <w:right w:val="none" w:sz="0" w:space="0" w:color="auto"/>
      </w:divBdr>
    </w:div>
    <w:div w:id="794644292">
      <w:bodyDiv w:val="1"/>
      <w:marLeft w:val="0"/>
      <w:marRight w:val="0"/>
      <w:marTop w:val="0"/>
      <w:marBottom w:val="0"/>
      <w:divBdr>
        <w:top w:val="none" w:sz="0" w:space="0" w:color="auto"/>
        <w:left w:val="none" w:sz="0" w:space="0" w:color="auto"/>
        <w:bottom w:val="none" w:sz="0" w:space="0" w:color="auto"/>
        <w:right w:val="none" w:sz="0" w:space="0" w:color="auto"/>
      </w:divBdr>
    </w:div>
    <w:div w:id="800540649">
      <w:bodyDiv w:val="1"/>
      <w:marLeft w:val="0"/>
      <w:marRight w:val="0"/>
      <w:marTop w:val="0"/>
      <w:marBottom w:val="0"/>
      <w:divBdr>
        <w:top w:val="none" w:sz="0" w:space="0" w:color="auto"/>
        <w:left w:val="none" w:sz="0" w:space="0" w:color="auto"/>
        <w:bottom w:val="none" w:sz="0" w:space="0" w:color="auto"/>
        <w:right w:val="none" w:sz="0" w:space="0" w:color="auto"/>
      </w:divBdr>
    </w:div>
    <w:div w:id="800810097">
      <w:bodyDiv w:val="1"/>
      <w:marLeft w:val="0"/>
      <w:marRight w:val="0"/>
      <w:marTop w:val="0"/>
      <w:marBottom w:val="0"/>
      <w:divBdr>
        <w:top w:val="none" w:sz="0" w:space="0" w:color="auto"/>
        <w:left w:val="none" w:sz="0" w:space="0" w:color="auto"/>
        <w:bottom w:val="none" w:sz="0" w:space="0" w:color="auto"/>
        <w:right w:val="none" w:sz="0" w:space="0" w:color="auto"/>
      </w:divBdr>
    </w:div>
    <w:div w:id="805508451">
      <w:bodyDiv w:val="1"/>
      <w:marLeft w:val="0"/>
      <w:marRight w:val="0"/>
      <w:marTop w:val="0"/>
      <w:marBottom w:val="0"/>
      <w:divBdr>
        <w:top w:val="none" w:sz="0" w:space="0" w:color="auto"/>
        <w:left w:val="none" w:sz="0" w:space="0" w:color="auto"/>
        <w:bottom w:val="none" w:sz="0" w:space="0" w:color="auto"/>
        <w:right w:val="none" w:sz="0" w:space="0" w:color="auto"/>
      </w:divBdr>
    </w:div>
    <w:div w:id="806623760">
      <w:bodyDiv w:val="1"/>
      <w:marLeft w:val="0"/>
      <w:marRight w:val="0"/>
      <w:marTop w:val="0"/>
      <w:marBottom w:val="0"/>
      <w:divBdr>
        <w:top w:val="none" w:sz="0" w:space="0" w:color="auto"/>
        <w:left w:val="none" w:sz="0" w:space="0" w:color="auto"/>
        <w:bottom w:val="none" w:sz="0" w:space="0" w:color="auto"/>
        <w:right w:val="none" w:sz="0" w:space="0" w:color="auto"/>
      </w:divBdr>
    </w:div>
    <w:div w:id="810095516">
      <w:bodyDiv w:val="1"/>
      <w:marLeft w:val="0"/>
      <w:marRight w:val="0"/>
      <w:marTop w:val="0"/>
      <w:marBottom w:val="0"/>
      <w:divBdr>
        <w:top w:val="none" w:sz="0" w:space="0" w:color="auto"/>
        <w:left w:val="none" w:sz="0" w:space="0" w:color="auto"/>
        <w:bottom w:val="none" w:sz="0" w:space="0" w:color="auto"/>
        <w:right w:val="none" w:sz="0" w:space="0" w:color="auto"/>
      </w:divBdr>
    </w:div>
    <w:div w:id="816146614">
      <w:bodyDiv w:val="1"/>
      <w:marLeft w:val="0"/>
      <w:marRight w:val="0"/>
      <w:marTop w:val="0"/>
      <w:marBottom w:val="0"/>
      <w:divBdr>
        <w:top w:val="none" w:sz="0" w:space="0" w:color="auto"/>
        <w:left w:val="none" w:sz="0" w:space="0" w:color="auto"/>
        <w:bottom w:val="none" w:sz="0" w:space="0" w:color="auto"/>
        <w:right w:val="none" w:sz="0" w:space="0" w:color="auto"/>
      </w:divBdr>
    </w:div>
    <w:div w:id="819620184">
      <w:bodyDiv w:val="1"/>
      <w:marLeft w:val="0"/>
      <w:marRight w:val="0"/>
      <w:marTop w:val="0"/>
      <w:marBottom w:val="0"/>
      <w:divBdr>
        <w:top w:val="none" w:sz="0" w:space="0" w:color="auto"/>
        <w:left w:val="none" w:sz="0" w:space="0" w:color="auto"/>
        <w:bottom w:val="none" w:sz="0" w:space="0" w:color="auto"/>
        <w:right w:val="none" w:sz="0" w:space="0" w:color="auto"/>
      </w:divBdr>
    </w:div>
    <w:div w:id="820344651">
      <w:bodyDiv w:val="1"/>
      <w:marLeft w:val="0"/>
      <w:marRight w:val="0"/>
      <w:marTop w:val="0"/>
      <w:marBottom w:val="0"/>
      <w:divBdr>
        <w:top w:val="none" w:sz="0" w:space="0" w:color="auto"/>
        <w:left w:val="none" w:sz="0" w:space="0" w:color="auto"/>
        <w:bottom w:val="none" w:sz="0" w:space="0" w:color="auto"/>
        <w:right w:val="none" w:sz="0" w:space="0" w:color="auto"/>
      </w:divBdr>
    </w:div>
    <w:div w:id="823930688">
      <w:bodyDiv w:val="1"/>
      <w:marLeft w:val="0"/>
      <w:marRight w:val="0"/>
      <w:marTop w:val="0"/>
      <w:marBottom w:val="0"/>
      <w:divBdr>
        <w:top w:val="none" w:sz="0" w:space="0" w:color="auto"/>
        <w:left w:val="none" w:sz="0" w:space="0" w:color="auto"/>
        <w:bottom w:val="none" w:sz="0" w:space="0" w:color="auto"/>
        <w:right w:val="none" w:sz="0" w:space="0" w:color="auto"/>
      </w:divBdr>
    </w:div>
    <w:div w:id="832911731">
      <w:bodyDiv w:val="1"/>
      <w:marLeft w:val="0"/>
      <w:marRight w:val="0"/>
      <w:marTop w:val="0"/>
      <w:marBottom w:val="0"/>
      <w:divBdr>
        <w:top w:val="none" w:sz="0" w:space="0" w:color="auto"/>
        <w:left w:val="none" w:sz="0" w:space="0" w:color="auto"/>
        <w:bottom w:val="none" w:sz="0" w:space="0" w:color="auto"/>
        <w:right w:val="none" w:sz="0" w:space="0" w:color="auto"/>
      </w:divBdr>
    </w:div>
    <w:div w:id="843786257">
      <w:bodyDiv w:val="1"/>
      <w:marLeft w:val="0"/>
      <w:marRight w:val="0"/>
      <w:marTop w:val="0"/>
      <w:marBottom w:val="0"/>
      <w:divBdr>
        <w:top w:val="none" w:sz="0" w:space="0" w:color="auto"/>
        <w:left w:val="none" w:sz="0" w:space="0" w:color="auto"/>
        <w:bottom w:val="none" w:sz="0" w:space="0" w:color="auto"/>
        <w:right w:val="none" w:sz="0" w:space="0" w:color="auto"/>
      </w:divBdr>
    </w:div>
    <w:div w:id="853610666">
      <w:bodyDiv w:val="1"/>
      <w:marLeft w:val="0"/>
      <w:marRight w:val="0"/>
      <w:marTop w:val="0"/>
      <w:marBottom w:val="0"/>
      <w:divBdr>
        <w:top w:val="none" w:sz="0" w:space="0" w:color="auto"/>
        <w:left w:val="none" w:sz="0" w:space="0" w:color="auto"/>
        <w:bottom w:val="none" w:sz="0" w:space="0" w:color="auto"/>
        <w:right w:val="none" w:sz="0" w:space="0" w:color="auto"/>
      </w:divBdr>
    </w:div>
    <w:div w:id="854804744">
      <w:bodyDiv w:val="1"/>
      <w:marLeft w:val="0"/>
      <w:marRight w:val="0"/>
      <w:marTop w:val="0"/>
      <w:marBottom w:val="0"/>
      <w:divBdr>
        <w:top w:val="none" w:sz="0" w:space="0" w:color="auto"/>
        <w:left w:val="none" w:sz="0" w:space="0" w:color="auto"/>
        <w:bottom w:val="none" w:sz="0" w:space="0" w:color="auto"/>
        <w:right w:val="none" w:sz="0" w:space="0" w:color="auto"/>
      </w:divBdr>
    </w:div>
    <w:div w:id="861894699">
      <w:bodyDiv w:val="1"/>
      <w:marLeft w:val="0"/>
      <w:marRight w:val="0"/>
      <w:marTop w:val="0"/>
      <w:marBottom w:val="0"/>
      <w:divBdr>
        <w:top w:val="none" w:sz="0" w:space="0" w:color="auto"/>
        <w:left w:val="none" w:sz="0" w:space="0" w:color="auto"/>
        <w:bottom w:val="none" w:sz="0" w:space="0" w:color="auto"/>
        <w:right w:val="none" w:sz="0" w:space="0" w:color="auto"/>
      </w:divBdr>
    </w:div>
    <w:div w:id="866915630">
      <w:bodyDiv w:val="1"/>
      <w:marLeft w:val="0"/>
      <w:marRight w:val="0"/>
      <w:marTop w:val="0"/>
      <w:marBottom w:val="0"/>
      <w:divBdr>
        <w:top w:val="none" w:sz="0" w:space="0" w:color="auto"/>
        <w:left w:val="none" w:sz="0" w:space="0" w:color="auto"/>
        <w:bottom w:val="none" w:sz="0" w:space="0" w:color="auto"/>
        <w:right w:val="none" w:sz="0" w:space="0" w:color="auto"/>
      </w:divBdr>
    </w:div>
    <w:div w:id="868952301">
      <w:bodyDiv w:val="1"/>
      <w:marLeft w:val="0"/>
      <w:marRight w:val="0"/>
      <w:marTop w:val="0"/>
      <w:marBottom w:val="0"/>
      <w:divBdr>
        <w:top w:val="none" w:sz="0" w:space="0" w:color="auto"/>
        <w:left w:val="none" w:sz="0" w:space="0" w:color="auto"/>
        <w:bottom w:val="none" w:sz="0" w:space="0" w:color="auto"/>
        <w:right w:val="none" w:sz="0" w:space="0" w:color="auto"/>
      </w:divBdr>
    </w:div>
    <w:div w:id="872692746">
      <w:bodyDiv w:val="1"/>
      <w:marLeft w:val="0"/>
      <w:marRight w:val="0"/>
      <w:marTop w:val="0"/>
      <w:marBottom w:val="0"/>
      <w:divBdr>
        <w:top w:val="none" w:sz="0" w:space="0" w:color="auto"/>
        <w:left w:val="none" w:sz="0" w:space="0" w:color="auto"/>
        <w:bottom w:val="none" w:sz="0" w:space="0" w:color="auto"/>
        <w:right w:val="none" w:sz="0" w:space="0" w:color="auto"/>
      </w:divBdr>
    </w:div>
    <w:div w:id="887765252">
      <w:bodyDiv w:val="1"/>
      <w:marLeft w:val="0"/>
      <w:marRight w:val="0"/>
      <w:marTop w:val="0"/>
      <w:marBottom w:val="0"/>
      <w:divBdr>
        <w:top w:val="none" w:sz="0" w:space="0" w:color="auto"/>
        <w:left w:val="none" w:sz="0" w:space="0" w:color="auto"/>
        <w:bottom w:val="none" w:sz="0" w:space="0" w:color="auto"/>
        <w:right w:val="none" w:sz="0" w:space="0" w:color="auto"/>
      </w:divBdr>
    </w:div>
    <w:div w:id="887954627">
      <w:bodyDiv w:val="1"/>
      <w:marLeft w:val="0"/>
      <w:marRight w:val="0"/>
      <w:marTop w:val="0"/>
      <w:marBottom w:val="0"/>
      <w:divBdr>
        <w:top w:val="none" w:sz="0" w:space="0" w:color="auto"/>
        <w:left w:val="none" w:sz="0" w:space="0" w:color="auto"/>
        <w:bottom w:val="none" w:sz="0" w:space="0" w:color="auto"/>
        <w:right w:val="none" w:sz="0" w:space="0" w:color="auto"/>
      </w:divBdr>
    </w:div>
    <w:div w:id="932513027">
      <w:bodyDiv w:val="1"/>
      <w:marLeft w:val="0"/>
      <w:marRight w:val="0"/>
      <w:marTop w:val="0"/>
      <w:marBottom w:val="0"/>
      <w:divBdr>
        <w:top w:val="none" w:sz="0" w:space="0" w:color="auto"/>
        <w:left w:val="none" w:sz="0" w:space="0" w:color="auto"/>
        <w:bottom w:val="none" w:sz="0" w:space="0" w:color="auto"/>
        <w:right w:val="none" w:sz="0" w:space="0" w:color="auto"/>
      </w:divBdr>
    </w:div>
    <w:div w:id="936063948">
      <w:bodyDiv w:val="1"/>
      <w:marLeft w:val="0"/>
      <w:marRight w:val="0"/>
      <w:marTop w:val="0"/>
      <w:marBottom w:val="0"/>
      <w:divBdr>
        <w:top w:val="none" w:sz="0" w:space="0" w:color="auto"/>
        <w:left w:val="none" w:sz="0" w:space="0" w:color="auto"/>
        <w:bottom w:val="none" w:sz="0" w:space="0" w:color="auto"/>
        <w:right w:val="none" w:sz="0" w:space="0" w:color="auto"/>
      </w:divBdr>
    </w:div>
    <w:div w:id="943652874">
      <w:bodyDiv w:val="1"/>
      <w:marLeft w:val="0"/>
      <w:marRight w:val="0"/>
      <w:marTop w:val="0"/>
      <w:marBottom w:val="0"/>
      <w:divBdr>
        <w:top w:val="none" w:sz="0" w:space="0" w:color="auto"/>
        <w:left w:val="none" w:sz="0" w:space="0" w:color="auto"/>
        <w:bottom w:val="none" w:sz="0" w:space="0" w:color="auto"/>
        <w:right w:val="none" w:sz="0" w:space="0" w:color="auto"/>
      </w:divBdr>
    </w:div>
    <w:div w:id="945230206">
      <w:bodyDiv w:val="1"/>
      <w:marLeft w:val="0"/>
      <w:marRight w:val="0"/>
      <w:marTop w:val="0"/>
      <w:marBottom w:val="0"/>
      <w:divBdr>
        <w:top w:val="none" w:sz="0" w:space="0" w:color="auto"/>
        <w:left w:val="none" w:sz="0" w:space="0" w:color="auto"/>
        <w:bottom w:val="none" w:sz="0" w:space="0" w:color="auto"/>
        <w:right w:val="none" w:sz="0" w:space="0" w:color="auto"/>
      </w:divBdr>
    </w:div>
    <w:div w:id="948203481">
      <w:bodyDiv w:val="1"/>
      <w:marLeft w:val="0"/>
      <w:marRight w:val="0"/>
      <w:marTop w:val="0"/>
      <w:marBottom w:val="0"/>
      <w:divBdr>
        <w:top w:val="none" w:sz="0" w:space="0" w:color="auto"/>
        <w:left w:val="none" w:sz="0" w:space="0" w:color="auto"/>
        <w:bottom w:val="none" w:sz="0" w:space="0" w:color="auto"/>
        <w:right w:val="none" w:sz="0" w:space="0" w:color="auto"/>
      </w:divBdr>
    </w:div>
    <w:div w:id="950403091">
      <w:bodyDiv w:val="1"/>
      <w:marLeft w:val="0"/>
      <w:marRight w:val="0"/>
      <w:marTop w:val="0"/>
      <w:marBottom w:val="0"/>
      <w:divBdr>
        <w:top w:val="none" w:sz="0" w:space="0" w:color="auto"/>
        <w:left w:val="none" w:sz="0" w:space="0" w:color="auto"/>
        <w:bottom w:val="none" w:sz="0" w:space="0" w:color="auto"/>
        <w:right w:val="none" w:sz="0" w:space="0" w:color="auto"/>
      </w:divBdr>
    </w:div>
    <w:div w:id="987133000">
      <w:bodyDiv w:val="1"/>
      <w:marLeft w:val="0"/>
      <w:marRight w:val="0"/>
      <w:marTop w:val="0"/>
      <w:marBottom w:val="0"/>
      <w:divBdr>
        <w:top w:val="none" w:sz="0" w:space="0" w:color="auto"/>
        <w:left w:val="none" w:sz="0" w:space="0" w:color="auto"/>
        <w:bottom w:val="none" w:sz="0" w:space="0" w:color="auto"/>
        <w:right w:val="none" w:sz="0" w:space="0" w:color="auto"/>
      </w:divBdr>
    </w:div>
    <w:div w:id="988439659">
      <w:bodyDiv w:val="1"/>
      <w:marLeft w:val="0"/>
      <w:marRight w:val="0"/>
      <w:marTop w:val="0"/>
      <w:marBottom w:val="0"/>
      <w:divBdr>
        <w:top w:val="none" w:sz="0" w:space="0" w:color="auto"/>
        <w:left w:val="none" w:sz="0" w:space="0" w:color="auto"/>
        <w:bottom w:val="none" w:sz="0" w:space="0" w:color="auto"/>
        <w:right w:val="none" w:sz="0" w:space="0" w:color="auto"/>
      </w:divBdr>
    </w:div>
    <w:div w:id="991562064">
      <w:bodyDiv w:val="1"/>
      <w:marLeft w:val="0"/>
      <w:marRight w:val="0"/>
      <w:marTop w:val="0"/>
      <w:marBottom w:val="0"/>
      <w:divBdr>
        <w:top w:val="none" w:sz="0" w:space="0" w:color="auto"/>
        <w:left w:val="none" w:sz="0" w:space="0" w:color="auto"/>
        <w:bottom w:val="none" w:sz="0" w:space="0" w:color="auto"/>
        <w:right w:val="none" w:sz="0" w:space="0" w:color="auto"/>
      </w:divBdr>
    </w:div>
    <w:div w:id="996156474">
      <w:bodyDiv w:val="1"/>
      <w:marLeft w:val="0"/>
      <w:marRight w:val="0"/>
      <w:marTop w:val="0"/>
      <w:marBottom w:val="0"/>
      <w:divBdr>
        <w:top w:val="none" w:sz="0" w:space="0" w:color="auto"/>
        <w:left w:val="none" w:sz="0" w:space="0" w:color="auto"/>
        <w:bottom w:val="none" w:sz="0" w:space="0" w:color="auto"/>
        <w:right w:val="none" w:sz="0" w:space="0" w:color="auto"/>
      </w:divBdr>
    </w:div>
    <w:div w:id="997927630">
      <w:bodyDiv w:val="1"/>
      <w:marLeft w:val="0"/>
      <w:marRight w:val="0"/>
      <w:marTop w:val="0"/>
      <w:marBottom w:val="0"/>
      <w:divBdr>
        <w:top w:val="none" w:sz="0" w:space="0" w:color="auto"/>
        <w:left w:val="none" w:sz="0" w:space="0" w:color="auto"/>
        <w:bottom w:val="none" w:sz="0" w:space="0" w:color="auto"/>
        <w:right w:val="none" w:sz="0" w:space="0" w:color="auto"/>
      </w:divBdr>
    </w:div>
    <w:div w:id="1003237974">
      <w:bodyDiv w:val="1"/>
      <w:marLeft w:val="0"/>
      <w:marRight w:val="0"/>
      <w:marTop w:val="0"/>
      <w:marBottom w:val="0"/>
      <w:divBdr>
        <w:top w:val="none" w:sz="0" w:space="0" w:color="auto"/>
        <w:left w:val="none" w:sz="0" w:space="0" w:color="auto"/>
        <w:bottom w:val="none" w:sz="0" w:space="0" w:color="auto"/>
        <w:right w:val="none" w:sz="0" w:space="0" w:color="auto"/>
      </w:divBdr>
    </w:div>
    <w:div w:id="1008216860">
      <w:bodyDiv w:val="1"/>
      <w:marLeft w:val="0"/>
      <w:marRight w:val="0"/>
      <w:marTop w:val="0"/>
      <w:marBottom w:val="0"/>
      <w:divBdr>
        <w:top w:val="none" w:sz="0" w:space="0" w:color="auto"/>
        <w:left w:val="none" w:sz="0" w:space="0" w:color="auto"/>
        <w:bottom w:val="none" w:sz="0" w:space="0" w:color="auto"/>
        <w:right w:val="none" w:sz="0" w:space="0" w:color="auto"/>
      </w:divBdr>
    </w:div>
    <w:div w:id="1008408161">
      <w:bodyDiv w:val="1"/>
      <w:marLeft w:val="0"/>
      <w:marRight w:val="0"/>
      <w:marTop w:val="0"/>
      <w:marBottom w:val="0"/>
      <w:divBdr>
        <w:top w:val="none" w:sz="0" w:space="0" w:color="auto"/>
        <w:left w:val="none" w:sz="0" w:space="0" w:color="auto"/>
        <w:bottom w:val="none" w:sz="0" w:space="0" w:color="auto"/>
        <w:right w:val="none" w:sz="0" w:space="0" w:color="auto"/>
      </w:divBdr>
    </w:div>
    <w:div w:id="1012535352">
      <w:bodyDiv w:val="1"/>
      <w:marLeft w:val="0"/>
      <w:marRight w:val="0"/>
      <w:marTop w:val="0"/>
      <w:marBottom w:val="0"/>
      <w:divBdr>
        <w:top w:val="none" w:sz="0" w:space="0" w:color="auto"/>
        <w:left w:val="none" w:sz="0" w:space="0" w:color="auto"/>
        <w:bottom w:val="none" w:sz="0" w:space="0" w:color="auto"/>
        <w:right w:val="none" w:sz="0" w:space="0" w:color="auto"/>
      </w:divBdr>
    </w:div>
    <w:div w:id="1018120466">
      <w:bodyDiv w:val="1"/>
      <w:marLeft w:val="0"/>
      <w:marRight w:val="0"/>
      <w:marTop w:val="0"/>
      <w:marBottom w:val="0"/>
      <w:divBdr>
        <w:top w:val="none" w:sz="0" w:space="0" w:color="auto"/>
        <w:left w:val="none" w:sz="0" w:space="0" w:color="auto"/>
        <w:bottom w:val="none" w:sz="0" w:space="0" w:color="auto"/>
        <w:right w:val="none" w:sz="0" w:space="0" w:color="auto"/>
      </w:divBdr>
    </w:div>
    <w:div w:id="1021855378">
      <w:bodyDiv w:val="1"/>
      <w:marLeft w:val="0"/>
      <w:marRight w:val="0"/>
      <w:marTop w:val="0"/>
      <w:marBottom w:val="0"/>
      <w:divBdr>
        <w:top w:val="none" w:sz="0" w:space="0" w:color="auto"/>
        <w:left w:val="none" w:sz="0" w:space="0" w:color="auto"/>
        <w:bottom w:val="none" w:sz="0" w:space="0" w:color="auto"/>
        <w:right w:val="none" w:sz="0" w:space="0" w:color="auto"/>
      </w:divBdr>
    </w:div>
    <w:div w:id="1024094998">
      <w:bodyDiv w:val="1"/>
      <w:marLeft w:val="0"/>
      <w:marRight w:val="0"/>
      <w:marTop w:val="0"/>
      <w:marBottom w:val="0"/>
      <w:divBdr>
        <w:top w:val="none" w:sz="0" w:space="0" w:color="auto"/>
        <w:left w:val="none" w:sz="0" w:space="0" w:color="auto"/>
        <w:bottom w:val="none" w:sz="0" w:space="0" w:color="auto"/>
        <w:right w:val="none" w:sz="0" w:space="0" w:color="auto"/>
      </w:divBdr>
    </w:div>
    <w:div w:id="1029717934">
      <w:bodyDiv w:val="1"/>
      <w:marLeft w:val="0"/>
      <w:marRight w:val="0"/>
      <w:marTop w:val="0"/>
      <w:marBottom w:val="0"/>
      <w:divBdr>
        <w:top w:val="none" w:sz="0" w:space="0" w:color="auto"/>
        <w:left w:val="none" w:sz="0" w:space="0" w:color="auto"/>
        <w:bottom w:val="none" w:sz="0" w:space="0" w:color="auto"/>
        <w:right w:val="none" w:sz="0" w:space="0" w:color="auto"/>
      </w:divBdr>
    </w:div>
    <w:div w:id="1030687621">
      <w:bodyDiv w:val="1"/>
      <w:marLeft w:val="0"/>
      <w:marRight w:val="0"/>
      <w:marTop w:val="0"/>
      <w:marBottom w:val="0"/>
      <w:divBdr>
        <w:top w:val="none" w:sz="0" w:space="0" w:color="auto"/>
        <w:left w:val="none" w:sz="0" w:space="0" w:color="auto"/>
        <w:bottom w:val="none" w:sz="0" w:space="0" w:color="auto"/>
        <w:right w:val="none" w:sz="0" w:space="0" w:color="auto"/>
      </w:divBdr>
    </w:div>
    <w:div w:id="1032799968">
      <w:bodyDiv w:val="1"/>
      <w:marLeft w:val="0"/>
      <w:marRight w:val="0"/>
      <w:marTop w:val="0"/>
      <w:marBottom w:val="0"/>
      <w:divBdr>
        <w:top w:val="none" w:sz="0" w:space="0" w:color="auto"/>
        <w:left w:val="none" w:sz="0" w:space="0" w:color="auto"/>
        <w:bottom w:val="none" w:sz="0" w:space="0" w:color="auto"/>
        <w:right w:val="none" w:sz="0" w:space="0" w:color="auto"/>
      </w:divBdr>
    </w:div>
    <w:div w:id="1046025718">
      <w:bodyDiv w:val="1"/>
      <w:marLeft w:val="0"/>
      <w:marRight w:val="0"/>
      <w:marTop w:val="0"/>
      <w:marBottom w:val="0"/>
      <w:divBdr>
        <w:top w:val="none" w:sz="0" w:space="0" w:color="auto"/>
        <w:left w:val="none" w:sz="0" w:space="0" w:color="auto"/>
        <w:bottom w:val="none" w:sz="0" w:space="0" w:color="auto"/>
        <w:right w:val="none" w:sz="0" w:space="0" w:color="auto"/>
      </w:divBdr>
    </w:div>
    <w:div w:id="1051002956">
      <w:bodyDiv w:val="1"/>
      <w:marLeft w:val="0"/>
      <w:marRight w:val="0"/>
      <w:marTop w:val="0"/>
      <w:marBottom w:val="0"/>
      <w:divBdr>
        <w:top w:val="none" w:sz="0" w:space="0" w:color="auto"/>
        <w:left w:val="none" w:sz="0" w:space="0" w:color="auto"/>
        <w:bottom w:val="none" w:sz="0" w:space="0" w:color="auto"/>
        <w:right w:val="none" w:sz="0" w:space="0" w:color="auto"/>
      </w:divBdr>
    </w:div>
    <w:div w:id="1057241143">
      <w:bodyDiv w:val="1"/>
      <w:marLeft w:val="0"/>
      <w:marRight w:val="0"/>
      <w:marTop w:val="0"/>
      <w:marBottom w:val="0"/>
      <w:divBdr>
        <w:top w:val="none" w:sz="0" w:space="0" w:color="auto"/>
        <w:left w:val="none" w:sz="0" w:space="0" w:color="auto"/>
        <w:bottom w:val="none" w:sz="0" w:space="0" w:color="auto"/>
        <w:right w:val="none" w:sz="0" w:space="0" w:color="auto"/>
      </w:divBdr>
    </w:div>
    <w:div w:id="1077049749">
      <w:bodyDiv w:val="1"/>
      <w:marLeft w:val="0"/>
      <w:marRight w:val="0"/>
      <w:marTop w:val="0"/>
      <w:marBottom w:val="0"/>
      <w:divBdr>
        <w:top w:val="none" w:sz="0" w:space="0" w:color="auto"/>
        <w:left w:val="none" w:sz="0" w:space="0" w:color="auto"/>
        <w:bottom w:val="none" w:sz="0" w:space="0" w:color="auto"/>
        <w:right w:val="none" w:sz="0" w:space="0" w:color="auto"/>
      </w:divBdr>
    </w:div>
    <w:div w:id="1081564487">
      <w:bodyDiv w:val="1"/>
      <w:marLeft w:val="0"/>
      <w:marRight w:val="0"/>
      <w:marTop w:val="0"/>
      <w:marBottom w:val="0"/>
      <w:divBdr>
        <w:top w:val="none" w:sz="0" w:space="0" w:color="auto"/>
        <w:left w:val="none" w:sz="0" w:space="0" w:color="auto"/>
        <w:bottom w:val="none" w:sz="0" w:space="0" w:color="auto"/>
        <w:right w:val="none" w:sz="0" w:space="0" w:color="auto"/>
      </w:divBdr>
    </w:div>
    <w:div w:id="1088504316">
      <w:bodyDiv w:val="1"/>
      <w:marLeft w:val="0"/>
      <w:marRight w:val="0"/>
      <w:marTop w:val="0"/>
      <w:marBottom w:val="0"/>
      <w:divBdr>
        <w:top w:val="none" w:sz="0" w:space="0" w:color="auto"/>
        <w:left w:val="none" w:sz="0" w:space="0" w:color="auto"/>
        <w:bottom w:val="none" w:sz="0" w:space="0" w:color="auto"/>
        <w:right w:val="none" w:sz="0" w:space="0" w:color="auto"/>
      </w:divBdr>
    </w:div>
    <w:div w:id="1089278402">
      <w:bodyDiv w:val="1"/>
      <w:marLeft w:val="0"/>
      <w:marRight w:val="0"/>
      <w:marTop w:val="0"/>
      <w:marBottom w:val="0"/>
      <w:divBdr>
        <w:top w:val="none" w:sz="0" w:space="0" w:color="auto"/>
        <w:left w:val="none" w:sz="0" w:space="0" w:color="auto"/>
        <w:bottom w:val="none" w:sz="0" w:space="0" w:color="auto"/>
        <w:right w:val="none" w:sz="0" w:space="0" w:color="auto"/>
      </w:divBdr>
    </w:div>
    <w:div w:id="1092778434">
      <w:bodyDiv w:val="1"/>
      <w:marLeft w:val="0"/>
      <w:marRight w:val="0"/>
      <w:marTop w:val="0"/>
      <w:marBottom w:val="0"/>
      <w:divBdr>
        <w:top w:val="none" w:sz="0" w:space="0" w:color="auto"/>
        <w:left w:val="none" w:sz="0" w:space="0" w:color="auto"/>
        <w:bottom w:val="none" w:sz="0" w:space="0" w:color="auto"/>
        <w:right w:val="none" w:sz="0" w:space="0" w:color="auto"/>
      </w:divBdr>
    </w:div>
    <w:div w:id="1094671432">
      <w:bodyDiv w:val="1"/>
      <w:marLeft w:val="0"/>
      <w:marRight w:val="0"/>
      <w:marTop w:val="0"/>
      <w:marBottom w:val="0"/>
      <w:divBdr>
        <w:top w:val="none" w:sz="0" w:space="0" w:color="auto"/>
        <w:left w:val="none" w:sz="0" w:space="0" w:color="auto"/>
        <w:bottom w:val="none" w:sz="0" w:space="0" w:color="auto"/>
        <w:right w:val="none" w:sz="0" w:space="0" w:color="auto"/>
      </w:divBdr>
    </w:div>
    <w:div w:id="1094861938">
      <w:bodyDiv w:val="1"/>
      <w:marLeft w:val="0"/>
      <w:marRight w:val="0"/>
      <w:marTop w:val="0"/>
      <w:marBottom w:val="0"/>
      <w:divBdr>
        <w:top w:val="none" w:sz="0" w:space="0" w:color="auto"/>
        <w:left w:val="none" w:sz="0" w:space="0" w:color="auto"/>
        <w:bottom w:val="none" w:sz="0" w:space="0" w:color="auto"/>
        <w:right w:val="none" w:sz="0" w:space="0" w:color="auto"/>
      </w:divBdr>
    </w:div>
    <w:div w:id="1110246576">
      <w:bodyDiv w:val="1"/>
      <w:marLeft w:val="0"/>
      <w:marRight w:val="0"/>
      <w:marTop w:val="0"/>
      <w:marBottom w:val="0"/>
      <w:divBdr>
        <w:top w:val="none" w:sz="0" w:space="0" w:color="auto"/>
        <w:left w:val="none" w:sz="0" w:space="0" w:color="auto"/>
        <w:bottom w:val="none" w:sz="0" w:space="0" w:color="auto"/>
        <w:right w:val="none" w:sz="0" w:space="0" w:color="auto"/>
      </w:divBdr>
    </w:div>
    <w:div w:id="1119253691">
      <w:bodyDiv w:val="1"/>
      <w:marLeft w:val="0"/>
      <w:marRight w:val="0"/>
      <w:marTop w:val="0"/>
      <w:marBottom w:val="0"/>
      <w:divBdr>
        <w:top w:val="none" w:sz="0" w:space="0" w:color="auto"/>
        <w:left w:val="none" w:sz="0" w:space="0" w:color="auto"/>
        <w:bottom w:val="none" w:sz="0" w:space="0" w:color="auto"/>
        <w:right w:val="none" w:sz="0" w:space="0" w:color="auto"/>
      </w:divBdr>
    </w:div>
    <w:div w:id="1122650256">
      <w:bodyDiv w:val="1"/>
      <w:marLeft w:val="0"/>
      <w:marRight w:val="0"/>
      <w:marTop w:val="0"/>
      <w:marBottom w:val="0"/>
      <w:divBdr>
        <w:top w:val="none" w:sz="0" w:space="0" w:color="auto"/>
        <w:left w:val="none" w:sz="0" w:space="0" w:color="auto"/>
        <w:bottom w:val="none" w:sz="0" w:space="0" w:color="auto"/>
        <w:right w:val="none" w:sz="0" w:space="0" w:color="auto"/>
      </w:divBdr>
    </w:div>
    <w:div w:id="1143429819">
      <w:bodyDiv w:val="1"/>
      <w:marLeft w:val="0"/>
      <w:marRight w:val="0"/>
      <w:marTop w:val="0"/>
      <w:marBottom w:val="0"/>
      <w:divBdr>
        <w:top w:val="none" w:sz="0" w:space="0" w:color="auto"/>
        <w:left w:val="none" w:sz="0" w:space="0" w:color="auto"/>
        <w:bottom w:val="none" w:sz="0" w:space="0" w:color="auto"/>
        <w:right w:val="none" w:sz="0" w:space="0" w:color="auto"/>
      </w:divBdr>
    </w:div>
    <w:div w:id="1162696862">
      <w:bodyDiv w:val="1"/>
      <w:marLeft w:val="0"/>
      <w:marRight w:val="0"/>
      <w:marTop w:val="0"/>
      <w:marBottom w:val="0"/>
      <w:divBdr>
        <w:top w:val="none" w:sz="0" w:space="0" w:color="auto"/>
        <w:left w:val="none" w:sz="0" w:space="0" w:color="auto"/>
        <w:bottom w:val="none" w:sz="0" w:space="0" w:color="auto"/>
        <w:right w:val="none" w:sz="0" w:space="0" w:color="auto"/>
      </w:divBdr>
    </w:div>
    <w:div w:id="1177421912">
      <w:bodyDiv w:val="1"/>
      <w:marLeft w:val="0"/>
      <w:marRight w:val="0"/>
      <w:marTop w:val="0"/>
      <w:marBottom w:val="0"/>
      <w:divBdr>
        <w:top w:val="none" w:sz="0" w:space="0" w:color="auto"/>
        <w:left w:val="none" w:sz="0" w:space="0" w:color="auto"/>
        <w:bottom w:val="none" w:sz="0" w:space="0" w:color="auto"/>
        <w:right w:val="none" w:sz="0" w:space="0" w:color="auto"/>
      </w:divBdr>
    </w:div>
    <w:div w:id="1178420742">
      <w:bodyDiv w:val="1"/>
      <w:marLeft w:val="0"/>
      <w:marRight w:val="0"/>
      <w:marTop w:val="0"/>
      <w:marBottom w:val="0"/>
      <w:divBdr>
        <w:top w:val="none" w:sz="0" w:space="0" w:color="auto"/>
        <w:left w:val="none" w:sz="0" w:space="0" w:color="auto"/>
        <w:bottom w:val="none" w:sz="0" w:space="0" w:color="auto"/>
        <w:right w:val="none" w:sz="0" w:space="0" w:color="auto"/>
      </w:divBdr>
    </w:div>
    <w:div w:id="1186288562">
      <w:bodyDiv w:val="1"/>
      <w:marLeft w:val="0"/>
      <w:marRight w:val="0"/>
      <w:marTop w:val="0"/>
      <w:marBottom w:val="0"/>
      <w:divBdr>
        <w:top w:val="none" w:sz="0" w:space="0" w:color="auto"/>
        <w:left w:val="none" w:sz="0" w:space="0" w:color="auto"/>
        <w:bottom w:val="none" w:sz="0" w:space="0" w:color="auto"/>
        <w:right w:val="none" w:sz="0" w:space="0" w:color="auto"/>
      </w:divBdr>
    </w:div>
    <w:div w:id="1223178278">
      <w:bodyDiv w:val="1"/>
      <w:marLeft w:val="0"/>
      <w:marRight w:val="0"/>
      <w:marTop w:val="0"/>
      <w:marBottom w:val="0"/>
      <w:divBdr>
        <w:top w:val="none" w:sz="0" w:space="0" w:color="auto"/>
        <w:left w:val="none" w:sz="0" w:space="0" w:color="auto"/>
        <w:bottom w:val="none" w:sz="0" w:space="0" w:color="auto"/>
        <w:right w:val="none" w:sz="0" w:space="0" w:color="auto"/>
      </w:divBdr>
    </w:div>
    <w:div w:id="1225530802">
      <w:bodyDiv w:val="1"/>
      <w:marLeft w:val="0"/>
      <w:marRight w:val="0"/>
      <w:marTop w:val="0"/>
      <w:marBottom w:val="0"/>
      <w:divBdr>
        <w:top w:val="none" w:sz="0" w:space="0" w:color="auto"/>
        <w:left w:val="none" w:sz="0" w:space="0" w:color="auto"/>
        <w:bottom w:val="none" w:sz="0" w:space="0" w:color="auto"/>
        <w:right w:val="none" w:sz="0" w:space="0" w:color="auto"/>
      </w:divBdr>
    </w:div>
    <w:div w:id="1231116861">
      <w:bodyDiv w:val="1"/>
      <w:marLeft w:val="0"/>
      <w:marRight w:val="0"/>
      <w:marTop w:val="0"/>
      <w:marBottom w:val="0"/>
      <w:divBdr>
        <w:top w:val="none" w:sz="0" w:space="0" w:color="auto"/>
        <w:left w:val="none" w:sz="0" w:space="0" w:color="auto"/>
        <w:bottom w:val="none" w:sz="0" w:space="0" w:color="auto"/>
        <w:right w:val="none" w:sz="0" w:space="0" w:color="auto"/>
      </w:divBdr>
    </w:div>
    <w:div w:id="1238712767">
      <w:bodyDiv w:val="1"/>
      <w:marLeft w:val="0"/>
      <w:marRight w:val="0"/>
      <w:marTop w:val="0"/>
      <w:marBottom w:val="0"/>
      <w:divBdr>
        <w:top w:val="none" w:sz="0" w:space="0" w:color="auto"/>
        <w:left w:val="none" w:sz="0" w:space="0" w:color="auto"/>
        <w:bottom w:val="none" w:sz="0" w:space="0" w:color="auto"/>
        <w:right w:val="none" w:sz="0" w:space="0" w:color="auto"/>
      </w:divBdr>
    </w:div>
    <w:div w:id="1243299344">
      <w:bodyDiv w:val="1"/>
      <w:marLeft w:val="0"/>
      <w:marRight w:val="0"/>
      <w:marTop w:val="0"/>
      <w:marBottom w:val="0"/>
      <w:divBdr>
        <w:top w:val="none" w:sz="0" w:space="0" w:color="auto"/>
        <w:left w:val="none" w:sz="0" w:space="0" w:color="auto"/>
        <w:bottom w:val="none" w:sz="0" w:space="0" w:color="auto"/>
        <w:right w:val="none" w:sz="0" w:space="0" w:color="auto"/>
      </w:divBdr>
    </w:div>
    <w:div w:id="1252160556">
      <w:bodyDiv w:val="1"/>
      <w:marLeft w:val="0"/>
      <w:marRight w:val="0"/>
      <w:marTop w:val="0"/>
      <w:marBottom w:val="0"/>
      <w:divBdr>
        <w:top w:val="none" w:sz="0" w:space="0" w:color="auto"/>
        <w:left w:val="none" w:sz="0" w:space="0" w:color="auto"/>
        <w:bottom w:val="none" w:sz="0" w:space="0" w:color="auto"/>
        <w:right w:val="none" w:sz="0" w:space="0" w:color="auto"/>
      </w:divBdr>
    </w:div>
    <w:div w:id="1253272801">
      <w:bodyDiv w:val="1"/>
      <w:marLeft w:val="0"/>
      <w:marRight w:val="0"/>
      <w:marTop w:val="0"/>
      <w:marBottom w:val="0"/>
      <w:divBdr>
        <w:top w:val="none" w:sz="0" w:space="0" w:color="auto"/>
        <w:left w:val="none" w:sz="0" w:space="0" w:color="auto"/>
        <w:bottom w:val="none" w:sz="0" w:space="0" w:color="auto"/>
        <w:right w:val="none" w:sz="0" w:space="0" w:color="auto"/>
      </w:divBdr>
    </w:div>
    <w:div w:id="1261990560">
      <w:bodyDiv w:val="1"/>
      <w:marLeft w:val="0"/>
      <w:marRight w:val="0"/>
      <w:marTop w:val="0"/>
      <w:marBottom w:val="0"/>
      <w:divBdr>
        <w:top w:val="none" w:sz="0" w:space="0" w:color="auto"/>
        <w:left w:val="none" w:sz="0" w:space="0" w:color="auto"/>
        <w:bottom w:val="none" w:sz="0" w:space="0" w:color="auto"/>
        <w:right w:val="none" w:sz="0" w:space="0" w:color="auto"/>
      </w:divBdr>
    </w:div>
    <w:div w:id="1262181038">
      <w:bodyDiv w:val="1"/>
      <w:marLeft w:val="0"/>
      <w:marRight w:val="0"/>
      <w:marTop w:val="0"/>
      <w:marBottom w:val="0"/>
      <w:divBdr>
        <w:top w:val="none" w:sz="0" w:space="0" w:color="auto"/>
        <w:left w:val="none" w:sz="0" w:space="0" w:color="auto"/>
        <w:bottom w:val="none" w:sz="0" w:space="0" w:color="auto"/>
        <w:right w:val="none" w:sz="0" w:space="0" w:color="auto"/>
      </w:divBdr>
    </w:div>
    <w:div w:id="1275672472">
      <w:bodyDiv w:val="1"/>
      <w:marLeft w:val="0"/>
      <w:marRight w:val="0"/>
      <w:marTop w:val="0"/>
      <w:marBottom w:val="0"/>
      <w:divBdr>
        <w:top w:val="none" w:sz="0" w:space="0" w:color="auto"/>
        <w:left w:val="none" w:sz="0" w:space="0" w:color="auto"/>
        <w:bottom w:val="none" w:sz="0" w:space="0" w:color="auto"/>
        <w:right w:val="none" w:sz="0" w:space="0" w:color="auto"/>
      </w:divBdr>
    </w:div>
    <w:div w:id="1277715914">
      <w:bodyDiv w:val="1"/>
      <w:marLeft w:val="0"/>
      <w:marRight w:val="0"/>
      <w:marTop w:val="0"/>
      <w:marBottom w:val="0"/>
      <w:divBdr>
        <w:top w:val="none" w:sz="0" w:space="0" w:color="auto"/>
        <w:left w:val="none" w:sz="0" w:space="0" w:color="auto"/>
        <w:bottom w:val="none" w:sz="0" w:space="0" w:color="auto"/>
        <w:right w:val="none" w:sz="0" w:space="0" w:color="auto"/>
      </w:divBdr>
    </w:div>
    <w:div w:id="1287395376">
      <w:bodyDiv w:val="1"/>
      <w:marLeft w:val="0"/>
      <w:marRight w:val="0"/>
      <w:marTop w:val="0"/>
      <w:marBottom w:val="0"/>
      <w:divBdr>
        <w:top w:val="none" w:sz="0" w:space="0" w:color="auto"/>
        <w:left w:val="none" w:sz="0" w:space="0" w:color="auto"/>
        <w:bottom w:val="none" w:sz="0" w:space="0" w:color="auto"/>
        <w:right w:val="none" w:sz="0" w:space="0" w:color="auto"/>
      </w:divBdr>
    </w:div>
    <w:div w:id="1293245534">
      <w:bodyDiv w:val="1"/>
      <w:marLeft w:val="0"/>
      <w:marRight w:val="0"/>
      <w:marTop w:val="0"/>
      <w:marBottom w:val="0"/>
      <w:divBdr>
        <w:top w:val="none" w:sz="0" w:space="0" w:color="auto"/>
        <w:left w:val="none" w:sz="0" w:space="0" w:color="auto"/>
        <w:bottom w:val="none" w:sz="0" w:space="0" w:color="auto"/>
        <w:right w:val="none" w:sz="0" w:space="0" w:color="auto"/>
      </w:divBdr>
    </w:div>
    <w:div w:id="1297219998">
      <w:bodyDiv w:val="1"/>
      <w:marLeft w:val="0"/>
      <w:marRight w:val="0"/>
      <w:marTop w:val="0"/>
      <w:marBottom w:val="0"/>
      <w:divBdr>
        <w:top w:val="none" w:sz="0" w:space="0" w:color="auto"/>
        <w:left w:val="none" w:sz="0" w:space="0" w:color="auto"/>
        <w:bottom w:val="none" w:sz="0" w:space="0" w:color="auto"/>
        <w:right w:val="none" w:sz="0" w:space="0" w:color="auto"/>
      </w:divBdr>
    </w:div>
    <w:div w:id="1302347205">
      <w:bodyDiv w:val="1"/>
      <w:marLeft w:val="0"/>
      <w:marRight w:val="0"/>
      <w:marTop w:val="0"/>
      <w:marBottom w:val="0"/>
      <w:divBdr>
        <w:top w:val="none" w:sz="0" w:space="0" w:color="auto"/>
        <w:left w:val="none" w:sz="0" w:space="0" w:color="auto"/>
        <w:bottom w:val="none" w:sz="0" w:space="0" w:color="auto"/>
        <w:right w:val="none" w:sz="0" w:space="0" w:color="auto"/>
      </w:divBdr>
    </w:div>
    <w:div w:id="1303970411">
      <w:bodyDiv w:val="1"/>
      <w:marLeft w:val="0"/>
      <w:marRight w:val="0"/>
      <w:marTop w:val="0"/>
      <w:marBottom w:val="0"/>
      <w:divBdr>
        <w:top w:val="none" w:sz="0" w:space="0" w:color="auto"/>
        <w:left w:val="none" w:sz="0" w:space="0" w:color="auto"/>
        <w:bottom w:val="none" w:sz="0" w:space="0" w:color="auto"/>
        <w:right w:val="none" w:sz="0" w:space="0" w:color="auto"/>
      </w:divBdr>
    </w:div>
    <w:div w:id="1305810740">
      <w:bodyDiv w:val="1"/>
      <w:marLeft w:val="0"/>
      <w:marRight w:val="0"/>
      <w:marTop w:val="0"/>
      <w:marBottom w:val="0"/>
      <w:divBdr>
        <w:top w:val="none" w:sz="0" w:space="0" w:color="auto"/>
        <w:left w:val="none" w:sz="0" w:space="0" w:color="auto"/>
        <w:bottom w:val="none" w:sz="0" w:space="0" w:color="auto"/>
        <w:right w:val="none" w:sz="0" w:space="0" w:color="auto"/>
      </w:divBdr>
    </w:div>
    <w:div w:id="1308239231">
      <w:bodyDiv w:val="1"/>
      <w:marLeft w:val="0"/>
      <w:marRight w:val="0"/>
      <w:marTop w:val="0"/>
      <w:marBottom w:val="0"/>
      <w:divBdr>
        <w:top w:val="none" w:sz="0" w:space="0" w:color="auto"/>
        <w:left w:val="none" w:sz="0" w:space="0" w:color="auto"/>
        <w:bottom w:val="none" w:sz="0" w:space="0" w:color="auto"/>
        <w:right w:val="none" w:sz="0" w:space="0" w:color="auto"/>
      </w:divBdr>
    </w:div>
    <w:div w:id="1328093723">
      <w:bodyDiv w:val="1"/>
      <w:marLeft w:val="0"/>
      <w:marRight w:val="0"/>
      <w:marTop w:val="0"/>
      <w:marBottom w:val="0"/>
      <w:divBdr>
        <w:top w:val="none" w:sz="0" w:space="0" w:color="auto"/>
        <w:left w:val="none" w:sz="0" w:space="0" w:color="auto"/>
        <w:bottom w:val="none" w:sz="0" w:space="0" w:color="auto"/>
        <w:right w:val="none" w:sz="0" w:space="0" w:color="auto"/>
      </w:divBdr>
    </w:div>
    <w:div w:id="1329097717">
      <w:bodyDiv w:val="1"/>
      <w:marLeft w:val="0"/>
      <w:marRight w:val="0"/>
      <w:marTop w:val="0"/>
      <w:marBottom w:val="0"/>
      <w:divBdr>
        <w:top w:val="none" w:sz="0" w:space="0" w:color="auto"/>
        <w:left w:val="none" w:sz="0" w:space="0" w:color="auto"/>
        <w:bottom w:val="none" w:sz="0" w:space="0" w:color="auto"/>
        <w:right w:val="none" w:sz="0" w:space="0" w:color="auto"/>
      </w:divBdr>
    </w:div>
    <w:div w:id="1330403207">
      <w:bodyDiv w:val="1"/>
      <w:marLeft w:val="0"/>
      <w:marRight w:val="0"/>
      <w:marTop w:val="0"/>
      <w:marBottom w:val="0"/>
      <w:divBdr>
        <w:top w:val="none" w:sz="0" w:space="0" w:color="auto"/>
        <w:left w:val="none" w:sz="0" w:space="0" w:color="auto"/>
        <w:bottom w:val="none" w:sz="0" w:space="0" w:color="auto"/>
        <w:right w:val="none" w:sz="0" w:space="0" w:color="auto"/>
      </w:divBdr>
    </w:div>
    <w:div w:id="1333678875">
      <w:bodyDiv w:val="1"/>
      <w:marLeft w:val="0"/>
      <w:marRight w:val="0"/>
      <w:marTop w:val="0"/>
      <w:marBottom w:val="0"/>
      <w:divBdr>
        <w:top w:val="none" w:sz="0" w:space="0" w:color="auto"/>
        <w:left w:val="none" w:sz="0" w:space="0" w:color="auto"/>
        <w:bottom w:val="none" w:sz="0" w:space="0" w:color="auto"/>
        <w:right w:val="none" w:sz="0" w:space="0" w:color="auto"/>
      </w:divBdr>
    </w:div>
    <w:div w:id="1333995587">
      <w:bodyDiv w:val="1"/>
      <w:marLeft w:val="0"/>
      <w:marRight w:val="0"/>
      <w:marTop w:val="0"/>
      <w:marBottom w:val="0"/>
      <w:divBdr>
        <w:top w:val="none" w:sz="0" w:space="0" w:color="auto"/>
        <w:left w:val="none" w:sz="0" w:space="0" w:color="auto"/>
        <w:bottom w:val="none" w:sz="0" w:space="0" w:color="auto"/>
        <w:right w:val="none" w:sz="0" w:space="0" w:color="auto"/>
      </w:divBdr>
    </w:div>
    <w:div w:id="1338385936">
      <w:bodyDiv w:val="1"/>
      <w:marLeft w:val="0"/>
      <w:marRight w:val="0"/>
      <w:marTop w:val="0"/>
      <w:marBottom w:val="0"/>
      <w:divBdr>
        <w:top w:val="none" w:sz="0" w:space="0" w:color="auto"/>
        <w:left w:val="none" w:sz="0" w:space="0" w:color="auto"/>
        <w:bottom w:val="none" w:sz="0" w:space="0" w:color="auto"/>
        <w:right w:val="none" w:sz="0" w:space="0" w:color="auto"/>
      </w:divBdr>
    </w:div>
    <w:div w:id="1339456571">
      <w:bodyDiv w:val="1"/>
      <w:marLeft w:val="0"/>
      <w:marRight w:val="0"/>
      <w:marTop w:val="0"/>
      <w:marBottom w:val="0"/>
      <w:divBdr>
        <w:top w:val="none" w:sz="0" w:space="0" w:color="auto"/>
        <w:left w:val="none" w:sz="0" w:space="0" w:color="auto"/>
        <w:bottom w:val="none" w:sz="0" w:space="0" w:color="auto"/>
        <w:right w:val="none" w:sz="0" w:space="0" w:color="auto"/>
      </w:divBdr>
    </w:div>
    <w:div w:id="1341278042">
      <w:bodyDiv w:val="1"/>
      <w:marLeft w:val="0"/>
      <w:marRight w:val="0"/>
      <w:marTop w:val="0"/>
      <w:marBottom w:val="0"/>
      <w:divBdr>
        <w:top w:val="none" w:sz="0" w:space="0" w:color="auto"/>
        <w:left w:val="none" w:sz="0" w:space="0" w:color="auto"/>
        <w:bottom w:val="none" w:sz="0" w:space="0" w:color="auto"/>
        <w:right w:val="none" w:sz="0" w:space="0" w:color="auto"/>
      </w:divBdr>
    </w:div>
    <w:div w:id="1343360332">
      <w:bodyDiv w:val="1"/>
      <w:marLeft w:val="0"/>
      <w:marRight w:val="0"/>
      <w:marTop w:val="0"/>
      <w:marBottom w:val="0"/>
      <w:divBdr>
        <w:top w:val="none" w:sz="0" w:space="0" w:color="auto"/>
        <w:left w:val="none" w:sz="0" w:space="0" w:color="auto"/>
        <w:bottom w:val="none" w:sz="0" w:space="0" w:color="auto"/>
        <w:right w:val="none" w:sz="0" w:space="0" w:color="auto"/>
      </w:divBdr>
    </w:div>
    <w:div w:id="1345128194">
      <w:bodyDiv w:val="1"/>
      <w:marLeft w:val="0"/>
      <w:marRight w:val="0"/>
      <w:marTop w:val="0"/>
      <w:marBottom w:val="0"/>
      <w:divBdr>
        <w:top w:val="none" w:sz="0" w:space="0" w:color="auto"/>
        <w:left w:val="none" w:sz="0" w:space="0" w:color="auto"/>
        <w:bottom w:val="none" w:sz="0" w:space="0" w:color="auto"/>
        <w:right w:val="none" w:sz="0" w:space="0" w:color="auto"/>
      </w:divBdr>
    </w:div>
    <w:div w:id="1349988668">
      <w:bodyDiv w:val="1"/>
      <w:marLeft w:val="0"/>
      <w:marRight w:val="0"/>
      <w:marTop w:val="0"/>
      <w:marBottom w:val="0"/>
      <w:divBdr>
        <w:top w:val="none" w:sz="0" w:space="0" w:color="auto"/>
        <w:left w:val="none" w:sz="0" w:space="0" w:color="auto"/>
        <w:bottom w:val="none" w:sz="0" w:space="0" w:color="auto"/>
        <w:right w:val="none" w:sz="0" w:space="0" w:color="auto"/>
      </w:divBdr>
    </w:div>
    <w:div w:id="1354528065">
      <w:bodyDiv w:val="1"/>
      <w:marLeft w:val="0"/>
      <w:marRight w:val="0"/>
      <w:marTop w:val="0"/>
      <w:marBottom w:val="0"/>
      <w:divBdr>
        <w:top w:val="none" w:sz="0" w:space="0" w:color="auto"/>
        <w:left w:val="none" w:sz="0" w:space="0" w:color="auto"/>
        <w:bottom w:val="none" w:sz="0" w:space="0" w:color="auto"/>
        <w:right w:val="none" w:sz="0" w:space="0" w:color="auto"/>
      </w:divBdr>
    </w:div>
    <w:div w:id="1355575140">
      <w:bodyDiv w:val="1"/>
      <w:marLeft w:val="0"/>
      <w:marRight w:val="0"/>
      <w:marTop w:val="0"/>
      <w:marBottom w:val="0"/>
      <w:divBdr>
        <w:top w:val="none" w:sz="0" w:space="0" w:color="auto"/>
        <w:left w:val="none" w:sz="0" w:space="0" w:color="auto"/>
        <w:bottom w:val="none" w:sz="0" w:space="0" w:color="auto"/>
        <w:right w:val="none" w:sz="0" w:space="0" w:color="auto"/>
      </w:divBdr>
    </w:div>
    <w:div w:id="1359352314">
      <w:bodyDiv w:val="1"/>
      <w:marLeft w:val="0"/>
      <w:marRight w:val="0"/>
      <w:marTop w:val="0"/>
      <w:marBottom w:val="0"/>
      <w:divBdr>
        <w:top w:val="none" w:sz="0" w:space="0" w:color="auto"/>
        <w:left w:val="none" w:sz="0" w:space="0" w:color="auto"/>
        <w:bottom w:val="none" w:sz="0" w:space="0" w:color="auto"/>
        <w:right w:val="none" w:sz="0" w:space="0" w:color="auto"/>
      </w:divBdr>
    </w:div>
    <w:div w:id="1382435236">
      <w:bodyDiv w:val="1"/>
      <w:marLeft w:val="0"/>
      <w:marRight w:val="0"/>
      <w:marTop w:val="0"/>
      <w:marBottom w:val="0"/>
      <w:divBdr>
        <w:top w:val="none" w:sz="0" w:space="0" w:color="auto"/>
        <w:left w:val="none" w:sz="0" w:space="0" w:color="auto"/>
        <w:bottom w:val="none" w:sz="0" w:space="0" w:color="auto"/>
        <w:right w:val="none" w:sz="0" w:space="0" w:color="auto"/>
      </w:divBdr>
    </w:div>
    <w:div w:id="1383335130">
      <w:bodyDiv w:val="1"/>
      <w:marLeft w:val="0"/>
      <w:marRight w:val="0"/>
      <w:marTop w:val="0"/>
      <w:marBottom w:val="0"/>
      <w:divBdr>
        <w:top w:val="none" w:sz="0" w:space="0" w:color="auto"/>
        <w:left w:val="none" w:sz="0" w:space="0" w:color="auto"/>
        <w:bottom w:val="none" w:sz="0" w:space="0" w:color="auto"/>
        <w:right w:val="none" w:sz="0" w:space="0" w:color="auto"/>
      </w:divBdr>
    </w:div>
    <w:div w:id="1383754274">
      <w:bodyDiv w:val="1"/>
      <w:marLeft w:val="0"/>
      <w:marRight w:val="0"/>
      <w:marTop w:val="0"/>
      <w:marBottom w:val="0"/>
      <w:divBdr>
        <w:top w:val="none" w:sz="0" w:space="0" w:color="auto"/>
        <w:left w:val="none" w:sz="0" w:space="0" w:color="auto"/>
        <w:bottom w:val="none" w:sz="0" w:space="0" w:color="auto"/>
        <w:right w:val="none" w:sz="0" w:space="0" w:color="auto"/>
      </w:divBdr>
    </w:div>
    <w:div w:id="1391072560">
      <w:bodyDiv w:val="1"/>
      <w:marLeft w:val="0"/>
      <w:marRight w:val="0"/>
      <w:marTop w:val="0"/>
      <w:marBottom w:val="0"/>
      <w:divBdr>
        <w:top w:val="none" w:sz="0" w:space="0" w:color="auto"/>
        <w:left w:val="none" w:sz="0" w:space="0" w:color="auto"/>
        <w:bottom w:val="none" w:sz="0" w:space="0" w:color="auto"/>
        <w:right w:val="none" w:sz="0" w:space="0" w:color="auto"/>
      </w:divBdr>
    </w:div>
    <w:div w:id="1416627021">
      <w:bodyDiv w:val="1"/>
      <w:marLeft w:val="0"/>
      <w:marRight w:val="0"/>
      <w:marTop w:val="0"/>
      <w:marBottom w:val="0"/>
      <w:divBdr>
        <w:top w:val="none" w:sz="0" w:space="0" w:color="auto"/>
        <w:left w:val="none" w:sz="0" w:space="0" w:color="auto"/>
        <w:bottom w:val="none" w:sz="0" w:space="0" w:color="auto"/>
        <w:right w:val="none" w:sz="0" w:space="0" w:color="auto"/>
      </w:divBdr>
    </w:div>
    <w:div w:id="1421636133">
      <w:bodyDiv w:val="1"/>
      <w:marLeft w:val="0"/>
      <w:marRight w:val="0"/>
      <w:marTop w:val="0"/>
      <w:marBottom w:val="0"/>
      <w:divBdr>
        <w:top w:val="none" w:sz="0" w:space="0" w:color="auto"/>
        <w:left w:val="none" w:sz="0" w:space="0" w:color="auto"/>
        <w:bottom w:val="none" w:sz="0" w:space="0" w:color="auto"/>
        <w:right w:val="none" w:sz="0" w:space="0" w:color="auto"/>
      </w:divBdr>
    </w:div>
    <w:div w:id="1427338474">
      <w:bodyDiv w:val="1"/>
      <w:marLeft w:val="0"/>
      <w:marRight w:val="0"/>
      <w:marTop w:val="0"/>
      <w:marBottom w:val="0"/>
      <w:divBdr>
        <w:top w:val="none" w:sz="0" w:space="0" w:color="auto"/>
        <w:left w:val="none" w:sz="0" w:space="0" w:color="auto"/>
        <w:bottom w:val="none" w:sz="0" w:space="0" w:color="auto"/>
        <w:right w:val="none" w:sz="0" w:space="0" w:color="auto"/>
      </w:divBdr>
    </w:div>
    <w:div w:id="1428192307">
      <w:bodyDiv w:val="1"/>
      <w:marLeft w:val="0"/>
      <w:marRight w:val="0"/>
      <w:marTop w:val="0"/>
      <w:marBottom w:val="0"/>
      <w:divBdr>
        <w:top w:val="none" w:sz="0" w:space="0" w:color="auto"/>
        <w:left w:val="none" w:sz="0" w:space="0" w:color="auto"/>
        <w:bottom w:val="none" w:sz="0" w:space="0" w:color="auto"/>
        <w:right w:val="none" w:sz="0" w:space="0" w:color="auto"/>
      </w:divBdr>
    </w:div>
    <w:div w:id="1428841949">
      <w:bodyDiv w:val="1"/>
      <w:marLeft w:val="0"/>
      <w:marRight w:val="0"/>
      <w:marTop w:val="0"/>
      <w:marBottom w:val="0"/>
      <w:divBdr>
        <w:top w:val="none" w:sz="0" w:space="0" w:color="auto"/>
        <w:left w:val="none" w:sz="0" w:space="0" w:color="auto"/>
        <w:bottom w:val="none" w:sz="0" w:space="0" w:color="auto"/>
        <w:right w:val="none" w:sz="0" w:space="0" w:color="auto"/>
      </w:divBdr>
    </w:div>
    <w:div w:id="1430351513">
      <w:bodyDiv w:val="1"/>
      <w:marLeft w:val="0"/>
      <w:marRight w:val="0"/>
      <w:marTop w:val="0"/>
      <w:marBottom w:val="0"/>
      <w:divBdr>
        <w:top w:val="none" w:sz="0" w:space="0" w:color="auto"/>
        <w:left w:val="none" w:sz="0" w:space="0" w:color="auto"/>
        <w:bottom w:val="none" w:sz="0" w:space="0" w:color="auto"/>
        <w:right w:val="none" w:sz="0" w:space="0" w:color="auto"/>
      </w:divBdr>
    </w:div>
    <w:div w:id="1432700815">
      <w:bodyDiv w:val="1"/>
      <w:marLeft w:val="0"/>
      <w:marRight w:val="0"/>
      <w:marTop w:val="0"/>
      <w:marBottom w:val="0"/>
      <w:divBdr>
        <w:top w:val="none" w:sz="0" w:space="0" w:color="auto"/>
        <w:left w:val="none" w:sz="0" w:space="0" w:color="auto"/>
        <w:bottom w:val="none" w:sz="0" w:space="0" w:color="auto"/>
        <w:right w:val="none" w:sz="0" w:space="0" w:color="auto"/>
      </w:divBdr>
    </w:div>
    <w:div w:id="1467968623">
      <w:bodyDiv w:val="1"/>
      <w:marLeft w:val="0"/>
      <w:marRight w:val="0"/>
      <w:marTop w:val="0"/>
      <w:marBottom w:val="0"/>
      <w:divBdr>
        <w:top w:val="none" w:sz="0" w:space="0" w:color="auto"/>
        <w:left w:val="none" w:sz="0" w:space="0" w:color="auto"/>
        <w:bottom w:val="none" w:sz="0" w:space="0" w:color="auto"/>
        <w:right w:val="none" w:sz="0" w:space="0" w:color="auto"/>
      </w:divBdr>
    </w:div>
    <w:div w:id="1477452331">
      <w:bodyDiv w:val="1"/>
      <w:marLeft w:val="0"/>
      <w:marRight w:val="0"/>
      <w:marTop w:val="0"/>
      <w:marBottom w:val="0"/>
      <w:divBdr>
        <w:top w:val="none" w:sz="0" w:space="0" w:color="auto"/>
        <w:left w:val="none" w:sz="0" w:space="0" w:color="auto"/>
        <w:bottom w:val="none" w:sz="0" w:space="0" w:color="auto"/>
        <w:right w:val="none" w:sz="0" w:space="0" w:color="auto"/>
      </w:divBdr>
    </w:div>
    <w:div w:id="1482236980">
      <w:bodyDiv w:val="1"/>
      <w:marLeft w:val="0"/>
      <w:marRight w:val="0"/>
      <w:marTop w:val="0"/>
      <w:marBottom w:val="0"/>
      <w:divBdr>
        <w:top w:val="none" w:sz="0" w:space="0" w:color="auto"/>
        <w:left w:val="none" w:sz="0" w:space="0" w:color="auto"/>
        <w:bottom w:val="none" w:sz="0" w:space="0" w:color="auto"/>
        <w:right w:val="none" w:sz="0" w:space="0" w:color="auto"/>
      </w:divBdr>
    </w:div>
    <w:div w:id="1482579192">
      <w:bodyDiv w:val="1"/>
      <w:marLeft w:val="0"/>
      <w:marRight w:val="0"/>
      <w:marTop w:val="0"/>
      <w:marBottom w:val="0"/>
      <w:divBdr>
        <w:top w:val="none" w:sz="0" w:space="0" w:color="auto"/>
        <w:left w:val="none" w:sz="0" w:space="0" w:color="auto"/>
        <w:bottom w:val="none" w:sz="0" w:space="0" w:color="auto"/>
        <w:right w:val="none" w:sz="0" w:space="0" w:color="auto"/>
      </w:divBdr>
    </w:div>
    <w:div w:id="1488128743">
      <w:bodyDiv w:val="1"/>
      <w:marLeft w:val="0"/>
      <w:marRight w:val="0"/>
      <w:marTop w:val="0"/>
      <w:marBottom w:val="0"/>
      <w:divBdr>
        <w:top w:val="none" w:sz="0" w:space="0" w:color="auto"/>
        <w:left w:val="none" w:sz="0" w:space="0" w:color="auto"/>
        <w:bottom w:val="none" w:sz="0" w:space="0" w:color="auto"/>
        <w:right w:val="none" w:sz="0" w:space="0" w:color="auto"/>
      </w:divBdr>
    </w:div>
    <w:div w:id="1488326030">
      <w:bodyDiv w:val="1"/>
      <w:marLeft w:val="0"/>
      <w:marRight w:val="0"/>
      <w:marTop w:val="0"/>
      <w:marBottom w:val="0"/>
      <w:divBdr>
        <w:top w:val="none" w:sz="0" w:space="0" w:color="auto"/>
        <w:left w:val="none" w:sz="0" w:space="0" w:color="auto"/>
        <w:bottom w:val="none" w:sz="0" w:space="0" w:color="auto"/>
        <w:right w:val="none" w:sz="0" w:space="0" w:color="auto"/>
      </w:divBdr>
    </w:div>
    <w:div w:id="1493526674">
      <w:bodyDiv w:val="1"/>
      <w:marLeft w:val="0"/>
      <w:marRight w:val="0"/>
      <w:marTop w:val="0"/>
      <w:marBottom w:val="0"/>
      <w:divBdr>
        <w:top w:val="none" w:sz="0" w:space="0" w:color="auto"/>
        <w:left w:val="none" w:sz="0" w:space="0" w:color="auto"/>
        <w:bottom w:val="none" w:sz="0" w:space="0" w:color="auto"/>
        <w:right w:val="none" w:sz="0" w:space="0" w:color="auto"/>
      </w:divBdr>
    </w:div>
    <w:div w:id="1505321786">
      <w:bodyDiv w:val="1"/>
      <w:marLeft w:val="0"/>
      <w:marRight w:val="0"/>
      <w:marTop w:val="0"/>
      <w:marBottom w:val="0"/>
      <w:divBdr>
        <w:top w:val="none" w:sz="0" w:space="0" w:color="auto"/>
        <w:left w:val="none" w:sz="0" w:space="0" w:color="auto"/>
        <w:bottom w:val="none" w:sz="0" w:space="0" w:color="auto"/>
        <w:right w:val="none" w:sz="0" w:space="0" w:color="auto"/>
      </w:divBdr>
    </w:div>
    <w:div w:id="1508059261">
      <w:bodyDiv w:val="1"/>
      <w:marLeft w:val="0"/>
      <w:marRight w:val="0"/>
      <w:marTop w:val="0"/>
      <w:marBottom w:val="0"/>
      <w:divBdr>
        <w:top w:val="none" w:sz="0" w:space="0" w:color="auto"/>
        <w:left w:val="none" w:sz="0" w:space="0" w:color="auto"/>
        <w:bottom w:val="none" w:sz="0" w:space="0" w:color="auto"/>
        <w:right w:val="none" w:sz="0" w:space="0" w:color="auto"/>
      </w:divBdr>
    </w:div>
    <w:div w:id="1508986072">
      <w:bodyDiv w:val="1"/>
      <w:marLeft w:val="0"/>
      <w:marRight w:val="0"/>
      <w:marTop w:val="0"/>
      <w:marBottom w:val="0"/>
      <w:divBdr>
        <w:top w:val="none" w:sz="0" w:space="0" w:color="auto"/>
        <w:left w:val="none" w:sz="0" w:space="0" w:color="auto"/>
        <w:bottom w:val="none" w:sz="0" w:space="0" w:color="auto"/>
        <w:right w:val="none" w:sz="0" w:space="0" w:color="auto"/>
      </w:divBdr>
    </w:div>
    <w:div w:id="1518890844">
      <w:bodyDiv w:val="1"/>
      <w:marLeft w:val="0"/>
      <w:marRight w:val="0"/>
      <w:marTop w:val="0"/>
      <w:marBottom w:val="0"/>
      <w:divBdr>
        <w:top w:val="none" w:sz="0" w:space="0" w:color="auto"/>
        <w:left w:val="none" w:sz="0" w:space="0" w:color="auto"/>
        <w:bottom w:val="none" w:sz="0" w:space="0" w:color="auto"/>
        <w:right w:val="none" w:sz="0" w:space="0" w:color="auto"/>
      </w:divBdr>
    </w:div>
    <w:div w:id="1536380581">
      <w:bodyDiv w:val="1"/>
      <w:marLeft w:val="0"/>
      <w:marRight w:val="0"/>
      <w:marTop w:val="0"/>
      <w:marBottom w:val="0"/>
      <w:divBdr>
        <w:top w:val="none" w:sz="0" w:space="0" w:color="auto"/>
        <w:left w:val="none" w:sz="0" w:space="0" w:color="auto"/>
        <w:bottom w:val="none" w:sz="0" w:space="0" w:color="auto"/>
        <w:right w:val="none" w:sz="0" w:space="0" w:color="auto"/>
      </w:divBdr>
    </w:div>
    <w:div w:id="1541672161">
      <w:bodyDiv w:val="1"/>
      <w:marLeft w:val="0"/>
      <w:marRight w:val="0"/>
      <w:marTop w:val="0"/>
      <w:marBottom w:val="0"/>
      <w:divBdr>
        <w:top w:val="none" w:sz="0" w:space="0" w:color="auto"/>
        <w:left w:val="none" w:sz="0" w:space="0" w:color="auto"/>
        <w:bottom w:val="none" w:sz="0" w:space="0" w:color="auto"/>
        <w:right w:val="none" w:sz="0" w:space="0" w:color="auto"/>
      </w:divBdr>
    </w:div>
    <w:div w:id="1550652110">
      <w:bodyDiv w:val="1"/>
      <w:marLeft w:val="0"/>
      <w:marRight w:val="0"/>
      <w:marTop w:val="0"/>
      <w:marBottom w:val="0"/>
      <w:divBdr>
        <w:top w:val="none" w:sz="0" w:space="0" w:color="auto"/>
        <w:left w:val="none" w:sz="0" w:space="0" w:color="auto"/>
        <w:bottom w:val="none" w:sz="0" w:space="0" w:color="auto"/>
        <w:right w:val="none" w:sz="0" w:space="0" w:color="auto"/>
      </w:divBdr>
    </w:div>
    <w:div w:id="1558542491">
      <w:bodyDiv w:val="1"/>
      <w:marLeft w:val="0"/>
      <w:marRight w:val="0"/>
      <w:marTop w:val="0"/>
      <w:marBottom w:val="0"/>
      <w:divBdr>
        <w:top w:val="none" w:sz="0" w:space="0" w:color="auto"/>
        <w:left w:val="none" w:sz="0" w:space="0" w:color="auto"/>
        <w:bottom w:val="none" w:sz="0" w:space="0" w:color="auto"/>
        <w:right w:val="none" w:sz="0" w:space="0" w:color="auto"/>
      </w:divBdr>
    </w:div>
    <w:div w:id="1561667795">
      <w:bodyDiv w:val="1"/>
      <w:marLeft w:val="0"/>
      <w:marRight w:val="0"/>
      <w:marTop w:val="0"/>
      <w:marBottom w:val="0"/>
      <w:divBdr>
        <w:top w:val="none" w:sz="0" w:space="0" w:color="auto"/>
        <w:left w:val="none" w:sz="0" w:space="0" w:color="auto"/>
        <w:bottom w:val="none" w:sz="0" w:space="0" w:color="auto"/>
        <w:right w:val="none" w:sz="0" w:space="0" w:color="auto"/>
      </w:divBdr>
    </w:div>
    <w:div w:id="1575820743">
      <w:bodyDiv w:val="1"/>
      <w:marLeft w:val="0"/>
      <w:marRight w:val="0"/>
      <w:marTop w:val="0"/>
      <w:marBottom w:val="0"/>
      <w:divBdr>
        <w:top w:val="none" w:sz="0" w:space="0" w:color="auto"/>
        <w:left w:val="none" w:sz="0" w:space="0" w:color="auto"/>
        <w:bottom w:val="none" w:sz="0" w:space="0" w:color="auto"/>
        <w:right w:val="none" w:sz="0" w:space="0" w:color="auto"/>
      </w:divBdr>
    </w:div>
    <w:div w:id="1577128597">
      <w:bodyDiv w:val="1"/>
      <w:marLeft w:val="0"/>
      <w:marRight w:val="0"/>
      <w:marTop w:val="0"/>
      <w:marBottom w:val="0"/>
      <w:divBdr>
        <w:top w:val="none" w:sz="0" w:space="0" w:color="auto"/>
        <w:left w:val="none" w:sz="0" w:space="0" w:color="auto"/>
        <w:bottom w:val="none" w:sz="0" w:space="0" w:color="auto"/>
        <w:right w:val="none" w:sz="0" w:space="0" w:color="auto"/>
      </w:divBdr>
    </w:div>
    <w:div w:id="1589077825">
      <w:bodyDiv w:val="1"/>
      <w:marLeft w:val="0"/>
      <w:marRight w:val="0"/>
      <w:marTop w:val="0"/>
      <w:marBottom w:val="0"/>
      <w:divBdr>
        <w:top w:val="none" w:sz="0" w:space="0" w:color="auto"/>
        <w:left w:val="none" w:sz="0" w:space="0" w:color="auto"/>
        <w:bottom w:val="none" w:sz="0" w:space="0" w:color="auto"/>
        <w:right w:val="none" w:sz="0" w:space="0" w:color="auto"/>
      </w:divBdr>
    </w:div>
    <w:div w:id="1606689940">
      <w:bodyDiv w:val="1"/>
      <w:marLeft w:val="0"/>
      <w:marRight w:val="0"/>
      <w:marTop w:val="0"/>
      <w:marBottom w:val="0"/>
      <w:divBdr>
        <w:top w:val="none" w:sz="0" w:space="0" w:color="auto"/>
        <w:left w:val="none" w:sz="0" w:space="0" w:color="auto"/>
        <w:bottom w:val="none" w:sz="0" w:space="0" w:color="auto"/>
        <w:right w:val="none" w:sz="0" w:space="0" w:color="auto"/>
      </w:divBdr>
    </w:div>
    <w:div w:id="1613198322">
      <w:bodyDiv w:val="1"/>
      <w:marLeft w:val="0"/>
      <w:marRight w:val="0"/>
      <w:marTop w:val="0"/>
      <w:marBottom w:val="0"/>
      <w:divBdr>
        <w:top w:val="none" w:sz="0" w:space="0" w:color="auto"/>
        <w:left w:val="none" w:sz="0" w:space="0" w:color="auto"/>
        <w:bottom w:val="none" w:sz="0" w:space="0" w:color="auto"/>
        <w:right w:val="none" w:sz="0" w:space="0" w:color="auto"/>
      </w:divBdr>
    </w:div>
    <w:div w:id="1615864284">
      <w:bodyDiv w:val="1"/>
      <w:marLeft w:val="0"/>
      <w:marRight w:val="0"/>
      <w:marTop w:val="0"/>
      <w:marBottom w:val="0"/>
      <w:divBdr>
        <w:top w:val="none" w:sz="0" w:space="0" w:color="auto"/>
        <w:left w:val="none" w:sz="0" w:space="0" w:color="auto"/>
        <w:bottom w:val="none" w:sz="0" w:space="0" w:color="auto"/>
        <w:right w:val="none" w:sz="0" w:space="0" w:color="auto"/>
      </w:divBdr>
    </w:div>
    <w:div w:id="1619947148">
      <w:bodyDiv w:val="1"/>
      <w:marLeft w:val="0"/>
      <w:marRight w:val="0"/>
      <w:marTop w:val="0"/>
      <w:marBottom w:val="0"/>
      <w:divBdr>
        <w:top w:val="none" w:sz="0" w:space="0" w:color="auto"/>
        <w:left w:val="none" w:sz="0" w:space="0" w:color="auto"/>
        <w:bottom w:val="none" w:sz="0" w:space="0" w:color="auto"/>
        <w:right w:val="none" w:sz="0" w:space="0" w:color="auto"/>
      </w:divBdr>
    </w:div>
    <w:div w:id="1623686446">
      <w:bodyDiv w:val="1"/>
      <w:marLeft w:val="0"/>
      <w:marRight w:val="0"/>
      <w:marTop w:val="0"/>
      <w:marBottom w:val="0"/>
      <w:divBdr>
        <w:top w:val="none" w:sz="0" w:space="0" w:color="auto"/>
        <w:left w:val="none" w:sz="0" w:space="0" w:color="auto"/>
        <w:bottom w:val="none" w:sz="0" w:space="0" w:color="auto"/>
        <w:right w:val="none" w:sz="0" w:space="0" w:color="auto"/>
      </w:divBdr>
    </w:div>
    <w:div w:id="1628661761">
      <w:bodyDiv w:val="1"/>
      <w:marLeft w:val="0"/>
      <w:marRight w:val="0"/>
      <w:marTop w:val="0"/>
      <w:marBottom w:val="0"/>
      <w:divBdr>
        <w:top w:val="none" w:sz="0" w:space="0" w:color="auto"/>
        <w:left w:val="none" w:sz="0" w:space="0" w:color="auto"/>
        <w:bottom w:val="none" w:sz="0" w:space="0" w:color="auto"/>
        <w:right w:val="none" w:sz="0" w:space="0" w:color="auto"/>
      </w:divBdr>
    </w:div>
    <w:div w:id="1639455685">
      <w:bodyDiv w:val="1"/>
      <w:marLeft w:val="0"/>
      <w:marRight w:val="0"/>
      <w:marTop w:val="0"/>
      <w:marBottom w:val="0"/>
      <w:divBdr>
        <w:top w:val="none" w:sz="0" w:space="0" w:color="auto"/>
        <w:left w:val="none" w:sz="0" w:space="0" w:color="auto"/>
        <w:bottom w:val="none" w:sz="0" w:space="0" w:color="auto"/>
        <w:right w:val="none" w:sz="0" w:space="0" w:color="auto"/>
      </w:divBdr>
    </w:div>
    <w:div w:id="1640039851">
      <w:bodyDiv w:val="1"/>
      <w:marLeft w:val="0"/>
      <w:marRight w:val="0"/>
      <w:marTop w:val="0"/>
      <w:marBottom w:val="0"/>
      <w:divBdr>
        <w:top w:val="none" w:sz="0" w:space="0" w:color="auto"/>
        <w:left w:val="none" w:sz="0" w:space="0" w:color="auto"/>
        <w:bottom w:val="none" w:sz="0" w:space="0" w:color="auto"/>
        <w:right w:val="none" w:sz="0" w:space="0" w:color="auto"/>
      </w:divBdr>
    </w:div>
    <w:div w:id="1640109374">
      <w:bodyDiv w:val="1"/>
      <w:marLeft w:val="0"/>
      <w:marRight w:val="0"/>
      <w:marTop w:val="0"/>
      <w:marBottom w:val="0"/>
      <w:divBdr>
        <w:top w:val="none" w:sz="0" w:space="0" w:color="auto"/>
        <w:left w:val="none" w:sz="0" w:space="0" w:color="auto"/>
        <w:bottom w:val="none" w:sz="0" w:space="0" w:color="auto"/>
        <w:right w:val="none" w:sz="0" w:space="0" w:color="auto"/>
      </w:divBdr>
    </w:div>
    <w:div w:id="1644507743">
      <w:bodyDiv w:val="1"/>
      <w:marLeft w:val="0"/>
      <w:marRight w:val="0"/>
      <w:marTop w:val="0"/>
      <w:marBottom w:val="0"/>
      <w:divBdr>
        <w:top w:val="none" w:sz="0" w:space="0" w:color="auto"/>
        <w:left w:val="none" w:sz="0" w:space="0" w:color="auto"/>
        <w:bottom w:val="none" w:sz="0" w:space="0" w:color="auto"/>
        <w:right w:val="none" w:sz="0" w:space="0" w:color="auto"/>
      </w:divBdr>
      <w:divsChild>
        <w:div w:id="1784305909">
          <w:marLeft w:val="0"/>
          <w:marRight w:val="0"/>
          <w:marTop w:val="0"/>
          <w:marBottom w:val="0"/>
          <w:divBdr>
            <w:top w:val="none" w:sz="0" w:space="0" w:color="auto"/>
            <w:left w:val="none" w:sz="0" w:space="0" w:color="auto"/>
            <w:bottom w:val="none" w:sz="0" w:space="0" w:color="auto"/>
            <w:right w:val="none" w:sz="0" w:space="0" w:color="auto"/>
          </w:divBdr>
        </w:div>
      </w:divsChild>
    </w:div>
    <w:div w:id="1657685332">
      <w:bodyDiv w:val="1"/>
      <w:marLeft w:val="0"/>
      <w:marRight w:val="0"/>
      <w:marTop w:val="0"/>
      <w:marBottom w:val="0"/>
      <w:divBdr>
        <w:top w:val="none" w:sz="0" w:space="0" w:color="auto"/>
        <w:left w:val="none" w:sz="0" w:space="0" w:color="auto"/>
        <w:bottom w:val="none" w:sz="0" w:space="0" w:color="auto"/>
        <w:right w:val="none" w:sz="0" w:space="0" w:color="auto"/>
      </w:divBdr>
    </w:div>
    <w:div w:id="1659530554">
      <w:bodyDiv w:val="1"/>
      <w:marLeft w:val="0"/>
      <w:marRight w:val="0"/>
      <w:marTop w:val="0"/>
      <w:marBottom w:val="0"/>
      <w:divBdr>
        <w:top w:val="none" w:sz="0" w:space="0" w:color="auto"/>
        <w:left w:val="none" w:sz="0" w:space="0" w:color="auto"/>
        <w:bottom w:val="none" w:sz="0" w:space="0" w:color="auto"/>
        <w:right w:val="none" w:sz="0" w:space="0" w:color="auto"/>
      </w:divBdr>
    </w:div>
    <w:div w:id="1673020529">
      <w:bodyDiv w:val="1"/>
      <w:marLeft w:val="0"/>
      <w:marRight w:val="0"/>
      <w:marTop w:val="0"/>
      <w:marBottom w:val="0"/>
      <w:divBdr>
        <w:top w:val="none" w:sz="0" w:space="0" w:color="auto"/>
        <w:left w:val="none" w:sz="0" w:space="0" w:color="auto"/>
        <w:bottom w:val="none" w:sz="0" w:space="0" w:color="auto"/>
        <w:right w:val="none" w:sz="0" w:space="0" w:color="auto"/>
      </w:divBdr>
    </w:div>
    <w:div w:id="1674145197">
      <w:bodyDiv w:val="1"/>
      <w:marLeft w:val="0"/>
      <w:marRight w:val="0"/>
      <w:marTop w:val="0"/>
      <w:marBottom w:val="0"/>
      <w:divBdr>
        <w:top w:val="none" w:sz="0" w:space="0" w:color="auto"/>
        <w:left w:val="none" w:sz="0" w:space="0" w:color="auto"/>
        <w:bottom w:val="none" w:sz="0" w:space="0" w:color="auto"/>
        <w:right w:val="none" w:sz="0" w:space="0" w:color="auto"/>
      </w:divBdr>
    </w:div>
    <w:div w:id="1678657686">
      <w:bodyDiv w:val="1"/>
      <w:marLeft w:val="0"/>
      <w:marRight w:val="0"/>
      <w:marTop w:val="0"/>
      <w:marBottom w:val="0"/>
      <w:divBdr>
        <w:top w:val="none" w:sz="0" w:space="0" w:color="auto"/>
        <w:left w:val="none" w:sz="0" w:space="0" w:color="auto"/>
        <w:bottom w:val="none" w:sz="0" w:space="0" w:color="auto"/>
        <w:right w:val="none" w:sz="0" w:space="0" w:color="auto"/>
      </w:divBdr>
    </w:div>
    <w:div w:id="1680883475">
      <w:bodyDiv w:val="1"/>
      <w:marLeft w:val="0"/>
      <w:marRight w:val="0"/>
      <w:marTop w:val="0"/>
      <w:marBottom w:val="0"/>
      <w:divBdr>
        <w:top w:val="none" w:sz="0" w:space="0" w:color="auto"/>
        <w:left w:val="none" w:sz="0" w:space="0" w:color="auto"/>
        <w:bottom w:val="none" w:sz="0" w:space="0" w:color="auto"/>
        <w:right w:val="none" w:sz="0" w:space="0" w:color="auto"/>
      </w:divBdr>
    </w:div>
    <w:div w:id="1685857357">
      <w:bodyDiv w:val="1"/>
      <w:marLeft w:val="0"/>
      <w:marRight w:val="0"/>
      <w:marTop w:val="0"/>
      <w:marBottom w:val="0"/>
      <w:divBdr>
        <w:top w:val="none" w:sz="0" w:space="0" w:color="auto"/>
        <w:left w:val="none" w:sz="0" w:space="0" w:color="auto"/>
        <w:bottom w:val="none" w:sz="0" w:space="0" w:color="auto"/>
        <w:right w:val="none" w:sz="0" w:space="0" w:color="auto"/>
      </w:divBdr>
    </w:div>
    <w:div w:id="1706250850">
      <w:bodyDiv w:val="1"/>
      <w:marLeft w:val="0"/>
      <w:marRight w:val="0"/>
      <w:marTop w:val="0"/>
      <w:marBottom w:val="0"/>
      <w:divBdr>
        <w:top w:val="none" w:sz="0" w:space="0" w:color="auto"/>
        <w:left w:val="none" w:sz="0" w:space="0" w:color="auto"/>
        <w:bottom w:val="none" w:sz="0" w:space="0" w:color="auto"/>
        <w:right w:val="none" w:sz="0" w:space="0" w:color="auto"/>
      </w:divBdr>
    </w:div>
    <w:div w:id="1706636702">
      <w:bodyDiv w:val="1"/>
      <w:marLeft w:val="0"/>
      <w:marRight w:val="0"/>
      <w:marTop w:val="0"/>
      <w:marBottom w:val="0"/>
      <w:divBdr>
        <w:top w:val="none" w:sz="0" w:space="0" w:color="auto"/>
        <w:left w:val="none" w:sz="0" w:space="0" w:color="auto"/>
        <w:bottom w:val="none" w:sz="0" w:space="0" w:color="auto"/>
        <w:right w:val="none" w:sz="0" w:space="0" w:color="auto"/>
      </w:divBdr>
    </w:div>
    <w:div w:id="1712222587">
      <w:bodyDiv w:val="1"/>
      <w:marLeft w:val="0"/>
      <w:marRight w:val="0"/>
      <w:marTop w:val="0"/>
      <w:marBottom w:val="0"/>
      <w:divBdr>
        <w:top w:val="none" w:sz="0" w:space="0" w:color="auto"/>
        <w:left w:val="none" w:sz="0" w:space="0" w:color="auto"/>
        <w:bottom w:val="none" w:sz="0" w:space="0" w:color="auto"/>
        <w:right w:val="none" w:sz="0" w:space="0" w:color="auto"/>
      </w:divBdr>
    </w:div>
    <w:div w:id="1713533776">
      <w:bodyDiv w:val="1"/>
      <w:marLeft w:val="0"/>
      <w:marRight w:val="0"/>
      <w:marTop w:val="0"/>
      <w:marBottom w:val="0"/>
      <w:divBdr>
        <w:top w:val="none" w:sz="0" w:space="0" w:color="auto"/>
        <w:left w:val="none" w:sz="0" w:space="0" w:color="auto"/>
        <w:bottom w:val="none" w:sz="0" w:space="0" w:color="auto"/>
        <w:right w:val="none" w:sz="0" w:space="0" w:color="auto"/>
      </w:divBdr>
    </w:div>
    <w:div w:id="1718118920">
      <w:bodyDiv w:val="1"/>
      <w:marLeft w:val="0"/>
      <w:marRight w:val="0"/>
      <w:marTop w:val="0"/>
      <w:marBottom w:val="0"/>
      <w:divBdr>
        <w:top w:val="none" w:sz="0" w:space="0" w:color="auto"/>
        <w:left w:val="none" w:sz="0" w:space="0" w:color="auto"/>
        <w:bottom w:val="none" w:sz="0" w:space="0" w:color="auto"/>
        <w:right w:val="none" w:sz="0" w:space="0" w:color="auto"/>
      </w:divBdr>
    </w:div>
    <w:div w:id="1718318343">
      <w:bodyDiv w:val="1"/>
      <w:marLeft w:val="0"/>
      <w:marRight w:val="0"/>
      <w:marTop w:val="0"/>
      <w:marBottom w:val="0"/>
      <w:divBdr>
        <w:top w:val="none" w:sz="0" w:space="0" w:color="auto"/>
        <w:left w:val="none" w:sz="0" w:space="0" w:color="auto"/>
        <w:bottom w:val="none" w:sz="0" w:space="0" w:color="auto"/>
        <w:right w:val="none" w:sz="0" w:space="0" w:color="auto"/>
      </w:divBdr>
      <w:divsChild>
        <w:div w:id="1541939276">
          <w:marLeft w:val="0"/>
          <w:marRight w:val="0"/>
          <w:marTop w:val="75"/>
          <w:marBottom w:val="0"/>
          <w:divBdr>
            <w:top w:val="none" w:sz="0" w:space="0" w:color="auto"/>
            <w:left w:val="none" w:sz="0" w:space="0" w:color="auto"/>
            <w:bottom w:val="none" w:sz="0" w:space="0" w:color="auto"/>
            <w:right w:val="none" w:sz="0" w:space="0" w:color="auto"/>
          </w:divBdr>
        </w:div>
        <w:div w:id="372652973">
          <w:marLeft w:val="0"/>
          <w:marRight w:val="0"/>
          <w:marTop w:val="0"/>
          <w:marBottom w:val="0"/>
          <w:divBdr>
            <w:top w:val="none" w:sz="0" w:space="0" w:color="auto"/>
            <w:left w:val="none" w:sz="0" w:space="0" w:color="auto"/>
            <w:bottom w:val="none" w:sz="0" w:space="0" w:color="auto"/>
            <w:right w:val="none" w:sz="0" w:space="0" w:color="auto"/>
          </w:divBdr>
        </w:div>
      </w:divsChild>
    </w:div>
    <w:div w:id="1724910715">
      <w:bodyDiv w:val="1"/>
      <w:marLeft w:val="0"/>
      <w:marRight w:val="0"/>
      <w:marTop w:val="0"/>
      <w:marBottom w:val="0"/>
      <w:divBdr>
        <w:top w:val="none" w:sz="0" w:space="0" w:color="auto"/>
        <w:left w:val="none" w:sz="0" w:space="0" w:color="auto"/>
        <w:bottom w:val="none" w:sz="0" w:space="0" w:color="auto"/>
        <w:right w:val="none" w:sz="0" w:space="0" w:color="auto"/>
      </w:divBdr>
    </w:div>
    <w:div w:id="1726951822">
      <w:bodyDiv w:val="1"/>
      <w:marLeft w:val="0"/>
      <w:marRight w:val="0"/>
      <w:marTop w:val="0"/>
      <w:marBottom w:val="0"/>
      <w:divBdr>
        <w:top w:val="none" w:sz="0" w:space="0" w:color="auto"/>
        <w:left w:val="none" w:sz="0" w:space="0" w:color="auto"/>
        <w:bottom w:val="none" w:sz="0" w:space="0" w:color="auto"/>
        <w:right w:val="none" w:sz="0" w:space="0" w:color="auto"/>
      </w:divBdr>
    </w:div>
    <w:div w:id="1734693488">
      <w:bodyDiv w:val="1"/>
      <w:marLeft w:val="0"/>
      <w:marRight w:val="0"/>
      <w:marTop w:val="0"/>
      <w:marBottom w:val="0"/>
      <w:divBdr>
        <w:top w:val="none" w:sz="0" w:space="0" w:color="auto"/>
        <w:left w:val="none" w:sz="0" w:space="0" w:color="auto"/>
        <w:bottom w:val="none" w:sz="0" w:space="0" w:color="auto"/>
        <w:right w:val="none" w:sz="0" w:space="0" w:color="auto"/>
      </w:divBdr>
    </w:div>
    <w:div w:id="1737824661">
      <w:bodyDiv w:val="1"/>
      <w:marLeft w:val="0"/>
      <w:marRight w:val="0"/>
      <w:marTop w:val="0"/>
      <w:marBottom w:val="0"/>
      <w:divBdr>
        <w:top w:val="none" w:sz="0" w:space="0" w:color="auto"/>
        <w:left w:val="none" w:sz="0" w:space="0" w:color="auto"/>
        <w:bottom w:val="none" w:sz="0" w:space="0" w:color="auto"/>
        <w:right w:val="none" w:sz="0" w:space="0" w:color="auto"/>
      </w:divBdr>
    </w:div>
    <w:div w:id="1747219243">
      <w:bodyDiv w:val="1"/>
      <w:marLeft w:val="0"/>
      <w:marRight w:val="0"/>
      <w:marTop w:val="0"/>
      <w:marBottom w:val="0"/>
      <w:divBdr>
        <w:top w:val="none" w:sz="0" w:space="0" w:color="auto"/>
        <w:left w:val="none" w:sz="0" w:space="0" w:color="auto"/>
        <w:bottom w:val="none" w:sz="0" w:space="0" w:color="auto"/>
        <w:right w:val="none" w:sz="0" w:space="0" w:color="auto"/>
      </w:divBdr>
    </w:div>
    <w:div w:id="1748305614">
      <w:bodyDiv w:val="1"/>
      <w:marLeft w:val="0"/>
      <w:marRight w:val="0"/>
      <w:marTop w:val="0"/>
      <w:marBottom w:val="0"/>
      <w:divBdr>
        <w:top w:val="none" w:sz="0" w:space="0" w:color="auto"/>
        <w:left w:val="none" w:sz="0" w:space="0" w:color="auto"/>
        <w:bottom w:val="none" w:sz="0" w:space="0" w:color="auto"/>
        <w:right w:val="none" w:sz="0" w:space="0" w:color="auto"/>
      </w:divBdr>
    </w:div>
    <w:div w:id="1759591444">
      <w:bodyDiv w:val="1"/>
      <w:marLeft w:val="0"/>
      <w:marRight w:val="0"/>
      <w:marTop w:val="0"/>
      <w:marBottom w:val="0"/>
      <w:divBdr>
        <w:top w:val="none" w:sz="0" w:space="0" w:color="auto"/>
        <w:left w:val="none" w:sz="0" w:space="0" w:color="auto"/>
        <w:bottom w:val="none" w:sz="0" w:space="0" w:color="auto"/>
        <w:right w:val="none" w:sz="0" w:space="0" w:color="auto"/>
      </w:divBdr>
    </w:div>
    <w:div w:id="1774940149">
      <w:bodyDiv w:val="1"/>
      <w:marLeft w:val="0"/>
      <w:marRight w:val="0"/>
      <w:marTop w:val="0"/>
      <w:marBottom w:val="0"/>
      <w:divBdr>
        <w:top w:val="none" w:sz="0" w:space="0" w:color="auto"/>
        <w:left w:val="none" w:sz="0" w:space="0" w:color="auto"/>
        <w:bottom w:val="none" w:sz="0" w:space="0" w:color="auto"/>
        <w:right w:val="none" w:sz="0" w:space="0" w:color="auto"/>
      </w:divBdr>
    </w:div>
    <w:div w:id="1776169984">
      <w:bodyDiv w:val="1"/>
      <w:marLeft w:val="0"/>
      <w:marRight w:val="0"/>
      <w:marTop w:val="0"/>
      <w:marBottom w:val="0"/>
      <w:divBdr>
        <w:top w:val="none" w:sz="0" w:space="0" w:color="auto"/>
        <w:left w:val="none" w:sz="0" w:space="0" w:color="auto"/>
        <w:bottom w:val="none" w:sz="0" w:space="0" w:color="auto"/>
        <w:right w:val="none" w:sz="0" w:space="0" w:color="auto"/>
      </w:divBdr>
    </w:div>
    <w:div w:id="1781487101">
      <w:bodyDiv w:val="1"/>
      <w:marLeft w:val="0"/>
      <w:marRight w:val="0"/>
      <w:marTop w:val="0"/>
      <w:marBottom w:val="0"/>
      <w:divBdr>
        <w:top w:val="none" w:sz="0" w:space="0" w:color="auto"/>
        <w:left w:val="none" w:sz="0" w:space="0" w:color="auto"/>
        <w:bottom w:val="none" w:sz="0" w:space="0" w:color="auto"/>
        <w:right w:val="none" w:sz="0" w:space="0" w:color="auto"/>
      </w:divBdr>
    </w:div>
    <w:div w:id="1791701884">
      <w:bodyDiv w:val="1"/>
      <w:marLeft w:val="0"/>
      <w:marRight w:val="0"/>
      <w:marTop w:val="0"/>
      <w:marBottom w:val="0"/>
      <w:divBdr>
        <w:top w:val="none" w:sz="0" w:space="0" w:color="auto"/>
        <w:left w:val="none" w:sz="0" w:space="0" w:color="auto"/>
        <w:bottom w:val="none" w:sz="0" w:space="0" w:color="auto"/>
        <w:right w:val="none" w:sz="0" w:space="0" w:color="auto"/>
      </w:divBdr>
    </w:div>
    <w:div w:id="1794135256">
      <w:bodyDiv w:val="1"/>
      <w:marLeft w:val="0"/>
      <w:marRight w:val="0"/>
      <w:marTop w:val="0"/>
      <w:marBottom w:val="0"/>
      <w:divBdr>
        <w:top w:val="none" w:sz="0" w:space="0" w:color="auto"/>
        <w:left w:val="none" w:sz="0" w:space="0" w:color="auto"/>
        <w:bottom w:val="none" w:sz="0" w:space="0" w:color="auto"/>
        <w:right w:val="none" w:sz="0" w:space="0" w:color="auto"/>
      </w:divBdr>
    </w:div>
    <w:div w:id="1813214629">
      <w:bodyDiv w:val="1"/>
      <w:marLeft w:val="0"/>
      <w:marRight w:val="0"/>
      <w:marTop w:val="0"/>
      <w:marBottom w:val="0"/>
      <w:divBdr>
        <w:top w:val="none" w:sz="0" w:space="0" w:color="auto"/>
        <w:left w:val="none" w:sz="0" w:space="0" w:color="auto"/>
        <w:bottom w:val="none" w:sz="0" w:space="0" w:color="auto"/>
        <w:right w:val="none" w:sz="0" w:space="0" w:color="auto"/>
      </w:divBdr>
    </w:div>
    <w:div w:id="1819571976">
      <w:bodyDiv w:val="1"/>
      <w:marLeft w:val="0"/>
      <w:marRight w:val="0"/>
      <w:marTop w:val="0"/>
      <w:marBottom w:val="0"/>
      <w:divBdr>
        <w:top w:val="none" w:sz="0" w:space="0" w:color="auto"/>
        <w:left w:val="none" w:sz="0" w:space="0" w:color="auto"/>
        <w:bottom w:val="none" w:sz="0" w:space="0" w:color="auto"/>
        <w:right w:val="none" w:sz="0" w:space="0" w:color="auto"/>
      </w:divBdr>
    </w:div>
    <w:div w:id="1821002244">
      <w:bodyDiv w:val="1"/>
      <w:marLeft w:val="0"/>
      <w:marRight w:val="0"/>
      <w:marTop w:val="0"/>
      <w:marBottom w:val="0"/>
      <w:divBdr>
        <w:top w:val="none" w:sz="0" w:space="0" w:color="auto"/>
        <w:left w:val="none" w:sz="0" w:space="0" w:color="auto"/>
        <w:bottom w:val="none" w:sz="0" w:space="0" w:color="auto"/>
        <w:right w:val="none" w:sz="0" w:space="0" w:color="auto"/>
      </w:divBdr>
    </w:div>
    <w:div w:id="1842041150">
      <w:bodyDiv w:val="1"/>
      <w:marLeft w:val="0"/>
      <w:marRight w:val="0"/>
      <w:marTop w:val="0"/>
      <w:marBottom w:val="0"/>
      <w:divBdr>
        <w:top w:val="none" w:sz="0" w:space="0" w:color="auto"/>
        <w:left w:val="none" w:sz="0" w:space="0" w:color="auto"/>
        <w:bottom w:val="none" w:sz="0" w:space="0" w:color="auto"/>
        <w:right w:val="none" w:sz="0" w:space="0" w:color="auto"/>
      </w:divBdr>
    </w:div>
    <w:div w:id="1847596551">
      <w:bodyDiv w:val="1"/>
      <w:marLeft w:val="0"/>
      <w:marRight w:val="0"/>
      <w:marTop w:val="0"/>
      <w:marBottom w:val="0"/>
      <w:divBdr>
        <w:top w:val="none" w:sz="0" w:space="0" w:color="auto"/>
        <w:left w:val="none" w:sz="0" w:space="0" w:color="auto"/>
        <w:bottom w:val="none" w:sz="0" w:space="0" w:color="auto"/>
        <w:right w:val="none" w:sz="0" w:space="0" w:color="auto"/>
      </w:divBdr>
    </w:div>
    <w:div w:id="1851868922">
      <w:bodyDiv w:val="1"/>
      <w:marLeft w:val="0"/>
      <w:marRight w:val="0"/>
      <w:marTop w:val="0"/>
      <w:marBottom w:val="0"/>
      <w:divBdr>
        <w:top w:val="none" w:sz="0" w:space="0" w:color="auto"/>
        <w:left w:val="none" w:sz="0" w:space="0" w:color="auto"/>
        <w:bottom w:val="none" w:sz="0" w:space="0" w:color="auto"/>
        <w:right w:val="none" w:sz="0" w:space="0" w:color="auto"/>
      </w:divBdr>
    </w:div>
    <w:div w:id="1863469507">
      <w:bodyDiv w:val="1"/>
      <w:marLeft w:val="0"/>
      <w:marRight w:val="0"/>
      <w:marTop w:val="0"/>
      <w:marBottom w:val="0"/>
      <w:divBdr>
        <w:top w:val="none" w:sz="0" w:space="0" w:color="auto"/>
        <w:left w:val="none" w:sz="0" w:space="0" w:color="auto"/>
        <w:bottom w:val="none" w:sz="0" w:space="0" w:color="auto"/>
        <w:right w:val="none" w:sz="0" w:space="0" w:color="auto"/>
      </w:divBdr>
    </w:div>
    <w:div w:id="1867133077">
      <w:bodyDiv w:val="1"/>
      <w:marLeft w:val="0"/>
      <w:marRight w:val="0"/>
      <w:marTop w:val="0"/>
      <w:marBottom w:val="0"/>
      <w:divBdr>
        <w:top w:val="none" w:sz="0" w:space="0" w:color="auto"/>
        <w:left w:val="none" w:sz="0" w:space="0" w:color="auto"/>
        <w:bottom w:val="none" w:sz="0" w:space="0" w:color="auto"/>
        <w:right w:val="none" w:sz="0" w:space="0" w:color="auto"/>
      </w:divBdr>
    </w:div>
    <w:div w:id="1878856000">
      <w:bodyDiv w:val="1"/>
      <w:marLeft w:val="0"/>
      <w:marRight w:val="0"/>
      <w:marTop w:val="0"/>
      <w:marBottom w:val="0"/>
      <w:divBdr>
        <w:top w:val="none" w:sz="0" w:space="0" w:color="auto"/>
        <w:left w:val="none" w:sz="0" w:space="0" w:color="auto"/>
        <w:bottom w:val="none" w:sz="0" w:space="0" w:color="auto"/>
        <w:right w:val="none" w:sz="0" w:space="0" w:color="auto"/>
      </w:divBdr>
    </w:div>
    <w:div w:id="1880778489">
      <w:bodyDiv w:val="1"/>
      <w:marLeft w:val="0"/>
      <w:marRight w:val="0"/>
      <w:marTop w:val="0"/>
      <w:marBottom w:val="0"/>
      <w:divBdr>
        <w:top w:val="none" w:sz="0" w:space="0" w:color="auto"/>
        <w:left w:val="none" w:sz="0" w:space="0" w:color="auto"/>
        <w:bottom w:val="none" w:sz="0" w:space="0" w:color="auto"/>
        <w:right w:val="none" w:sz="0" w:space="0" w:color="auto"/>
      </w:divBdr>
    </w:div>
    <w:div w:id="1889411985">
      <w:bodyDiv w:val="1"/>
      <w:marLeft w:val="0"/>
      <w:marRight w:val="0"/>
      <w:marTop w:val="0"/>
      <w:marBottom w:val="0"/>
      <w:divBdr>
        <w:top w:val="none" w:sz="0" w:space="0" w:color="auto"/>
        <w:left w:val="none" w:sz="0" w:space="0" w:color="auto"/>
        <w:bottom w:val="none" w:sz="0" w:space="0" w:color="auto"/>
        <w:right w:val="none" w:sz="0" w:space="0" w:color="auto"/>
      </w:divBdr>
    </w:div>
    <w:div w:id="1907181582">
      <w:bodyDiv w:val="1"/>
      <w:marLeft w:val="0"/>
      <w:marRight w:val="0"/>
      <w:marTop w:val="0"/>
      <w:marBottom w:val="0"/>
      <w:divBdr>
        <w:top w:val="none" w:sz="0" w:space="0" w:color="auto"/>
        <w:left w:val="none" w:sz="0" w:space="0" w:color="auto"/>
        <w:bottom w:val="none" w:sz="0" w:space="0" w:color="auto"/>
        <w:right w:val="none" w:sz="0" w:space="0" w:color="auto"/>
      </w:divBdr>
    </w:div>
    <w:div w:id="1920019705">
      <w:bodyDiv w:val="1"/>
      <w:marLeft w:val="0"/>
      <w:marRight w:val="0"/>
      <w:marTop w:val="0"/>
      <w:marBottom w:val="0"/>
      <w:divBdr>
        <w:top w:val="none" w:sz="0" w:space="0" w:color="auto"/>
        <w:left w:val="none" w:sz="0" w:space="0" w:color="auto"/>
        <w:bottom w:val="none" w:sz="0" w:space="0" w:color="auto"/>
        <w:right w:val="none" w:sz="0" w:space="0" w:color="auto"/>
      </w:divBdr>
    </w:div>
    <w:div w:id="1938556254">
      <w:bodyDiv w:val="1"/>
      <w:marLeft w:val="0"/>
      <w:marRight w:val="0"/>
      <w:marTop w:val="0"/>
      <w:marBottom w:val="0"/>
      <w:divBdr>
        <w:top w:val="none" w:sz="0" w:space="0" w:color="auto"/>
        <w:left w:val="none" w:sz="0" w:space="0" w:color="auto"/>
        <w:bottom w:val="none" w:sz="0" w:space="0" w:color="auto"/>
        <w:right w:val="none" w:sz="0" w:space="0" w:color="auto"/>
      </w:divBdr>
    </w:div>
    <w:div w:id="1951157363">
      <w:bodyDiv w:val="1"/>
      <w:marLeft w:val="0"/>
      <w:marRight w:val="0"/>
      <w:marTop w:val="0"/>
      <w:marBottom w:val="0"/>
      <w:divBdr>
        <w:top w:val="none" w:sz="0" w:space="0" w:color="auto"/>
        <w:left w:val="none" w:sz="0" w:space="0" w:color="auto"/>
        <w:bottom w:val="none" w:sz="0" w:space="0" w:color="auto"/>
        <w:right w:val="none" w:sz="0" w:space="0" w:color="auto"/>
      </w:divBdr>
    </w:div>
    <w:div w:id="1964998050">
      <w:bodyDiv w:val="1"/>
      <w:marLeft w:val="0"/>
      <w:marRight w:val="0"/>
      <w:marTop w:val="0"/>
      <w:marBottom w:val="0"/>
      <w:divBdr>
        <w:top w:val="none" w:sz="0" w:space="0" w:color="auto"/>
        <w:left w:val="none" w:sz="0" w:space="0" w:color="auto"/>
        <w:bottom w:val="none" w:sz="0" w:space="0" w:color="auto"/>
        <w:right w:val="none" w:sz="0" w:space="0" w:color="auto"/>
      </w:divBdr>
    </w:div>
    <w:div w:id="1965959141">
      <w:bodyDiv w:val="1"/>
      <w:marLeft w:val="0"/>
      <w:marRight w:val="0"/>
      <w:marTop w:val="0"/>
      <w:marBottom w:val="0"/>
      <w:divBdr>
        <w:top w:val="none" w:sz="0" w:space="0" w:color="auto"/>
        <w:left w:val="none" w:sz="0" w:space="0" w:color="auto"/>
        <w:bottom w:val="none" w:sz="0" w:space="0" w:color="auto"/>
        <w:right w:val="none" w:sz="0" w:space="0" w:color="auto"/>
      </w:divBdr>
    </w:div>
    <w:div w:id="1966934215">
      <w:bodyDiv w:val="1"/>
      <w:marLeft w:val="0"/>
      <w:marRight w:val="0"/>
      <w:marTop w:val="0"/>
      <w:marBottom w:val="0"/>
      <w:divBdr>
        <w:top w:val="none" w:sz="0" w:space="0" w:color="auto"/>
        <w:left w:val="none" w:sz="0" w:space="0" w:color="auto"/>
        <w:bottom w:val="none" w:sz="0" w:space="0" w:color="auto"/>
        <w:right w:val="none" w:sz="0" w:space="0" w:color="auto"/>
      </w:divBdr>
    </w:div>
    <w:div w:id="1975285026">
      <w:bodyDiv w:val="1"/>
      <w:marLeft w:val="0"/>
      <w:marRight w:val="0"/>
      <w:marTop w:val="0"/>
      <w:marBottom w:val="0"/>
      <w:divBdr>
        <w:top w:val="none" w:sz="0" w:space="0" w:color="auto"/>
        <w:left w:val="none" w:sz="0" w:space="0" w:color="auto"/>
        <w:bottom w:val="none" w:sz="0" w:space="0" w:color="auto"/>
        <w:right w:val="none" w:sz="0" w:space="0" w:color="auto"/>
      </w:divBdr>
    </w:div>
    <w:div w:id="1980452880">
      <w:bodyDiv w:val="1"/>
      <w:marLeft w:val="0"/>
      <w:marRight w:val="0"/>
      <w:marTop w:val="0"/>
      <w:marBottom w:val="0"/>
      <w:divBdr>
        <w:top w:val="none" w:sz="0" w:space="0" w:color="auto"/>
        <w:left w:val="none" w:sz="0" w:space="0" w:color="auto"/>
        <w:bottom w:val="none" w:sz="0" w:space="0" w:color="auto"/>
        <w:right w:val="none" w:sz="0" w:space="0" w:color="auto"/>
      </w:divBdr>
    </w:div>
    <w:div w:id="1989630758">
      <w:bodyDiv w:val="1"/>
      <w:marLeft w:val="0"/>
      <w:marRight w:val="0"/>
      <w:marTop w:val="0"/>
      <w:marBottom w:val="0"/>
      <w:divBdr>
        <w:top w:val="none" w:sz="0" w:space="0" w:color="auto"/>
        <w:left w:val="none" w:sz="0" w:space="0" w:color="auto"/>
        <w:bottom w:val="none" w:sz="0" w:space="0" w:color="auto"/>
        <w:right w:val="none" w:sz="0" w:space="0" w:color="auto"/>
      </w:divBdr>
    </w:div>
    <w:div w:id="1994599679">
      <w:bodyDiv w:val="1"/>
      <w:marLeft w:val="0"/>
      <w:marRight w:val="0"/>
      <w:marTop w:val="0"/>
      <w:marBottom w:val="0"/>
      <w:divBdr>
        <w:top w:val="none" w:sz="0" w:space="0" w:color="auto"/>
        <w:left w:val="none" w:sz="0" w:space="0" w:color="auto"/>
        <w:bottom w:val="none" w:sz="0" w:space="0" w:color="auto"/>
        <w:right w:val="none" w:sz="0" w:space="0" w:color="auto"/>
      </w:divBdr>
    </w:div>
    <w:div w:id="1997218832">
      <w:bodyDiv w:val="1"/>
      <w:marLeft w:val="0"/>
      <w:marRight w:val="0"/>
      <w:marTop w:val="0"/>
      <w:marBottom w:val="0"/>
      <w:divBdr>
        <w:top w:val="none" w:sz="0" w:space="0" w:color="auto"/>
        <w:left w:val="none" w:sz="0" w:space="0" w:color="auto"/>
        <w:bottom w:val="none" w:sz="0" w:space="0" w:color="auto"/>
        <w:right w:val="none" w:sz="0" w:space="0" w:color="auto"/>
      </w:divBdr>
    </w:div>
    <w:div w:id="2001763741">
      <w:bodyDiv w:val="1"/>
      <w:marLeft w:val="0"/>
      <w:marRight w:val="0"/>
      <w:marTop w:val="0"/>
      <w:marBottom w:val="0"/>
      <w:divBdr>
        <w:top w:val="none" w:sz="0" w:space="0" w:color="auto"/>
        <w:left w:val="none" w:sz="0" w:space="0" w:color="auto"/>
        <w:bottom w:val="none" w:sz="0" w:space="0" w:color="auto"/>
        <w:right w:val="none" w:sz="0" w:space="0" w:color="auto"/>
      </w:divBdr>
    </w:div>
    <w:div w:id="2015573007">
      <w:bodyDiv w:val="1"/>
      <w:marLeft w:val="0"/>
      <w:marRight w:val="0"/>
      <w:marTop w:val="0"/>
      <w:marBottom w:val="0"/>
      <w:divBdr>
        <w:top w:val="none" w:sz="0" w:space="0" w:color="auto"/>
        <w:left w:val="none" w:sz="0" w:space="0" w:color="auto"/>
        <w:bottom w:val="none" w:sz="0" w:space="0" w:color="auto"/>
        <w:right w:val="none" w:sz="0" w:space="0" w:color="auto"/>
      </w:divBdr>
    </w:div>
    <w:div w:id="2016805620">
      <w:bodyDiv w:val="1"/>
      <w:marLeft w:val="0"/>
      <w:marRight w:val="0"/>
      <w:marTop w:val="0"/>
      <w:marBottom w:val="0"/>
      <w:divBdr>
        <w:top w:val="none" w:sz="0" w:space="0" w:color="auto"/>
        <w:left w:val="none" w:sz="0" w:space="0" w:color="auto"/>
        <w:bottom w:val="none" w:sz="0" w:space="0" w:color="auto"/>
        <w:right w:val="none" w:sz="0" w:space="0" w:color="auto"/>
      </w:divBdr>
    </w:div>
    <w:div w:id="2017728063">
      <w:bodyDiv w:val="1"/>
      <w:marLeft w:val="0"/>
      <w:marRight w:val="0"/>
      <w:marTop w:val="0"/>
      <w:marBottom w:val="0"/>
      <w:divBdr>
        <w:top w:val="none" w:sz="0" w:space="0" w:color="auto"/>
        <w:left w:val="none" w:sz="0" w:space="0" w:color="auto"/>
        <w:bottom w:val="none" w:sz="0" w:space="0" w:color="auto"/>
        <w:right w:val="none" w:sz="0" w:space="0" w:color="auto"/>
      </w:divBdr>
    </w:div>
    <w:div w:id="2020348177">
      <w:bodyDiv w:val="1"/>
      <w:marLeft w:val="0"/>
      <w:marRight w:val="0"/>
      <w:marTop w:val="0"/>
      <w:marBottom w:val="0"/>
      <w:divBdr>
        <w:top w:val="none" w:sz="0" w:space="0" w:color="auto"/>
        <w:left w:val="none" w:sz="0" w:space="0" w:color="auto"/>
        <w:bottom w:val="none" w:sz="0" w:space="0" w:color="auto"/>
        <w:right w:val="none" w:sz="0" w:space="0" w:color="auto"/>
      </w:divBdr>
    </w:div>
    <w:div w:id="2056346914">
      <w:bodyDiv w:val="1"/>
      <w:marLeft w:val="0"/>
      <w:marRight w:val="0"/>
      <w:marTop w:val="0"/>
      <w:marBottom w:val="0"/>
      <w:divBdr>
        <w:top w:val="none" w:sz="0" w:space="0" w:color="auto"/>
        <w:left w:val="none" w:sz="0" w:space="0" w:color="auto"/>
        <w:bottom w:val="none" w:sz="0" w:space="0" w:color="auto"/>
        <w:right w:val="none" w:sz="0" w:space="0" w:color="auto"/>
      </w:divBdr>
    </w:div>
    <w:div w:id="2057268282">
      <w:bodyDiv w:val="1"/>
      <w:marLeft w:val="0"/>
      <w:marRight w:val="0"/>
      <w:marTop w:val="0"/>
      <w:marBottom w:val="0"/>
      <w:divBdr>
        <w:top w:val="none" w:sz="0" w:space="0" w:color="auto"/>
        <w:left w:val="none" w:sz="0" w:space="0" w:color="auto"/>
        <w:bottom w:val="none" w:sz="0" w:space="0" w:color="auto"/>
        <w:right w:val="none" w:sz="0" w:space="0" w:color="auto"/>
      </w:divBdr>
    </w:div>
    <w:div w:id="2057311773">
      <w:bodyDiv w:val="1"/>
      <w:marLeft w:val="0"/>
      <w:marRight w:val="0"/>
      <w:marTop w:val="0"/>
      <w:marBottom w:val="0"/>
      <w:divBdr>
        <w:top w:val="none" w:sz="0" w:space="0" w:color="auto"/>
        <w:left w:val="none" w:sz="0" w:space="0" w:color="auto"/>
        <w:bottom w:val="none" w:sz="0" w:space="0" w:color="auto"/>
        <w:right w:val="none" w:sz="0" w:space="0" w:color="auto"/>
      </w:divBdr>
    </w:div>
    <w:div w:id="2066487372">
      <w:bodyDiv w:val="1"/>
      <w:marLeft w:val="0"/>
      <w:marRight w:val="0"/>
      <w:marTop w:val="0"/>
      <w:marBottom w:val="0"/>
      <w:divBdr>
        <w:top w:val="none" w:sz="0" w:space="0" w:color="auto"/>
        <w:left w:val="none" w:sz="0" w:space="0" w:color="auto"/>
        <w:bottom w:val="none" w:sz="0" w:space="0" w:color="auto"/>
        <w:right w:val="none" w:sz="0" w:space="0" w:color="auto"/>
      </w:divBdr>
    </w:div>
    <w:div w:id="2066563720">
      <w:bodyDiv w:val="1"/>
      <w:marLeft w:val="0"/>
      <w:marRight w:val="0"/>
      <w:marTop w:val="0"/>
      <w:marBottom w:val="0"/>
      <w:divBdr>
        <w:top w:val="none" w:sz="0" w:space="0" w:color="auto"/>
        <w:left w:val="none" w:sz="0" w:space="0" w:color="auto"/>
        <w:bottom w:val="none" w:sz="0" w:space="0" w:color="auto"/>
        <w:right w:val="none" w:sz="0" w:space="0" w:color="auto"/>
      </w:divBdr>
    </w:div>
    <w:div w:id="2073850770">
      <w:bodyDiv w:val="1"/>
      <w:marLeft w:val="0"/>
      <w:marRight w:val="0"/>
      <w:marTop w:val="0"/>
      <w:marBottom w:val="0"/>
      <w:divBdr>
        <w:top w:val="none" w:sz="0" w:space="0" w:color="auto"/>
        <w:left w:val="none" w:sz="0" w:space="0" w:color="auto"/>
        <w:bottom w:val="none" w:sz="0" w:space="0" w:color="auto"/>
        <w:right w:val="none" w:sz="0" w:space="0" w:color="auto"/>
      </w:divBdr>
    </w:div>
    <w:div w:id="2081099617">
      <w:bodyDiv w:val="1"/>
      <w:marLeft w:val="0"/>
      <w:marRight w:val="0"/>
      <w:marTop w:val="0"/>
      <w:marBottom w:val="0"/>
      <w:divBdr>
        <w:top w:val="none" w:sz="0" w:space="0" w:color="auto"/>
        <w:left w:val="none" w:sz="0" w:space="0" w:color="auto"/>
        <w:bottom w:val="none" w:sz="0" w:space="0" w:color="auto"/>
        <w:right w:val="none" w:sz="0" w:space="0" w:color="auto"/>
      </w:divBdr>
    </w:div>
    <w:div w:id="2094352140">
      <w:bodyDiv w:val="1"/>
      <w:marLeft w:val="0"/>
      <w:marRight w:val="0"/>
      <w:marTop w:val="0"/>
      <w:marBottom w:val="0"/>
      <w:divBdr>
        <w:top w:val="none" w:sz="0" w:space="0" w:color="auto"/>
        <w:left w:val="none" w:sz="0" w:space="0" w:color="auto"/>
        <w:bottom w:val="none" w:sz="0" w:space="0" w:color="auto"/>
        <w:right w:val="none" w:sz="0" w:space="0" w:color="auto"/>
      </w:divBdr>
    </w:div>
    <w:div w:id="2096896634">
      <w:bodyDiv w:val="1"/>
      <w:marLeft w:val="0"/>
      <w:marRight w:val="0"/>
      <w:marTop w:val="0"/>
      <w:marBottom w:val="0"/>
      <w:divBdr>
        <w:top w:val="none" w:sz="0" w:space="0" w:color="auto"/>
        <w:left w:val="none" w:sz="0" w:space="0" w:color="auto"/>
        <w:bottom w:val="none" w:sz="0" w:space="0" w:color="auto"/>
        <w:right w:val="none" w:sz="0" w:space="0" w:color="auto"/>
      </w:divBdr>
    </w:div>
    <w:div w:id="2099866800">
      <w:bodyDiv w:val="1"/>
      <w:marLeft w:val="0"/>
      <w:marRight w:val="0"/>
      <w:marTop w:val="0"/>
      <w:marBottom w:val="0"/>
      <w:divBdr>
        <w:top w:val="none" w:sz="0" w:space="0" w:color="auto"/>
        <w:left w:val="none" w:sz="0" w:space="0" w:color="auto"/>
        <w:bottom w:val="none" w:sz="0" w:space="0" w:color="auto"/>
        <w:right w:val="none" w:sz="0" w:space="0" w:color="auto"/>
      </w:divBdr>
    </w:div>
    <w:div w:id="2116901313">
      <w:bodyDiv w:val="1"/>
      <w:marLeft w:val="0"/>
      <w:marRight w:val="0"/>
      <w:marTop w:val="0"/>
      <w:marBottom w:val="0"/>
      <w:divBdr>
        <w:top w:val="none" w:sz="0" w:space="0" w:color="auto"/>
        <w:left w:val="none" w:sz="0" w:space="0" w:color="auto"/>
        <w:bottom w:val="none" w:sz="0" w:space="0" w:color="auto"/>
        <w:right w:val="none" w:sz="0" w:space="0" w:color="auto"/>
      </w:divBdr>
    </w:div>
    <w:div w:id="2118477473">
      <w:bodyDiv w:val="1"/>
      <w:marLeft w:val="0"/>
      <w:marRight w:val="0"/>
      <w:marTop w:val="0"/>
      <w:marBottom w:val="0"/>
      <w:divBdr>
        <w:top w:val="none" w:sz="0" w:space="0" w:color="auto"/>
        <w:left w:val="none" w:sz="0" w:space="0" w:color="auto"/>
        <w:bottom w:val="none" w:sz="0" w:space="0" w:color="auto"/>
        <w:right w:val="none" w:sz="0" w:space="0" w:color="auto"/>
      </w:divBdr>
    </w:div>
    <w:div w:id="2119059903">
      <w:bodyDiv w:val="1"/>
      <w:marLeft w:val="0"/>
      <w:marRight w:val="0"/>
      <w:marTop w:val="0"/>
      <w:marBottom w:val="0"/>
      <w:divBdr>
        <w:top w:val="none" w:sz="0" w:space="0" w:color="auto"/>
        <w:left w:val="none" w:sz="0" w:space="0" w:color="auto"/>
        <w:bottom w:val="none" w:sz="0" w:space="0" w:color="auto"/>
        <w:right w:val="none" w:sz="0" w:space="0" w:color="auto"/>
      </w:divBdr>
    </w:div>
    <w:div w:id="212704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Documents%20and%20Settings\Ivo\My%20Documents\SkyDrive\report\Q2%2013\working\extra_data.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Documents%20and%20Settings\My%20Documents\&#1088;&#1072;&#1073;&#1086;&#1090;&#1085;&#1072;%20-%20&#1055;&#1054;&#1042;&#1045;&#1056;&#1048;&#1058;&#1045;&#1051;&#1053;&#1054;\DVI\2013\Q2\working\extra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0"/>
      <c:rotY val="20"/>
      <c:depthPercent val="100"/>
      <c:rAngAx val="0"/>
      <c:perspective val="30"/>
    </c:view3D>
    <c:floor>
      <c:thickness val="0"/>
    </c:floor>
    <c:sideWall>
      <c:thickness val="0"/>
    </c:sideWall>
    <c:backWall>
      <c:thickness val="0"/>
    </c:backWall>
    <c:plotArea>
      <c:layout>
        <c:manualLayout>
          <c:layoutTarget val="inner"/>
          <c:xMode val="edge"/>
          <c:yMode val="edge"/>
          <c:x val="7.2182852143482065E-2"/>
          <c:y val="1.8719365274764869E-2"/>
          <c:w val="0.92781714785651792"/>
          <c:h val="0.88511330626093088"/>
        </c:manualLayout>
      </c:layout>
      <c:bar3DChart>
        <c:barDir val="col"/>
        <c:grouping val="standard"/>
        <c:varyColors val="0"/>
        <c:ser>
          <c:idx val="0"/>
          <c:order val="0"/>
          <c:tx>
            <c:strRef>
              <c:f>Q2only!$E$2</c:f>
              <c:strCache>
                <c:ptCount val="1"/>
                <c:pt idx="0">
                  <c:v>Q2 2012</c:v>
                </c:pt>
              </c:strCache>
            </c:strRef>
          </c:tx>
          <c:invertIfNegative val="0"/>
          <c:dLbls>
            <c:numFmt formatCode="#,##0.00" sourceLinked="0"/>
            <c:txPr>
              <a:bodyPr/>
              <a:lstStyle/>
              <a:p>
                <a:pPr>
                  <a:defRPr sz="600">
                    <a:latin typeface="News Gothic Cyr" pitchFamily="34" charset="-52"/>
                  </a:defRPr>
                </a:pPr>
                <a:endParaRPr lang="bg-BG"/>
              </a:p>
            </c:txPr>
            <c:showLegendKey val="0"/>
            <c:showVal val="1"/>
            <c:showCatName val="0"/>
            <c:showSerName val="0"/>
            <c:showPercent val="0"/>
            <c:showBubbleSize val="0"/>
            <c:showLeaderLines val="0"/>
          </c:dLbls>
          <c:cat>
            <c:strRef>
              <c:f>Q2only!$L$6:$L$11</c:f>
              <c:strCache>
                <c:ptCount val="6"/>
                <c:pt idx="0">
                  <c:v>Акции без АДСИЦ</c:v>
                </c:pt>
                <c:pt idx="1">
                  <c:v>АДСИЦ</c:v>
                </c:pt>
                <c:pt idx="2">
                  <c:v>КИС</c:v>
                </c:pt>
                <c:pt idx="3">
                  <c:v>КИ</c:v>
                </c:pt>
                <c:pt idx="4">
                  <c:v>Облигации</c:v>
                </c:pt>
                <c:pt idx="5">
                  <c:v>Права</c:v>
                </c:pt>
              </c:strCache>
            </c:strRef>
          </c:cat>
          <c:val>
            <c:numRef>
              <c:f>Q2only!$E$6:$E$11</c:f>
              <c:numCache>
                <c:formatCode>#,##0.00\ "лв."</c:formatCode>
                <c:ptCount val="6"/>
                <c:pt idx="0">
                  <c:v>97107778.708000004</c:v>
                </c:pt>
                <c:pt idx="1">
                  <c:v>22200571.943999998</c:v>
                </c:pt>
                <c:pt idx="2">
                  <c:v>401826.51400000002</c:v>
                </c:pt>
                <c:pt idx="3">
                  <c:v>3727968.3739999998</c:v>
                </c:pt>
                <c:pt idx="4">
                  <c:v>20838568.482000001</c:v>
                </c:pt>
                <c:pt idx="5">
                  <c:v>25705.522000000001</c:v>
                </c:pt>
              </c:numCache>
            </c:numRef>
          </c:val>
        </c:ser>
        <c:ser>
          <c:idx val="1"/>
          <c:order val="1"/>
          <c:tx>
            <c:strRef>
              <c:f>Q2only!$F$2</c:f>
              <c:strCache>
                <c:ptCount val="1"/>
                <c:pt idx="0">
                  <c:v>Q2 2013</c:v>
                </c:pt>
              </c:strCache>
            </c:strRef>
          </c:tx>
          <c:invertIfNegative val="0"/>
          <c:dLbls>
            <c:dLbl>
              <c:idx val="2"/>
              <c:numFmt formatCode="#,##0.0000" sourceLinked="0"/>
              <c:spPr/>
              <c:txPr>
                <a:bodyPr/>
                <a:lstStyle/>
                <a:p>
                  <a:pPr>
                    <a:defRPr sz="600">
                      <a:latin typeface="News Gothic Cyr" pitchFamily="34" charset="-52"/>
                    </a:defRPr>
                  </a:pPr>
                  <a:endParaRPr lang="bg-BG"/>
                </a:p>
              </c:txPr>
              <c:showLegendKey val="0"/>
              <c:showVal val="1"/>
              <c:showCatName val="0"/>
              <c:showSerName val="0"/>
              <c:showPercent val="0"/>
              <c:showBubbleSize val="0"/>
            </c:dLbl>
            <c:numFmt formatCode="#,##0.00" sourceLinked="0"/>
            <c:txPr>
              <a:bodyPr/>
              <a:lstStyle/>
              <a:p>
                <a:pPr>
                  <a:defRPr sz="600">
                    <a:latin typeface="News Gothic Cyr" pitchFamily="34" charset="-52"/>
                  </a:defRPr>
                </a:pPr>
                <a:endParaRPr lang="bg-BG"/>
              </a:p>
            </c:txPr>
            <c:showLegendKey val="0"/>
            <c:showVal val="1"/>
            <c:showCatName val="0"/>
            <c:showSerName val="0"/>
            <c:showPercent val="0"/>
            <c:showBubbleSize val="0"/>
            <c:showLeaderLines val="0"/>
          </c:dLbls>
          <c:cat>
            <c:strRef>
              <c:f>Q2only!$L$6:$L$11</c:f>
              <c:strCache>
                <c:ptCount val="6"/>
                <c:pt idx="0">
                  <c:v>Акции без АДСИЦ</c:v>
                </c:pt>
                <c:pt idx="1">
                  <c:v>АДСИЦ</c:v>
                </c:pt>
                <c:pt idx="2">
                  <c:v>КИС</c:v>
                </c:pt>
                <c:pt idx="3">
                  <c:v>КИ</c:v>
                </c:pt>
                <c:pt idx="4">
                  <c:v>Облигации</c:v>
                </c:pt>
                <c:pt idx="5">
                  <c:v>Права</c:v>
                </c:pt>
              </c:strCache>
            </c:strRef>
          </c:cat>
          <c:val>
            <c:numRef>
              <c:f>Q2only!$F$6:$F$11</c:f>
              <c:numCache>
                <c:formatCode>#,##0.00\ "лв."</c:formatCode>
                <c:ptCount val="6"/>
                <c:pt idx="0">
                  <c:v>476027667.03499997</c:v>
                </c:pt>
                <c:pt idx="1">
                  <c:v>16688768.104</c:v>
                </c:pt>
                <c:pt idx="2">
                  <c:v>98</c:v>
                </c:pt>
                <c:pt idx="3">
                  <c:v>3137388.0869999998</c:v>
                </c:pt>
                <c:pt idx="4">
                  <c:v>91911626.797000006</c:v>
                </c:pt>
                <c:pt idx="5">
                  <c:v>22089.27</c:v>
                </c:pt>
              </c:numCache>
            </c:numRef>
          </c:val>
        </c:ser>
        <c:dLbls>
          <c:showLegendKey val="0"/>
          <c:showVal val="0"/>
          <c:showCatName val="0"/>
          <c:showSerName val="0"/>
          <c:showPercent val="0"/>
          <c:showBubbleSize val="0"/>
        </c:dLbls>
        <c:gapWidth val="150"/>
        <c:shape val="box"/>
        <c:axId val="156810240"/>
        <c:axId val="157844992"/>
        <c:axId val="219360768"/>
      </c:bar3DChart>
      <c:catAx>
        <c:axId val="156810240"/>
        <c:scaling>
          <c:orientation val="minMax"/>
        </c:scaling>
        <c:delete val="0"/>
        <c:axPos val="b"/>
        <c:majorTickMark val="out"/>
        <c:minorTickMark val="none"/>
        <c:tickLblPos val="nextTo"/>
        <c:txPr>
          <a:bodyPr rot="0" vert="horz"/>
          <a:lstStyle/>
          <a:p>
            <a:pPr>
              <a:defRPr sz="600">
                <a:latin typeface="News Gothic Cyr" pitchFamily="34" charset="-52"/>
              </a:defRPr>
            </a:pPr>
            <a:endParaRPr lang="bg-BG"/>
          </a:p>
        </c:txPr>
        <c:crossAx val="157844992"/>
        <c:crosses val="autoZero"/>
        <c:auto val="0"/>
        <c:lblAlgn val="ctr"/>
        <c:lblOffset val="100"/>
        <c:tickLblSkip val="1"/>
        <c:noMultiLvlLbl val="0"/>
      </c:catAx>
      <c:valAx>
        <c:axId val="157844992"/>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txPr>
          <a:bodyPr/>
          <a:lstStyle/>
          <a:p>
            <a:pPr>
              <a:defRPr sz="600">
                <a:latin typeface="News Gothic Cyr" pitchFamily="34" charset="-52"/>
              </a:defRPr>
            </a:pPr>
            <a:endParaRPr lang="bg-BG"/>
          </a:p>
        </c:txPr>
        <c:crossAx val="156810240"/>
        <c:crosses val="autoZero"/>
        <c:crossBetween val="between"/>
        <c:dispUnits>
          <c:builtInUnit val="millions"/>
          <c:dispUnitsLbl>
            <c:layout>
              <c:manualLayout>
                <c:xMode val="edge"/>
                <c:yMode val="edge"/>
                <c:x val="0.11414195977362951"/>
                <c:y val="0.21480533683289585"/>
              </c:manualLayout>
            </c:layout>
            <c:tx>
              <c:rich>
                <a:bodyPr/>
                <a:lstStyle/>
                <a:p>
                  <a:pPr>
                    <a:defRPr sz="700">
                      <a:latin typeface="News Gothic Cyr" pitchFamily="34" charset="-52"/>
                    </a:defRPr>
                  </a:pPr>
                  <a:r>
                    <a:rPr lang="bg-BG" sz="700" b="1">
                      <a:latin typeface="News Gothic Cyr" pitchFamily="34" charset="-52"/>
                    </a:rPr>
                    <a:t>милиона </a:t>
                  </a:r>
                  <a:r>
                    <a:rPr lang="en-US" sz="700" b="1">
                      <a:latin typeface="News Gothic Cyr" pitchFamily="34" charset="-52"/>
                    </a:rPr>
                    <a:t>BGN</a:t>
                  </a:r>
                  <a:endParaRPr lang="bg-BG" sz="700" b="1">
                    <a:latin typeface="News Gothic Cyr" pitchFamily="34" charset="-52"/>
                  </a:endParaRPr>
                </a:p>
              </c:rich>
            </c:tx>
          </c:dispUnitsLbl>
        </c:dispUnits>
      </c:valAx>
      <c:serAx>
        <c:axId val="219360768"/>
        <c:scaling>
          <c:orientation val="minMax"/>
        </c:scaling>
        <c:delete val="1"/>
        <c:axPos val="b"/>
        <c:majorTickMark val="out"/>
        <c:minorTickMark val="none"/>
        <c:tickLblPos val="nextTo"/>
        <c:crossAx val="157844992"/>
        <c:crosses val="autoZero"/>
      </c:serAx>
    </c:plotArea>
    <c:legend>
      <c:legendPos val="r"/>
      <c:layout>
        <c:manualLayout>
          <c:xMode val="edge"/>
          <c:yMode val="edge"/>
          <c:x val="0.53096643023832768"/>
          <c:y val="4.9651711791507437E-2"/>
          <c:w val="0.43145691163604549"/>
          <c:h val="8.6421207702531408E-2"/>
        </c:manualLayout>
      </c:layout>
      <c:overlay val="1"/>
      <c:txPr>
        <a:bodyPr/>
        <a:lstStyle/>
        <a:p>
          <a:pPr>
            <a:defRPr sz="600">
              <a:latin typeface="News Gothic Cyr" pitchFamily="34" charset="-52"/>
            </a:defRPr>
          </a:pPr>
          <a:endParaRPr lang="bg-BG"/>
        </a:p>
      </c:txPr>
    </c:legend>
    <c:plotVisOnly val="1"/>
    <c:dispBlanksAs val="gap"/>
    <c:showDLblsOverMax val="0"/>
  </c:chart>
  <c:spPr>
    <a:noFill/>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a:solidFill>
                <a:schemeClr val="accent3">
                  <a:lumMod val="50000"/>
                </a:schemeClr>
              </a:solidFill>
            </a:ln>
          </c:spPr>
          <c:marker>
            <c:symbol val="none"/>
          </c:marker>
          <c:cat>
            <c:numRef>
              <c:f>Index!$C$244:$C$364</c:f>
              <c:numCache>
                <c:formatCode>m/d/yyyy\ h:mm</c:formatCode>
                <c:ptCount val="121"/>
                <c:pt idx="0">
                  <c:v>41276.71875</c:v>
                </c:pt>
                <c:pt idx="1">
                  <c:v>41277.71875</c:v>
                </c:pt>
                <c:pt idx="2">
                  <c:v>41278.71875</c:v>
                </c:pt>
                <c:pt idx="3">
                  <c:v>41281.71875</c:v>
                </c:pt>
                <c:pt idx="4">
                  <c:v>41282.71875</c:v>
                </c:pt>
                <c:pt idx="5">
                  <c:v>41283.71875</c:v>
                </c:pt>
                <c:pt idx="6">
                  <c:v>41284.71875</c:v>
                </c:pt>
                <c:pt idx="7">
                  <c:v>41285.71875</c:v>
                </c:pt>
                <c:pt idx="8">
                  <c:v>41288.71875</c:v>
                </c:pt>
                <c:pt idx="9">
                  <c:v>41289.71875</c:v>
                </c:pt>
                <c:pt idx="10">
                  <c:v>41290.71875</c:v>
                </c:pt>
                <c:pt idx="11">
                  <c:v>41291.71875</c:v>
                </c:pt>
                <c:pt idx="12">
                  <c:v>41292.71875</c:v>
                </c:pt>
                <c:pt idx="13">
                  <c:v>41295.71875</c:v>
                </c:pt>
                <c:pt idx="14">
                  <c:v>41296.71875</c:v>
                </c:pt>
                <c:pt idx="15">
                  <c:v>41297.71875</c:v>
                </c:pt>
                <c:pt idx="16">
                  <c:v>41298.71875</c:v>
                </c:pt>
                <c:pt idx="17">
                  <c:v>41299.71875</c:v>
                </c:pt>
                <c:pt idx="18">
                  <c:v>41302.71875</c:v>
                </c:pt>
                <c:pt idx="19">
                  <c:v>41303.71875</c:v>
                </c:pt>
                <c:pt idx="20">
                  <c:v>41304.71875</c:v>
                </c:pt>
                <c:pt idx="21">
                  <c:v>41305.71875</c:v>
                </c:pt>
                <c:pt idx="22">
                  <c:v>41306.71875</c:v>
                </c:pt>
                <c:pt idx="23">
                  <c:v>41309.71875</c:v>
                </c:pt>
                <c:pt idx="24">
                  <c:v>41310.71875</c:v>
                </c:pt>
                <c:pt idx="25">
                  <c:v>41311.71875</c:v>
                </c:pt>
                <c:pt idx="26">
                  <c:v>41312.71875</c:v>
                </c:pt>
                <c:pt idx="27">
                  <c:v>41313.71875</c:v>
                </c:pt>
                <c:pt idx="28">
                  <c:v>41316.71875</c:v>
                </c:pt>
                <c:pt idx="29">
                  <c:v>41317.71875</c:v>
                </c:pt>
                <c:pt idx="30">
                  <c:v>41318.71875</c:v>
                </c:pt>
                <c:pt idx="31">
                  <c:v>41319.71875</c:v>
                </c:pt>
                <c:pt idx="32">
                  <c:v>41320.71875</c:v>
                </c:pt>
                <c:pt idx="33">
                  <c:v>41323.71875</c:v>
                </c:pt>
                <c:pt idx="34">
                  <c:v>41324.71875</c:v>
                </c:pt>
                <c:pt idx="35">
                  <c:v>41325.71875</c:v>
                </c:pt>
                <c:pt idx="36">
                  <c:v>41326.71875</c:v>
                </c:pt>
                <c:pt idx="37">
                  <c:v>41327.71875</c:v>
                </c:pt>
                <c:pt idx="38">
                  <c:v>41330.71875</c:v>
                </c:pt>
                <c:pt idx="39">
                  <c:v>41331.71875</c:v>
                </c:pt>
                <c:pt idx="40">
                  <c:v>41332.71875</c:v>
                </c:pt>
                <c:pt idx="41">
                  <c:v>41333.71875</c:v>
                </c:pt>
                <c:pt idx="42">
                  <c:v>41334.71875</c:v>
                </c:pt>
                <c:pt idx="43">
                  <c:v>41337.71875</c:v>
                </c:pt>
                <c:pt idx="44">
                  <c:v>41338.71875</c:v>
                </c:pt>
                <c:pt idx="45">
                  <c:v>41339.71875</c:v>
                </c:pt>
                <c:pt idx="46">
                  <c:v>41340.71875</c:v>
                </c:pt>
                <c:pt idx="47">
                  <c:v>41341.71875</c:v>
                </c:pt>
                <c:pt idx="48">
                  <c:v>41344.71875</c:v>
                </c:pt>
                <c:pt idx="49">
                  <c:v>41345.71875</c:v>
                </c:pt>
                <c:pt idx="50">
                  <c:v>41346.71875</c:v>
                </c:pt>
                <c:pt idx="51">
                  <c:v>41347.71875</c:v>
                </c:pt>
                <c:pt idx="52">
                  <c:v>41348.71875</c:v>
                </c:pt>
                <c:pt idx="53">
                  <c:v>41351.71875</c:v>
                </c:pt>
                <c:pt idx="54">
                  <c:v>41352.71875</c:v>
                </c:pt>
                <c:pt idx="55">
                  <c:v>41353.71875</c:v>
                </c:pt>
                <c:pt idx="56">
                  <c:v>41354.71875</c:v>
                </c:pt>
                <c:pt idx="57">
                  <c:v>41355.71875</c:v>
                </c:pt>
                <c:pt idx="58">
                  <c:v>41358.71875</c:v>
                </c:pt>
                <c:pt idx="59">
                  <c:v>41359.71875</c:v>
                </c:pt>
                <c:pt idx="60">
                  <c:v>41360.71875</c:v>
                </c:pt>
                <c:pt idx="61">
                  <c:v>41361.71875</c:v>
                </c:pt>
                <c:pt idx="62">
                  <c:v>41366.71875</c:v>
                </c:pt>
                <c:pt idx="63">
                  <c:v>41367.71875</c:v>
                </c:pt>
                <c:pt idx="64">
                  <c:v>41368.71875</c:v>
                </c:pt>
                <c:pt idx="65">
                  <c:v>41369.71875</c:v>
                </c:pt>
                <c:pt idx="66">
                  <c:v>41372.71875</c:v>
                </c:pt>
                <c:pt idx="67">
                  <c:v>41373.71875</c:v>
                </c:pt>
                <c:pt idx="68">
                  <c:v>41374.71875</c:v>
                </c:pt>
                <c:pt idx="69">
                  <c:v>41375.71875</c:v>
                </c:pt>
                <c:pt idx="70">
                  <c:v>41376.71875</c:v>
                </c:pt>
                <c:pt idx="71">
                  <c:v>41379.71875</c:v>
                </c:pt>
                <c:pt idx="72">
                  <c:v>41380.71875</c:v>
                </c:pt>
                <c:pt idx="73">
                  <c:v>41381.71875</c:v>
                </c:pt>
                <c:pt idx="74">
                  <c:v>41382.71875</c:v>
                </c:pt>
                <c:pt idx="75">
                  <c:v>41383.71875</c:v>
                </c:pt>
                <c:pt idx="76">
                  <c:v>41386.71875</c:v>
                </c:pt>
                <c:pt idx="77">
                  <c:v>41387.71875</c:v>
                </c:pt>
                <c:pt idx="78">
                  <c:v>41388.71875</c:v>
                </c:pt>
                <c:pt idx="79">
                  <c:v>41389.71875</c:v>
                </c:pt>
                <c:pt idx="80">
                  <c:v>41390.71875</c:v>
                </c:pt>
                <c:pt idx="81">
                  <c:v>41393.71875</c:v>
                </c:pt>
                <c:pt idx="82">
                  <c:v>41394.71875</c:v>
                </c:pt>
                <c:pt idx="83">
                  <c:v>41401.71875</c:v>
                </c:pt>
                <c:pt idx="84">
                  <c:v>41402.71875</c:v>
                </c:pt>
                <c:pt idx="85">
                  <c:v>41403.71875</c:v>
                </c:pt>
                <c:pt idx="86">
                  <c:v>41404.71875</c:v>
                </c:pt>
                <c:pt idx="87">
                  <c:v>41407.71875</c:v>
                </c:pt>
                <c:pt idx="88">
                  <c:v>41408.71875</c:v>
                </c:pt>
                <c:pt idx="89">
                  <c:v>41409.71875</c:v>
                </c:pt>
                <c:pt idx="90">
                  <c:v>41410.71875</c:v>
                </c:pt>
                <c:pt idx="91">
                  <c:v>41411.71875</c:v>
                </c:pt>
                <c:pt idx="92">
                  <c:v>41414.71875</c:v>
                </c:pt>
                <c:pt idx="93">
                  <c:v>41415.71875</c:v>
                </c:pt>
                <c:pt idx="94">
                  <c:v>41416.71875</c:v>
                </c:pt>
                <c:pt idx="95">
                  <c:v>41417.71875</c:v>
                </c:pt>
                <c:pt idx="96">
                  <c:v>41421.71875</c:v>
                </c:pt>
                <c:pt idx="97">
                  <c:v>41422.71875</c:v>
                </c:pt>
                <c:pt idx="98">
                  <c:v>41423.71875</c:v>
                </c:pt>
                <c:pt idx="99">
                  <c:v>41424.71875</c:v>
                </c:pt>
                <c:pt idx="100">
                  <c:v>41425.71875</c:v>
                </c:pt>
                <c:pt idx="101">
                  <c:v>41428.71875</c:v>
                </c:pt>
                <c:pt idx="102">
                  <c:v>41429.71875</c:v>
                </c:pt>
                <c:pt idx="103">
                  <c:v>41430.71875</c:v>
                </c:pt>
                <c:pt idx="104">
                  <c:v>41431.71875</c:v>
                </c:pt>
                <c:pt idx="105">
                  <c:v>41432.71875</c:v>
                </c:pt>
                <c:pt idx="106">
                  <c:v>41435.71875</c:v>
                </c:pt>
                <c:pt idx="107">
                  <c:v>41436.71875</c:v>
                </c:pt>
                <c:pt idx="108">
                  <c:v>41437.71875</c:v>
                </c:pt>
                <c:pt idx="109">
                  <c:v>41438.71875</c:v>
                </c:pt>
                <c:pt idx="110">
                  <c:v>41439.71875</c:v>
                </c:pt>
                <c:pt idx="111">
                  <c:v>41442.71875</c:v>
                </c:pt>
                <c:pt idx="112">
                  <c:v>41443.71875</c:v>
                </c:pt>
                <c:pt idx="113">
                  <c:v>41444.71875</c:v>
                </c:pt>
                <c:pt idx="114">
                  <c:v>41445.71875</c:v>
                </c:pt>
                <c:pt idx="115">
                  <c:v>41446.71875</c:v>
                </c:pt>
                <c:pt idx="116">
                  <c:v>41449.71875</c:v>
                </c:pt>
                <c:pt idx="117">
                  <c:v>41450.71875</c:v>
                </c:pt>
                <c:pt idx="118">
                  <c:v>41451.71875</c:v>
                </c:pt>
                <c:pt idx="119">
                  <c:v>41452.71875</c:v>
                </c:pt>
                <c:pt idx="120">
                  <c:v>41453.71875</c:v>
                </c:pt>
              </c:numCache>
            </c:numRef>
          </c:cat>
          <c:val>
            <c:numRef>
              <c:f>Index!$D$244:$D$364</c:f>
              <c:numCache>
                <c:formatCode>General</c:formatCode>
                <c:ptCount val="121"/>
                <c:pt idx="0">
                  <c:v>79.400000000000006</c:v>
                </c:pt>
                <c:pt idx="1">
                  <c:v>79.55</c:v>
                </c:pt>
                <c:pt idx="2">
                  <c:v>80.510000000000005</c:v>
                </c:pt>
                <c:pt idx="3">
                  <c:v>81.489999999999995</c:v>
                </c:pt>
                <c:pt idx="4">
                  <c:v>80.91</c:v>
                </c:pt>
                <c:pt idx="5">
                  <c:v>80.510000000000005</c:v>
                </c:pt>
                <c:pt idx="6">
                  <c:v>80.44</c:v>
                </c:pt>
                <c:pt idx="7">
                  <c:v>79.95</c:v>
                </c:pt>
                <c:pt idx="8">
                  <c:v>79.86</c:v>
                </c:pt>
                <c:pt idx="9">
                  <c:v>80.790000000000006</c:v>
                </c:pt>
                <c:pt idx="10">
                  <c:v>81.260000000000005</c:v>
                </c:pt>
                <c:pt idx="11">
                  <c:v>80.150000000000006</c:v>
                </c:pt>
                <c:pt idx="12">
                  <c:v>80.010000000000005</c:v>
                </c:pt>
                <c:pt idx="13">
                  <c:v>79.95</c:v>
                </c:pt>
                <c:pt idx="14">
                  <c:v>80.3</c:v>
                </c:pt>
                <c:pt idx="15">
                  <c:v>82.03</c:v>
                </c:pt>
                <c:pt idx="16">
                  <c:v>81.93</c:v>
                </c:pt>
                <c:pt idx="17">
                  <c:v>83.05</c:v>
                </c:pt>
                <c:pt idx="18">
                  <c:v>83.16</c:v>
                </c:pt>
                <c:pt idx="19">
                  <c:v>83.05</c:v>
                </c:pt>
                <c:pt idx="20">
                  <c:v>83.84</c:v>
                </c:pt>
                <c:pt idx="21">
                  <c:v>84.01</c:v>
                </c:pt>
                <c:pt idx="22">
                  <c:v>83.87</c:v>
                </c:pt>
                <c:pt idx="23">
                  <c:v>83.64</c:v>
                </c:pt>
                <c:pt idx="24">
                  <c:v>84.06</c:v>
                </c:pt>
                <c:pt idx="25">
                  <c:v>84.09</c:v>
                </c:pt>
                <c:pt idx="26">
                  <c:v>84.13</c:v>
                </c:pt>
                <c:pt idx="27">
                  <c:v>84.41</c:v>
                </c:pt>
                <c:pt idx="28">
                  <c:v>84.91</c:v>
                </c:pt>
                <c:pt idx="29">
                  <c:v>84.73</c:v>
                </c:pt>
                <c:pt idx="30">
                  <c:v>83.81</c:v>
                </c:pt>
                <c:pt idx="31">
                  <c:v>83.88</c:v>
                </c:pt>
                <c:pt idx="32">
                  <c:v>83.15</c:v>
                </c:pt>
                <c:pt idx="33">
                  <c:v>83.07</c:v>
                </c:pt>
                <c:pt idx="34">
                  <c:v>81.91</c:v>
                </c:pt>
                <c:pt idx="35">
                  <c:v>81.680000000000007</c:v>
                </c:pt>
                <c:pt idx="36">
                  <c:v>82.27</c:v>
                </c:pt>
                <c:pt idx="37">
                  <c:v>81.819999999999993</c:v>
                </c:pt>
                <c:pt idx="38">
                  <c:v>81.239999999999995</c:v>
                </c:pt>
                <c:pt idx="39">
                  <c:v>80.87</c:v>
                </c:pt>
                <c:pt idx="40">
                  <c:v>81.13</c:v>
                </c:pt>
                <c:pt idx="41">
                  <c:v>83.32</c:v>
                </c:pt>
                <c:pt idx="42">
                  <c:v>82.99</c:v>
                </c:pt>
                <c:pt idx="43">
                  <c:v>83.3</c:v>
                </c:pt>
                <c:pt idx="44">
                  <c:v>83.78</c:v>
                </c:pt>
                <c:pt idx="45">
                  <c:v>84.02</c:v>
                </c:pt>
                <c:pt idx="46">
                  <c:v>83.91</c:v>
                </c:pt>
                <c:pt idx="47">
                  <c:v>83.79</c:v>
                </c:pt>
                <c:pt idx="48">
                  <c:v>84.29</c:v>
                </c:pt>
                <c:pt idx="49">
                  <c:v>84.42</c:v>
                </c:pt>
                <c:pt idx="50">
                  <c:v>83.72</c:v>
                </c:pt>
                <c:pt idx="51">
                  <c:v>84.29</c:v>
                </c:pt>
                <c:pt idx="52">
                  <c:v>84.25</c:v>
                </c:pt>
                <c:pt idx="53">
                  <c:v>84.16</c:v>
                </c:pt>
                <c:pt idx="54">
                  <c:v>84.7</c:v>
                </c:pt>
                <c:pt idx="55">
                  <c:v>85.09</c:v>
                </c:pt>
                <c:pt idx="56">
                  <c:v>86.48</c:v>
                </c:pt>
                <c:pt idx="57">
                  <c:v>86.44</c:v>
                </c:pt>
                <c:pt idx="58">
                  <c:v>86.11</c:v>
                </c:pt>
                <c:pt idx="59">
                  <c:v>85.65</c:v>
                </c:pt>
                <c:pt idx="60">
                  <c:v>84.65</c:v>
                </c:pt>
                <c:pt idx="61">
                  <c:v>87.13</c:v>
                </c:pt>
                <c:pt idx="62">
                  <c:v>87.83</c:v>
                </c:pt>
                <c:pt idx="63">
                  <c:v>87.97</c:v>
                </c:pt>
                <c:pt idx="64">
                  <c:v>87.72</c:v>
                </c:pt>
                <c:pt idx="65">
                  <c:v>88.05</c:v>
                </c:pt>
                <c:pt idx="66">
                  <c:v>87.79</c:v>
                </c:pt>
                <c:pt idx="67">
                  <c:v>87.28</c:v>
                </c:pt>
                <c:pt idx="68">
                  <c:v>86.58</c:v>
                </c:pt>
                <c:pt idx="69">
                  <c:v>86.52</c:v>
                </c:pt>
                <c:pt idx="70">
                  <c:v>86.39</c:v>
                </c:pt>
                <c:pt idx="71">
                  <c:v>86.41</c:v>
                </c:pt>
                <c:pt idx="72">
                  <c:v>86.32</c:v>
                </c:pt>
                <c:pt idx="73">
                  <c:v>85.95</c:v>
                </c:pt>
                <c:pt idx="74">
                  <c:v>85.82</c:v>
                </c:pt>
                <c:pt idx="75">
                  <c:v>85.92</c:v>
                </c:pt>
                <c:pt idx="76">
                  <c:v>84.73</c:v>
                </c:pt>
                <c:pt idx="77">
                  <c:v>84.47</c:v>
                </c:pt>
                <c:pt idx="78">
                  <c:v>85.68</c:v>
                </c:pt>
                <c:pt idx="79">
                  <c:v>85.33</c:v>
                </c:pt>
                <c:pt idx="80">
                  <c:v>85.68</c:v>
                </c:pt>
                <c:pt idx="81">
                  <c:v>86.14</c:v>
                </c:pt>
                <c:pt idx="82">
                  <c:v>85.27</c:v>
                </c:pt>
                <c:pt idx="83">
                  <c:v>85.73</c:v>
                </c:pt>
                <c:pt idx="84">
                  <c:v>85.2</c:v>
                </c:pt>
                <c:pt idx="85">
                  <c:v>85.54</c:v>
                </c:pt>
                <c:pt idx="86">
                  <c:v>86.7</c:v>
                </c:pt>
                <c:pt idx="87">
                  <c:v>86.38</c:v>
                </c:pt>
                <c:pt idx="88">
                  <c:v>86.3</c:v>
                </c:pt>
                <c:pt idx="89">
                  <c:v>86.29</c:v>
                </c:pt>
                <c:pt idx="90">
                  <c:v>86.41</c:v>
                </c:pt>
                <c:pt idx="91">
                  <c:v>85.97</c:v>
                </c:pt>
                <c:pt idx="92">
                  <c:v>85.87</c:v>
                </c:pt>
                <c:pt idx="93">
                  <c:v>85.48</c:v>
                </c:pt>
                <c:pt idx="94">
                  <c:v>86.17</c:v>
                </c:pt>
                <c:pt idx="95">
                  <c:v>87.06</c:v>
                </c:pt>
                <c:pt idx="96">
                  <c:v>83.77</c:v>
                </c:pt>
                <c:pt idx="97">
                  <c:v>85.34</c:v>
                </c:pt>
                <c:pt idx="98">
                  <c:v>86.98</c:v>
                </c:pt>
                <c:pt idx="99">
                  <c:v>88.67</c:v>
                </c:pt>
                <c:pt idx="100">
                  <c:v>87.9</c:v>
                </c:pt>
                <c:pt idx="101">
                  <c:v>87.71</c:v>
                </c:pt>
                <c:pt idx="102">
                  <c:v>88.57</c:v>
                </c:pt>
                <c:pt idx="103">
                  <c:v>88.67</c:v>
                </c:pt>
                <c:pt idx="104">
                  <c:v>89.03</c:v>
                </c:pt>
                <c:pt idx="105">
                  <c:v>89.29</c:v>
                </c:pt>
                <c:pt idx="106">
                  <c:v>90.25</c:v>
                </c:pt>
                <c:pt idx="107">
                  <c:v>90.05</c:v>
                </c:pt>
                <c:pt idx="108">
                  <c:v>90.03</c:v>
                </c:pt>
                <c:pt idx="109">
                  <c:v>89.79</c:v>
                </c:pt>
                <c:pt idx="110">
                  <c:v>89.11</c:v>
                </c:pt>
                <c:pt idx="111">
                  <c:v>88.54</c:v>
                </c:pt>
                <c:pt idx="112">
                  <c:v>88.6</c:v>
                </c:pt>
                <c:pt idx="113">
                  <c:v>88.81</c:v>
                </c:pt>
                <c:pt idx="114">
                  <c:v>88.42</c:v>
                </c:pt>
                <c:pt idx="115">
                  <c:v>89.54</c:v>
                </c:pt>
                <c:pt idx="116">
                  <c:v>89.6</c:v>
                </c:pt>
                <c:pt idx="117">
                  <c:v>89.19</c:v>
                </c:pt>
                <c:pt idx="118">
                  <c:v>89.34</c:v>
                </c:pt>
                <c:pt idx="119">
                  <c:v>89.02</c:v>
                </c:pt>
                <c:pt idx="120">
                  <c:v>89.36</c:v>
                </c:pt>
              </c:numCache>
            </c:numRef>
          </c:val>
          <c:smooth val="0"/>
        </c:ser>
        <c:dLbls>
          <c:showLegendKey val="0"/>
          <c:showVal val="0"/>
          <c:showCatName val="0"/>
          <c:showSerName val="0"/>
          <c:showPercent val="0"/>
          <c:showBubbleSize val="0"/>
        </c:dLbls>
        <c:marker val="1"/>
        <c:smooth val="0"/>
        <c:axId val="166094336"/>
        <c:axId val="166095872"/>
      </c:lineChart>
      <c:dateAx>
        <c:axId val="166094336"/>
        <c:scaling>
          <c:orientation val="minMax"/>
        </c:scaling>
        <c:delete val="0"/>
        <c:axPos val="b"/>
        <c:numFmt formatCode="dd/mm" sourceLinked="0"/>
        <c:majorTickMark val="out"/>
        <c:minorTickMark val="none"/>
        <c:tickLblPos val="nextTo"/>
        <c:txPr>
          <a:bodyPr rot="-5400000" vert="horz"/>
          <a:lstStyle/>
          <a:p>
            <a:pPr>
              <a:defRPr sz="600">
                <a:latin typeface="News Gothic Cyr" pitchFamily="34" charset="-52"/>
              </a:defRPr>
            </a:pPr>
            <a:endParaRPr lang="bg-BG"/>
          </a:p>
        </c:txPr>
        <c:crossAx val="166095872"/>
        <c:crosses val="autoZero"/>
        <c:auto val="0"/>
        <c:lblOffset val="100"/>
        <c:baseTimeUnit val="days"/>
      </c:dateAx>
      <c:valAx>
        <c:axId val="166095872"/>
        <c:scaling>
          <c:orientation val="minMax"/>
          <c:max val="92"/>
          <c:min val="78"/>
        </c:scaling>
        <c:delete val="0"/>
        <c:axPos val="l"/>
        <c:majorGridlines/>
        <c:numFmt formatCode="General" sourceLinked="1"/>
        <c:majorTickMark val="out"/>
        <c:minorTickMark val="none"/>
        <c:tickLblPos val="nextTo"/>
        <c:txPr>
          <a:bodyPr/>
          <a:lstStyle/>
          <a:p>
            <a:pPr>
              <a:defRPr sz="600">
                <a:latin typeface="News Gothic Cyr" pitchFamily="34" charset="-52"/>
              </a:defRPr>
            </a:pPr>
            <a:endParaRPr lang="bg-BG"/>
          </a:p>
        </c:txPr>
        <c:crossAx val="166094336"/>
        <c:crosses val="autoZero"/>
        <c:crossBetween val="between"/>
      </c:valAx>
    </c:plotArea>
    <c:plotVisOnly val="1"/>
    <c:dispBlanksAs val="gap"/>
    <c:showDLblsOverMax val="0"/>
  </c:chart>
  <c:spPr>
    <a:noFill/>
    <a:ln>
      <a:noFill/>
    </a:ln>
    <a:effectLst>
      <a:outerShdw blurRad="50800" dist="38100" dir="2700000" algn="tl" rotWithShape="0">
        <a:prstClr val="black">
          <a:alpha val="40000"/>
        </a:prstClr>
      </a:outerShdw>
    </a:effectLst>
  </c:sp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035312190752384E-2"/>
          <c:y val="0.23966827063283755"/>
          <c:w val="0.894219013047999"/>
          <c:h val="0.61842592592592593"/>
        </c:manualLayout>
      </c:layout>
      <c:barChart>
        <c:barDir val="col"/>
        <c:grouping val="clustered"/>
        <c:varyColors val="0"/>
        <c:ser>
          <c:idx val="0"/>
          <c:order val="0"/>
          <c:tx>
            <c:strRef>
              <c:f>'BSO daily'!$C$1</c:f>
              <c:strCache>
                <c:ptCount val="1"/>
                <c:pt idx="0">
                  <c:v>Обем H1 2012 </c:v>
                </c:pt>
              </c:strCache>
            </c:strRef>
          </c:tx>
          <c:spPr>
            <a:solidFill>
              <a:srgbClr val="FF0000"/>
            </a:solidFill>
          </c:spPr>
          <c:invertIfNegative val="0"/>
          <c:cat>
            <c:numRef>
              <c:f>'BSO daily'!$B$2:$B$181</c:f>
              <c:numCache>
                <c:formatCode>m/d/yyyy\ h:mm</c:formatCode>
                <c:ptCount val="180"/>
                <c:pt idx="0">
                  <c:v>40910</c:v>
                </c:pt>
                <c:pt idx="1">
                  <c:v>40911</c:v>
                </c:pt>
                <c:pt idx="2">
                  <c:v>40912</c:v>
                </c:pt>
                <c:pt idx="3">
                  <c:v>40913</c:v>
                </c:pt>
                <c:pt idx="4">
                  <c:v>40914</c:v>
                </c:pt>
                <c:pt idx="5">
                  <c:v>40915</c:v>
                </c:pt>
                <c:pt idx="6">
                  <c:v>40916</c:v>
                </c:pt>
                <c:pt idx="7">
                  <c:v>40917</c:v>
                </c:pt>
                <c:pt idx="8">
                  <c:v>40918</c:v>
                </c:pt>
                <c:pt idx="9">
                  <c:v>40919</c:v>
                </c:pt>
                <c:pt idx="10">
                  <c:v>40920</c:v>
                </c:pt>
                <c:pt idx="11">
                  <c:v>40921</c:v>
                </c:pt>
                <c:pt idx="12">
                  <c:v>40922</c:v>
                </c:pt>
                <c:pt idx="13">
                  <c:v>40923</c:v>
                </c:pt>
                <c:pt idx="14">
                  <c:v>40924</c:v>
                </c:pt>
                <c:pt idx="15">
                  <c:v>40925</c:v>
                </c:pt>
                <c:pt idx="16">
                  <c:v>40926</c:v>
                </c:pt>
                <c:pt idx="17">
                  <c:v>40927</c:v>
                </c:pt>
                <c:pt idx="18">
                  <c:v>40928</c:v>
                </c:pt>
                <c:pt idx="19">
                  <c:v>40929</c:v>
                </c:pt>
                <c:pt idx="20">
                  <c:v>40930</c:v>
                </c:pt>
                <c:pt idx="21">
                  <c:v>40931</c:v>
                </c:pt>
                <c:pt idx="22">
                  <c:v>40932</c:v>
                </c:pt>
                <c:pt idx="23">
                  <c:v>40933</c:v>
                </c:pt>
                <c:pt idx="24">
                  <c:v>40934</c:v>
                </c:pt>
                <c:pt idx="25">
                  <c:v>40935</c:v>
                </c:pt>
                <c:pt idx="26">
                  <c:v>40936</c:v>
                </c:pt>
                <c:pt idx="27">
                  <c:v>40937</c:v>
                </c:pt>
                <c:pt idx="28">
                  <c:v>40938</c:v>
                </c:pt>
                <c:pt idx="29">
                  <c:v>40939</c:v>
                </c:pt>
                <c:pt idx="30">
                  <c:v>40940</c:v>
                </c:pt>
                <c:pt idx="31">
                  <c:v>40941</c:v>
                </c:pt>
                <c:pt idx="32">
                  <c:v>40942</c:v>
                </c:pt>
                <c:pt idx="33">
                  <c:v>40943</c:v>
                </c:pt>
                <c:pt idx="34">
                  <c:v>40944</c:v>
                </c:pt>
                <c:pt idx="35">
                  <c:v>40945</c:v>
                </c:pt>
                <c:pt idx="36">
                  <c:v>40946</c:v>
                </c:pt>
                <c:pt idx="37">
                  <c:v>40947</c:v>
                </c:pt>
                <c:pt idx="38">
                  <c:v>40948</c:v>
                </c:pt>
                <c:pt idx="39">
                  <c:v>40949</c:v>
                </c:pt>
                <c:pt idx="40">
                  <c:v>40950</c:v>
                </c:pt>
                <c:pt idx="41">
                  <c:v>40951</c:v>
                </c:pt>
                <c:pt idx="42">
                  <c:v>40952</c:v>
                </c:pt>
                <c:pt idx="43">
                  <c:v>40953</c:v>
                </c:pt>
                <c:pt idx="44">
                  <c:v>40954</c:v>
                </c:pt>
                <c:pt idx="45">
                  <c:v>40955</c:v>
                </c:pt>
                <c:pt idx="46">
                  <c:v>40956</c:v>
                </c:pt>
                <c:pt idx="47">
                  <c:v>40957</c:v>
                </c:pt>
                <c:pt idx="48">
                  <c:v>40958</c:v>
                </c:pt>
                <c:pt idx="49">
                  <c:v>40959</c:v>
                </c:pt>
                <c:pt idx="50">
                  <c:v>40960</c:v>
                </c:pt>
                <c:pt idx="51">
                  <c:v>40961</c:v>
                </c:pt>
                <c:pt idx="52">
                  <c:v>40962</c:v>
                </c:pt>
                <c:pt idx="53">
                  <c:v>40963</c:v>
                </c:pt>
                <c:pt idx="54">
                  <c:v>40964</c:v>
                </c:pt>
                <c:pt idx="55">
                  <c:v>40965</c:v>
                </c:pt>
                <c:pt idx="56">
                  <c:v>40966</c:v>
                </c:pt>
                <c:pt idx="57">
                  <c:v>40967</c:v>
                </c:pt>
                <c:pt idx="58">
                  <c:v>40968</c:v>
                </c:pt>
                <c:pt idx="59">
                  <c:v>40969</c:v>
                </c:pt>
                <c:pt idx="60">
                  <c:v>40970</c:v>
                </c:pt>
                <c:pt idx="61">
                  <c:v>40971</c:v>
                </c:pt>
                <c:pt idx="62">
                  <c:v>40972</c:v>
                </c:pt>
                <c:pt idx="63">
                  <c:v>40973</c:v>
                </c:pt>
                <c:pt idx="64">
                  <c:v>40974</c:v>
                </c:pt>
                <c:pt idx="65">
                  <c:v>40975</c:v>
                </c:pt>
                <c:pt idx="66">
                  <c:v>40976</c:v>
                </c:pt>
                <c:pt idx="67">
                  <c:v>40977</c:v>
                </c:pt>
                <c:pt idx="68">
                  <c:v>40978</c:v>
                </c:pt>
                <c:pt idx="69">
                  <c:v>40979</c:v>
                </c:pt>
                <c:pt idx="70">
                  <c:v>40980</c:v>
                </c:pt>
                <c:pt idx="71">
                  <c:v>40981</c:v>
                </c:pt>
                <c:pt idx="72">
                  <c:v>40982</c:v>
                </c:pt>
                <c:pt idx="73">
                  <c:v>40983</c:v>
                </c:pt>
                <c:pt idx="74">
                  <c:v>40984</c:v>
                </c:pt>
                <c:pt idx="75">
                  <c:v>40985</c:v>
                </c:pt>
                <c:pt idx="76">
                  <c:v>40986</c:v>
                </c:pt>
                <c:pt idx="77">
                  <c:v>40987</c:v>
                </c:pt>
                <c:pt idx="78">
                  <c:v>40988</c:v>
                </c:pt>
                <c:pt idx="79">
                  <c:v>40989</c:v>
                </c:pt>
                <c:pt idx="80">
                  <c:v>40990</c:v>
                </c:pt>
                <c:pt idx="81">
                  <c:v>40991</c:v>
                </c:pt>
                <c:pt idx="82">
                  <c:v>40992</c:v>
                </c:pt>
                <c:pt idx="83">
                  <c:v>40993</c:v>
                </c:pt>
                <c:pt idx="84">
                  <c:v>40994</c:v>
                </c:pt>
                <c:pt idx="85">
                  <c:v>40995</c:v>
                </c:pt>
                <c:pt idx="86">
                  <c:v>40996</c:v>
                </c:pt>
                <c:pt idx="87">
                  <c:v>40997</c:v>
                </c:pt>
                <c:pt idx="88">
                  <c:v>40998</c:v>
                </c:pt>
                <c:pt idx="89">
                  <c:v>40999</c:v>
                </c:pt>
                <c:pt idx="90">
                  <c:v>41000</c:v>
                </c:pt>
                <c:pt idx="91">
                  <c:v>41001</c:v>
                </c:pt>
                <c:pt idx="92">
                  <c:v>41002</c:v>
                </c:pt>
                <c:pt idx="93">
                  <c:v>41003</c:v>
                </c:pt>
                <c:pt idx="94">
                  <c:v>41004</c:v>
                </c:pt>
                <c:pt idx="95">
                  <c:v>41005</c:v>
                </c:pt>
                <c:pt idx="96">
                  <c:v>41006</c:v>
                </c:pt>
                <c:pt idx="97">
                  <c:v>41007</c:v>
                </c:pt>
                <c:pt idx="98">
                  <c:v>41008</c:v>
                </c:pt>
                <c:pt idx="99">
                  <c:v>41009</c:v>
                </c:pt>
                <c:pt idx="100">
                  <c:v>41010</c:v>
                </c:pt>
                <c:pt idx="101">
                  <c:v>41011</c:v>
                </c:pt>
                <c:pt idx="102">
                  <c:v>41012</c:v>
                </c:pt>
                <c:pt idx="103">
                  <c:v>41013</c:v>
                </c:pt>
                <c:pt idx="104">
                  <c:v>41014</c:v>
                </c:pt>
                <c:pt idx="105">
                  <c:v>41015</c:v>
                </c:pt>
                <c:pt idx="106">
                  <c:v>41016</c:v>
                </c:pt>
                <c:pt idx="107">
                  <c:v>41017</c:v>
                </c:pt>
                <c:pt idx="108">
                  <c:v>41018</c:v>
                </c:pt>
                <c:pt idx="109">
                  <c:v>41019</c:v>
                </c:pt>
                <c:pt idx="110">
                  <c:v>41020</c:v>
                </c:pt>
                <c:pt idx="111">
                  <c:v>41021</c:v>
                </c:pt>
                <c:pt idx="112">
                  <c:v>41022</c:v>
                </c:pt>
                <c:pt idx="113">
                  <c:v>41023</c:v>
                </c:pt>
                <c:pt idx="114">
                  <c:v>41024</c:v>
                </c:pt>
                <c:pt idx="115">
                  <c:v>41025</c:v>
                </c:pt>
                <c:pt idx="116">
                  <c:v>41026</c:v>
                </c:pt>
                <c:pt idx="117">
                  <c:v>41027</c:v>
                </c:pt>
                <c:pt idx="118">
                  <c:v>41028</c:v>
                </c:pt>
                <c:pt idx="119">
                  <c:v>41029</c:v>
                </c:pt>
                <c:pt idx="120">
                  <c:v>41030</c:v>
                </c:pt>
                <c:pt idx="121">
                  <c:v>41031</c:v>
                </c:pt>
                <c:pt idx="122">
                  <c:v>41032</c:v>
                </c:pt>
                <c:pt idx="123">
                  <c:v>41033</c:v>
                </c:pt>
                <c:pt idx="124">
                  <c:v>41034</c:v>
                </c:pt>
                <c:pt idx="125">
                  <c:v>41035</c:v>
                </c:pt>
                <c:pt idx="126">
                  <c:v>41036</c:v>
                </c:pt>
                <c:pt idx="127">
                  <c:v>41037</c:v>
                </c:pt>
                <c:pt idx="128">
                  <c:v>41038</c:v>
                </c:pt>
                <c:pt idx="129">
                  <c:v>41039</c:v>
                </c:pt>
                <c:pt idx="130">
                  <c:v>41040</c:v>
                </c:pt>
                <c:pt idx="131">
                  <c:v>41041</c:v>
                </c:pt>
                <c:pt idx="132">
                  <c:v>41042</c:v>
                </c:pt>
                <c:pt idx="133">
                  <c:v>41043</c:v>
                </c:pt>
                <c:pt idx="134">
                  <c:v>41044</c:v>
                </c:pt>
                <c:pt idx="135">
                  <c:v>41045</c:v>
                </c:pt>
                <c:pt idx="136">
                  <c:v>41046</c:v>
                </c:pt>
                <c:pt idx="137">
                  <c:v>41047</c:v>
                </c:pt>
                <c:pt idx="138">
                  <c:v>41048</c:v>
                </c:pt>
                <c:pt idx="139">
                  <c:v>41049</c:v>
                </c:pt>
                <c:pt idx="140">
                  <c:v>41050</c:v>
                </c:pt>
                <c:pt idx="141">
                  <c:v>41051</c:v>
                </c:pt>
                <c:pt idx="142">
                  <c:v>41052</c:v>
                </c:pt>
                <c:pt idx="143">
                  <c:v>41053</c:v>
                </c:pt>
                <c:pt idx="144">
                  <c:v>41054</c:v>
                </c:pt>
                <c:pt idx="145">
                  <c:v>41055</c:v>
                </c:pt>
                <c:pt idx="146">
                  <c:v>41056</c:v>
                </c:pt>
                <c:pt idx="147">
                  <c:v>41057</c:v>
                </c:pt>
                <c:pt idx="148">
                  <c:v>41058</c:v>
                </c:pt>
                <c:pt idx="149">
                  <c:v>41059</c:v>
                </c:pt>
                <c:pt idx="150">
                  <c:v>41060</c:v>
                </c:pt>
                <c:pt idx="151">
                  <c:v>41061</c:v>
                </c:pt>
                <c:pt idx="152">
                  <c:v>41062</c:v>
                </c:pt>
                <c:pt idx="153">
                  <c:v>41063</c:v>
                </c:pt>
                <c:pt idx="154">
                  <c:v>41064</c:v>
                </c:pt>
                <c:pt idx="155">
                  <c:v>41065</c:v>
                </c:pt>
                <c:pt idx="156">
                  <c:v>41066</c:v>
                </c:pt>
                <c:pt idx="157">
                  <c:v>41067</c:v>
                </c:pt>
                <c:pt idx="158">
                  <c:v>41068</c:v>
                </c:pt>
                <c:pt idx="159">
                  <c:v>41069</c:v>
                </c:pt>
                <c:pt idx="160">
                  <c:v>41070</c:v>
                </c:pt>
                <c:pt idx="161">
                  <c:v>41071</c:v>
                </c:pt>
                <c:pt idx="162">
                  <c:v>41072</c:v>
                </c:pt>
                <c:pt idx="163">
                  <c:v>41073</c:v>
                </c:pt>
                <c:pt idx="164">
                  <c:v>41074</c:v>
                </c:pt>
                <c:pt idx="165">
                  <c:v>41075</c:v>
                </c:pt>
                <c:pt idx="166">
                  <c:v>41076</c:v>
                </c:pt>
                <c:pt idx="167">
                  <c:v>41077</c:v>
                </c:pt>
                <c:pt idx="168">
                  <c:v>41078</c:v>
                </c:pt>
                <c:pt idx="169">
                  <c:v>41079</c:v>
                </c:pt>
                <c:pt idx="170">
                  <c:v>41080</c:v>
                </c:pt>
                <c:pt idx="171">
                  <c:v>41081</c:v>
                </c:pt>
                <c:pt idx="172">
                  <c:v>41082</c:v>
                </c:pt>
                <c:pt idx="173">
                  <c:v>41083</c:v>
                </c:pt>
                <c:pt idx="174">
                  <c:v>41084</c:v>
                </c:pt>
                <c:pt idx="175">
                  <c:v>41085</c:v>
                </c:pt>
                <c:pt idx="176">
                  <c:v>41086</c:v>
                </c:pt>
                <c:pt idx="177">
                  <c:v>41087</c:v>
                </c:pt>
                <c:pt idx="178">
                  <c:v>41088</c:v>
                </c:pt>
                <c:pt idx="179">
                  <c:v>41089</c:v>
                </c:pt>
              </c:numCache>
            </c:numRef>
          </c:cat>
          <c:val>
            <c:numRef>
              <c:f>'BSO daily'!$C$2:$C$181</c:f>
              <c:numCache>
                <c:formatCode>#,##0</c:formatCode>
                <c:ptCount val="180"/>
                <c:pt idx="0">
                  <c:v>0</c:v>
                </c:pt>
                <c:pt idx="1">
                  <c:v>0</c:v>
                </c:pt>
                <c:pt idx="2">
                  <c:v>0</c:v>
                </c:pt>
                <c:pt idx="3">
                  <c:v>0</c:v>
                </c:pt>
                <c:pt idx="4">
                  <c:v>0</c:v>
                </c:pt>
                <c:pt idx="5">
                  <c:v>0</c:v>
                </c:pt>
                <c:pt idx="6">
                  <c:v>0</c:v>
                </c:pt>
                <c:pt idx="7">
                  <c:v>1500</c:v>
                </c:pt>
                <c:pt idx="8">
                  <c:v>0</c:v>
                </c:pt>
                <c:pt idx="9">
                  <c:v>2400</c:v>
                </c:pt>
                <c:pt idx="10">
                  <c:v>470</c:v>
                </c:pt>
                <c:pt idx="11">
                  <c:v>0</c:v>
                </c:pt>
                <c:pt idx="12">
                  <c:v>0</c:v>
                </c:pt>
                <c:pt idx="13">
                  <c:v>0</c:v>
                </c:pt>
                <c:pt idx="14">
                  <c:v>0</c:v>
                </c:pt>
                <c:pt idx="15">
                  <c:v>0</c:v>
                </c:pt>
                <c:pt idx="16">
                  <c:v>70</c:v>
                </c:pt>
                <c:pt idx="17">
                  <c:v>0</c:v>
                </c:pt>
                <c:pt idx="18">
                  <c:v>3754</c:v>
                </c:pt>
                <c:pt idx="19">
                  <c:v>0</c:v>
                </c:pt>
                <c:pt idx="20">
                  <c:v>0</c:v>
                </c:pt>
                <c:pt idx="21">
                  <c:v>0</c:v>
                </c:pt>
                <c:pt idx="22">
                  <c:v>1000</c:v>
                </c:pt>
                <c:pt idx="23">
                  <c:v>2530</c:v>
                </c:pt>
                <c:pt idx="24">
                  <c:v>110</c:v>
                </c:pt>
                <c:pt idx="25">
                  <c:v>100</c:v>
                </c:pt>
                <c:pt idx="26">
                  <c:v>0</c:v>
                </c:pt>
                <c:pt idx="27">
                  <c:v>0</c:v>
                </c:pt>
                <c:pt idx="28">
                  <c:v>1700</c:v>
                </c:pt>
                <c:pt idx="29">
                  <c:v>440</c:v>
                </c:pt>
                <c:pt idx="30">
                  <c:v>137</c:v>
                </c:pt>
                <c:pt idx="31">
                  <c:v>0</c:v>
                </c:pt>
                <c:pt idx="32">
                  <c:v>0</c:v>
                </c:pt>
                <c:pt idx="33">
                  <c:v>0</c:v>
                </c:pt>
                <c:pt idx="34">
                  <c:v>0</c:v>
                </c:pt>
                <c:pt idx="35">
                  <c:v>0</c:v>
                </c:pt>
                <c:pt idx="36">
                  <c:v>0</c:v>
                </c:pt>
                <c:pt idx="37">
                  <c:v>100</c:v>
                </c:pt>
                <c:pt idx="38">
                  <c:v>2000</c:v>
                </c:pt>
                <c:pt idx="39">
                  <c:v>0</c:v>
                </c:pt>
                <c:pt idx="40">
                  <c:v>0</c:v>
                </c:pt>
                <c:pt idx="41">
                  <c:v>0</c:v>
                </c:pt>
                <c:pt idx="42">
                  <c:v>0</c:v>
                </c:pt>
                <c:pt idx="43">
                  <c:v>1950</c:v>
                </c:pt>
                <c:pt idx="44">
                  <c:v>1042</c:v>
                </c:pt>
                <c:pt idx="45">
                  <c:v>0</c:v>
                </c:pt>
                <c:pt idx="46">
                  <c:v>0</c:v>
                </c:pt>
                <c:pt idx="47">
                  <c:v>0</c:v>
                </c:pt>
                <c:pt idx="48">
                  <c:v>0</c:v>
                </c:pt>
                <c:pt idx="49">
                  <c:v>0</c:v>
                </c:pt>
                <c:pt idx="50">
                  <c:v>0</c:v>
                </c:pt>
                <c:pt idx="51">
                  <c:v>2600</c:v>
                </c:pt>
                <c:pt idx="52">
                  <c:v>2933</c:v>
                </c:pt>
                <c:pt idx="53">
                  <c:v>500</c:v>
                </c:pt>
                <c:pt idx="54">
                  <c:v>0</c:v>
                </c:pt>
                <c:pt idx="55">
                  <c:v>0</c:v>
                </c:pt>
                <c:pt idx="56">
                  <c:v>2435</c:v>
                </c:pt>
                <c:pt idx="57">
                  <c:v>0</c:v>
                </c:pt>
                <c:pt idx="58">
                  <c:v>50</c:v>
                </c:pt>
                <c:pt idx="59">
                  <c:v>0</c:v>
                </c:pt>
                <c:pt idx="60">
                  <c:v>4480</c:v>
                </c:pt>
                <c:pt idx="61">
                  <c:v>0</c:v>
                </c:pt>
                <c:pt idx="62">
                  <c:v>0</c:v>
                </c:pt>
                <c:pt idx="63">
                  <c:v>0</c:v>
                </c:pt>
                <c:pt idx="64">
                  <c:v>0</c:v>
                </c:pt>
                <c:pt idx="65">
                  <c:v>0</c:v>
                </c:pt>
                <c:pt idx="66">
                  <c:v>0</c:v>
                </c:pt>
                <c:pt idx="67">
                  <c:v>0</c:v>
                </c:pt>
                <c:pt idx="68">
                  <c:v>0</c:v>
                </c:pt>
                <c:pt idx="69">
                  <c:v>0</c:v>
                </c:pt>
                <c:pt idx="70">
                  <c:v>0</c:v>
                </c:pt>
                <c:pt idx="71">
                  <c:v>0</c:v>
                </c:pt>
                <c:pt idx="72">
                  <c:v>3470</c:v>
                </c:pt>
                <c:pt idx="73">
                  <c:v>0</c:v>
                </c:pt>
                <c:pt idx="74">
                  <c:v>1524</c:v>
                </c:pt>
                <c:pt idx="75">
                  <c:v>0</c:v>
                </c:pt>
                <c:pt idx="76">
                  <c:v>0</c:v>
                </c:pt>
                <c:pt idx="77">
                  <c:v>3550</c:v>
                </c:pt>
                <c:pt idx="78">
                  <c:v>0</c:v>
                </c:pt>
                <c:pt idx="79">
                  <c:v>100</c:v>
                </c:pt>
                <c:pt idx="80">
                  <c:v>0</c:v>
                </c:pt>
                <c:pt idx="81">
                  <c:v>0</c:v>
                </c:pt>
                <c:pt idx="82">
                  <c:v>0</c:v>
                </c:pt>
                <c:pt idx="83">
                  <c:v>0</c:v>
                </c:pt>
                <c:pt idx="84">
                  <c:v>4758</c:v>
                </c:pt>
                <c:pt idx="85">
                  <c:v>3000</c:v>
                </c:pt>
                <c:pt idx="86">
                  <c:v>225</c:v>
                </c:pt>
                <c:pt idx="87">
                  <c:v>0</c:v>
                </c:pt>
                <c:pt idx="88">
                  <c:v>1600</c:v>
                </c:pt>
                <c:pt idx="89">
                  <c:v>0</c:v>
                </c:pt>
                <c:pt idx="90">
                  <c:v>0</c:v>
                </c:pt>
                <c:pt idx="91">
                  <c:v>1100</c:v>
                </c:pt>
                <c:pt idx="92">
                  <c:v>2610</c:v>
                </c:pt>
                <c:pt idx="93">
                  <c:v>0</c:v>
                </c:pt>
                <c:pt idx="94">
                  <c:v>0</c:v>
                </c:pt>
                <c:pt idx="95">
                  <c:v>0</c:v>
                </c:pt>
                <c:pt idx="96">
                  <c:v>0</c:v>
                </c:pt>
                <c:pt idx="97">
                  <c:v>0</c:v>
                </c:pt>
                <c:pt idx="98">
                  <c:v>0</c:v>
                </c:pt>
                <c:pt idx="99">
                  <c:v>200</c:v>
                </c:pt>
                <c:pt idx="100">
                  <c:v>330</c:v>
                </c:pt>
                <c:pt idx="101">
                  <c:v>0</c:v>
                </c:pt>
                <c:pt idx="102">
                  <c:v>0</c:v>
                </c:pt>
                <c:pt idx="103">
                  <c:v>0</c:v>
                </c:pt>
                <c:pt idx="104">
                  <c:v>0</c:v>
                </c:pt>
                <c:pt idx="105">
                  <c:v>0</c:v>
                </c:pt>
                <c:pt idx="106">
                  <c:v>0</c:v>
                </c:pt>
                <c:pt idx="107">
                  <c:v>200</c:v>
                </c:pt>
                <c:pt idx="108">
                  <c:v>0</c:v>
                </c:pt>
                <c:pt idx="109">
                  <c:v>200</c:v>
                </c:pt>
                <c:pt idx="110">
                  <c:v>0</c:v>
                </c:pt>
                <c:pt idx="111">
                  <c:v>0</c:v>
                </c:pt>
                <c:pt idx="112">
                  <c:v>1800</c:v>
                </c:pt>
                <c:pt idx="113">
                  <c:v>11750</c:v>
                </c:pt>
                <c:pt idx="114">
                  <c:v>8250</c:v>
                </c:pt>
                <c:pt idx="115">
                  <c:v>700</c:v>
                </c:pt>
                <c:pt idx="116">
                  <c:v>0</c:v>
                </c:pt>
                <c:pt idx="117">
                  <c:v>0</c:v>
                </c:pt>
                <c:pt idx="118">
                  <c:v>0</c:v>
                </c:pt>
                <c:pt idx="119">
                  <c:v>0</c:v>
                </c:pt>
                <c:pt idx="120">
                  <c:v>0</c:v>
                </c:pt>
                <c:pt idx="121">
                  <c:v>548</c:v>
                </c:pt>
                <c:pt idx="122">
                  <c:v>0</c:v>
                </c:pt>
                <c:pt idx="123">
                  <c:v>0</c:v>
                </c:pt>
                <c:pt idx="124">
                  <c:v>0</c:v>
                </c:pt>
                <c:pt idx="125">
                  <c:v>0</c:v>
                </c:pt>
                <c:pt idx="126">
                  <c:v>0</c:v>
                </c:pt>
                <c:pt idx="127">
                  <c:v>30</c:v>
                </c:pt>
                <c:pt idx="128">
                  <c:v>0</c:v>
                </c:pt>
                <c:pt idx="129">
                  <c:v>0</c:v>
                </c:pt>
                <c:pt idx="130">
                  <c:v>1470</c:v>
                </c:pt>
                <c:pt idx="131">
                  <c:v>0</c:v>
                </c:pt>
                <c:pt idx="132">
                  <c:v>0</c:v>
                </c:pt>
                <c:pt idx="133">
                  <c:v>11900</c:v>
                </c:pt>
                <c:pt idx="134">
                  <c:v>0</c:v>
                </c:pt>
                <c:pt idx="135">
                  <c:v>0</c:v>
                </c:pt>
                <c:pt idx="136">
                  <c:v>0</c:v>
                </c:pt>
                <c:pt idx="137">
                  <c:v>11500</c:v>
                </c:pt>
                <c:pt idx="138">
                  <c:v>0</c:v>
                </c:pt>
                <c:pt idx="139">
                  <c:v>0</c:v>
                </c:pt>
                <c:pt idx="140">
                  <c:v>0</c:v>
                </c:pt>
                <c:pt idx="141">
                  <c:v>0</c:v>
                </c:pt>
                <c:pt idx="142">
                  <c:v>1100</c:v>
                </c:pt>
                <c:pt idx="143">
                  <c:v>0</c:v>
                </c:pt>
                <c:pt idx="144">
                  <c:v>0</c:v>
                </c:pt>
                <c:pt idx="145">
                  <c:v>0</c:v>
                </c:pt>
                <c:pt idx="146">
                  <c:v>0</c:v>
                </c:pt>
                <c:pt idx="147">
                  <c:v>0</c:v>
                </c:pt>
                <c:pt idx="148">
                  <c:v>0</c:v>
                </c:pt>
                <c:pt idx="149">
                  <c:v>0</c:v>
                </c:pt>
                <c:pt idx="150">
                  <c:v>400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4500</c:v>
                </c:pt>
                <c:pt idx="165">
                  <c:v>0</c:v>
                </c:pt>
                <c:pt idx="166">
                  <c:v>0</c:v>
                </c:pt>
                <c:pt idx="167">
                  <c:v>0</c:v>
                </c:pt>
                <c:pt idx="168">
                  <c:v>3500</c:v>
                </c:pt>
                <c:pt idx="169">
                  <c:v>0</c:v>
                </c:pt>
                <c:pt idx="170">
                  <c:v>0</c:v>
                </c:pt>
                <c:pt idx="171">
                  <c:v>0</c:v>
                </c:pt>
                <c:pt idx="172">
                  <c:v>0</c:v>
                </c:pt>
                <c:pt idx="173">
                  <c:v>0</c:v>
                </c:pt>
                <c:pt idx="174">
                  <c:v>0</c:v>
                </c:pt>
                <c:pt idx="175">
                  <c:v>0</c:v>
                </c:pt>
                <c:pt idx="176">
                  <c:v>0</c:v>
                </c:pt>
                <c:pt idx="177">
                  <c:v>0</c:v>
                </c:pt>
                <c:pt idx="178">
                  <c:v>0</c:v>
                </c:pt>
                <c:pt idx="179">
                  <c:v>4080</c:v>
                </c:pt>
              </c:numCache>
            </c:numRef>
          </c:val>
        </c:ser>
        <c:ser>
          <c:idx val="3"/>
          <c:order val="2"/>
          <c:tx>
            <c:strRef>
              <c:f>'BSO daily'!$G$1</c:f>
              <c:strCache>
                <c:ptCount val="1"/>
                <c:pt idx="0">
                  <c:v>Обем H1 2013</c:v>
                </c:pt>
              </c:strCache>
            </c:strRef>
          </c:tx>
          <c:spPr>
            <a:solidFill>
              <a:schemeClr val="tx2"/>
            </a:solidFill>
          </c:spPr>
          <c:invertIfNegative val="0"/>
          <c:val>
            <c:numRef>
              <c:f>'BSO daily'!$G$2:$G$181</c:f>
              <c:numCache>
                <c:formatCode>#,##0</c:formatCode>
                <c:ptCount val="180"/>
                <c:pt idx="0">
                  <c:v>0</c:v>
                </c:pt>
                <c:pt idx="1">
                  <c:v>0</c:v>
                </c:pt>
                <c:pt idx="2">
                  <c:v>0</c:v>
                </c:pt>
                <c:pt idx="3">
                  <c:v>0</c:v>
                </c:pt>
                <c:pt idx="4">
                  <c:v>0</c:v>
                </c:pt>
                <c:pt idx="5">
                  <c:v>380</c:v>
                </c:pt>
                <c:pt idx="6">
                  <c:v>0</c:v>
                </c:pt>
                <c:pt idx="7">
                  <c:v>0</c:v>
                </c:pt>
                <c:pt idx="8">
                  <c:v>0</c:v>
                </c:pt>
                <c:pt idx="9">
                  <c:v>1500</c:v>
                </c:pt>
                <c:pt idx="10">
                  <c:v>0</c:v>
                </c:pt>
                <c:pt idx="11">
                  <c:v>0</c:v>
                </c:pt>
                <c:pt idx="12">
                  <c:v>1050</c:v>
                </c:pt>
                <c:pt idx="13">
                  <c:v>0</c:v>
                </c:pt>
                <c:pt idx="14">
                  <c:v>0</c:v>
                </c:pt>
                <c:pt idx="15">
                  <c:v>0</c:v>
                </c:pt>
                <c:pt idx="16">
                  <c:v>80</c:v>
                </c:pt>
                <c:pt idx="17">
                  <c:v>0</c:v>
                </c:pt>
                <c:pt idx="18">
                  <c:v>0</c:v>
                </c:pt>
                <c:pt idx="19">
                  <c:v>625</c:v>
                </c:pt>
                <c:pt idx="20">
                  <c:v>100</c:v>
                </c:pt>
                <c:pt idx="21">
                  <c:v>100</c:v>
                </c:pt>
                <c:pt idx="22">
                  <c:v>40</c:v>
                </c:pt>
                <c:pt idx="23">
                  <c:v>376</c:v>
                </c:pt>
                <c:pt idx="24">
                  <c:v>0</c:v>
                </c:pt>
                <c:pt idx="25">
                  <c:v>0</c:v>
                </c:pt>
                <c:pt idx="26">
                  <c:v>100</c:v>
                </c:pt>
                <c:pt idx="27">
                  <c:v>984</c:v>
                </c:pt>
                <c:pt idx="28">
                  <c:v>320</c:v>
                </c:pt>
                <c:pt idx="29">
                  <c:v>2019</c:v>
                </c:pt>
                <c:pt idx="30">
                  <c:v>0</c:v>
                </c:pt>
                <c:pt idx="31">
                  <c:v>0</c:v>
                </c:pt>
                <c:pt idx="32">
                  <c:v>0</c:v>
                </c:pt>
                <c:pt idx="33">
                  <c:v>0</c:v>
                </c:pt>
                <c:pt idx="34">
                  <c:v>0</c:v>
                </c:pt>
                <c:pt idx="35">
                  <c:v>1000</c:v>
                </c:pt>
                <c:pt idx="36">
                  <c:v>100</c:v>
                </c:pt>
                <c:pt idx="37">
                  <c:v>26989</c:v>
                </c:pt>
                <c:pt idx="38">
                  <c:v>0</c:v>
                </c:pt>
                <c:pt idx="39">
                  <c:v>0</c:v>
                </c:pt>
                <c:pt idx="40">
                  <c:v>302</c:v>
                </c:pt>
                <c:pt idx="41">
                  <c:v>1000</c:v>
                </c:pt>
                <c:pt idx="42">
                  <c:v>300</c:v>
                </c:pt>
                <c:pt idx="43">
                  <c:v>150</c:v>
                </c:pt>
                <c:pt idx="44">
                  <c:v>0</c:v>
                </c:pt>
                <c:pt idx="45">
                  <c:v>0</c:v>
                </c:pt>
                <c:pt idx="46">
                  <c:v>0</c:v>
                </c:pt>
                <c:pt idx="47">
                  <c:v>4523</c:v>
                </c:pt>
                <c:pt idx="48">
                  <c:v>25151</c:v>
                </c:pt>
                <c:pt idx="49">
                  <c:v>2797</c:v>
                </c:pt>
                <c:pt idx="50">
                  <c:v>0</c:v>
                </c:pt>
                <c:pt idx="51">
                  <c:v>0</c:v>
                </c:pt>
                <c:pt idx="52">
                  <c:v>0</c:v>
                </c:pt>
                <c:pt idx="53">
                  <c:v>0</c:v>
                </c:pt>
                <c:pt idx="54">
                  <c:v>0</c:v>
                </c:pt>
                <c:pt idx="55">
                  <c:v>9700</c:v>
                </c:pt>
                <c:pt idx="56">
                  <c:v>0</c:v>
                </c:pt>
                <c:pt idx="57">
                  <c:v>30</c:v>
                </c:pt>
                <c:pt idx="58">
                  <c:v>347</c:v>
                </c:pt>
                <c:pt idx="59">
                  <c:v>0</c:v>
                </c:pt>
                <c:pt idx="60">
                  <c:v>0</c:v>
                </c:pt>
                <c:pt idx="61">
                  <c:v>500</c:v>
                </c:pt>
                <c:pt idx="62">
                  <c:v>0</c:v>
                </c:pt>
                <c:pt idx="63">
                  <c:v>0</c:v>
                </c:pt>
                <c:pt idx="64">
                  <c:v>373</c:v>
                </c:pt>
                <c:pt idx="65">
                  <c:v>500</c:v>
                </c:pt>
                <c:pt idx="66">
                  <c:v>0</c:v>
                </c:pt>
                <c:pt idx="67">
                  <c:v>0</c:v>
                </c:pt>
                <c:pt idx="68">
                  <c:v>610</c:v>
                </c:pt>
                <c:pt idx="69">
                  <c:v>70</c:v>
                </c:pt>
                <c:pt idx="70">
                  <c:v>0</c:v>
                </c:pt>
                <c:pt idx="71">
                  <c:v>11346</c:v>
                </c:pt>
                <c:pt idx="72">
                  <c:v>7743</c:v>
                </c:pt>
                <c:pt idx="73">
                  <c:v>0</c:v>
                </c:pt>
                <c:pt idx="74">
                  <c:v>0</c:v>
                </c:pt>
                <c:pt idx="75">
                  <c:v>1497</c:v>
                </c:pt>
                <c:pt idx="76">
                  <c:v>0</c:v>
                </c:pt>
                <c:pt idx="77">
                  <c:v>0</c:v>
                </c:pt>
                <c:pt idx="78">
                  <c:v>640</c:v>
                </c:pt>
                <c:pt idx="79">
                  <c:v>500</c:v>
                </c:pt>
                <c:pt idx="80">
                  <c:v>0</c:v>
                </c:pt>
                <c:pt idx="81">
                  <c:v>0</c:v>
                </c:pt>
                <c:pt idx="82">
                  <c:v>0</c:v>
                </c:pt>
                <c:pt idx="83">
                  <c:v>0</c:v>
                </c:pt>
                <c:pt idx="84">
                  <c:v>10000</c:v>
                </c:pt>
                <c:pt idx="85">
                  <c:v>0</c:v>
                </c:pt>
                <c:pt idx="86">
                  <c:v>0</c:v>
                </c:pt>
                <c:pt idx="87">
                  <c:v>0</c:v>
                </c:pt>
                <c:pt idx="88">
                  <c:v>0</c:v>
                </c:pt>
                <c:pt idx="89">
                  <c:v>0</c:v>
                </c:pt>
                <c:pt idx="90">
                  <c:v>0</c:v>
                </c:pt>
                <c:pt idx="91">
                  <c:v>0</c:v>
                </c:pt>
                <c:pt idx="92">
                  <c:v>0</c:v>
                </c:pt>
                <c:pt idx="93">
                  <c:v>0</c:v>
                </c:pt>
                <c:pt idx="94">
                  <c:v>0</c:v>
                </c:pt>
                <c:pt idx="95">
                  <c:v>0</c:v>
                </c:pt>
                <c:pt idx="96">
                  <c:v>7315</c:v>
                </c:pt>
                <c:pt idx="97">
                  <c:v>2381</c:v>
                </c:pt>
                <c:pt idx="98">
                  <c:v>1150</c:v>
                </c:pt>
                <c:pt idx="99">
                  <c:v>100</c:v>
                </c:pt>
                <c:pt idx="100">
                  <c:v>400</c:v>
                </c:pt>
                <c:pt idx="101">
                  <c:v>0</c:v>
                </c:pt>
                <c:pt idx="102">
                  <c:v>0</c:v>
                </c:pt>
                <c:pt idx="103">
                  <c:v>0</c:v>
                </c:pt>
                <c:pt idx="104">
                  <c:v>400</c:v>
                </c:pt>
                <c:pt idx="105">
                  <c:v>1000</c:v>
                </c:pt>
                <c:pt idx="106">
                  <c:v>7925</c:v>
                </c:pt>
                <c:pt idx="107">
                  <c:v>33</c:v>
                </c:pt>
                <c:pt idx="108">
                  <c:v>0</c:v>
                </c:pt>
                <c:pt idx="109">
                  <c:v>0</c:v>
                </c:pt>
                <c:pt idx="110">
                  <c:v>1414</c:v>
                </c:pt>
                <c:pt idx="111">
                  <c:v>2166</c:v>
                </c:pt>
                <c:pt idx="112">
                  <c:v>19</c:v>
                </c:pt>
                <c:pt idx="113">
                  <c:v>500</c:v>
                </c:pt>
                <c:pt idx="114">
                  <c:v>0</c:v>
                </c:pt>
                <c:pt idx="115">
                  <c:v>0</c:v>
                </c:pt>
                <c:pt idx="116">
                  <c:v>0</c:v>
                </c:pt>
                <c:pt idx="117">
                  <c:v>300</c:v>
                </c:pt>
                <c:pt idx="118">
                  <c:v>156</c:v>
                </c:pt>
                <c:pt idx="119">
                  <c:v>0</c:v>
                </c:pt>
                <c:pt idx="120">
                  <c:v>0</c:v>
                </c:pt>
                <c:pt idx="121">
                  <c:v>0</c:v>
                </c:pt>
                <c:pt idx="122">
                  <c:v>0</c:v>
                </c:pt>
                <c:pt idx="123">
                  <c:v>0</c:v>
                </c:pt>
                <c:pt idx="124">
                  <c:v>0</c:v>
                </c:pt>
                <c:pt idx="125">
                  <c:v>981</c:v>
                </c:pt>
                <c:pt idx="126">
                  <c:v>2019</c:v>
                </c:pt>
                <c:pt idx="127">
                  <c:v>4457</c:v>
                </c:pt>
                <c:pt idx="128">
                  <c:v>0</c:v>
                </c:pt>
                <c:pt idx="129">
                  <c:v>0</c:v>
                </c:pt>
                <c:pt idx="130">
                  <c:v>0</c:v>
                </c:pt>
                <c:pt idx="131">
                  <c:v>0</c:v>
                </c:pt>
                <c:pt idx="132">
                  <c:v>0</c:v>
                </c:pt>
                <c:pt idx="133">
                  <c:v>300</c:v>
                </c:pt>
                <c:pt idx="134">
                  <c:v>0</c:v>
                </c:pt>
                <c:pt idx="135">
                  <c:v>0</c:v>
                </c:pt>
                <c:pt idx="136">
                  <c:v>0</c:v>
                </c:pt>
                <c:pt idx="137">
                  <c:v>0</c:v>
                </c:pt>
                <c:pt idx="138">
                  <c:v>14590</c:v>
                </c:pt>
                <c:pt idx="139">
                  <c:v>1760</c:v>
                </c:pt>
                <c:pt idx="140">
                  <c:v>2100</c:v>
                </c:pt>
                <c:pt idx="141">
                  <c:v>50</c:v>
                </c:pt>
                <c:pt idx="142">
                  <c:v>0</c:v>
                </c:pt>
                <c:pt idx="143">
                  <c:v>0</c:v>
                </c:pt>
                <c:pt idx="144">
                  <c:v>0</c:v>
                </c:pt>
                <c:pt idx="145">
                  <c:v>50</c:v>
                </c:pt>
                <c:pt idx="146">
                  <c:v>12500</c:v>
                </c:pt>
                <c:pt idx="147">
                  <c:v>550</c:v>
                </c:pt>
                <c:pt idx="148">
                  <c:v>0</c:v>
                </c:pt>
                <c:pt idx="149">
                  <c:v>3387</c:v>
                </c:pt>
                <c:pt idx="150">
                  <c:v>0</c:v>
                </c:pt>
                <c:pt idx="151">
                  <c:v>0</c:v>
                </c:pt>
                <c:pt idx="152">
                  <c:v>3563</c:v>
                </c:pt>
                <c:pt idx="153">
                  <c:v>0</c:v>
                </c:pt>
                <c:pt idx="154">
                  <c:v>0</c:v>
                </c:pt>
                <c:pt idx="155">
                  <c:v>4600</c:v>
                </c:pt>
                <c:pt idx="156">
                  <c:v>17160</c:v>
                </c:pt>
                <c:pt idx="157">
                  <c:v>0</c:v>
                </c:pt>
                <c:pt idx="158">
                  <c:v>0</c:v>
                </c:pt>
                <c:pt idx="159">
                  <c:v>966</c:v>
                </c:pt>
                <c:pt idx="160">
                  <c:v>2041</c:v>
                </c:pt>
                <c:pt idx="161">
                  <c:v>2172</c:v>
                </c:pt>
                <c:pt idx="162">
                  <c:v>0</c:v>
                </c:pt>
                <c:pt idx="163">
                  <c:v>357</c:v>
                </c:pt>
                <c:pt idx="164">
                  <c:v>0</c:v>
                </c:pt>
                <c:pt idx="165">
                  <c:v>0</c:v>
                </c:pt>
                <c:pt idx="166">
                  <c:v>124</c:v>
                </c:pt>
                <c:pt idx="167">
                  <c:v>156</c:v>
                </c:pt>
                <c:pt idx="168">
                  <c:v>645</c:v>
                </c:pt>
                <c:pt idx="169">
                  <c:v>4118</c:v>
                </c:pt>
                <c:pt idx="170">
                  <c:v>20</c:v>
                </c:pt>
                <c:pt idx="171">
                  <c:v>0</c:v>
                </c:pt>
                <c:pt idx="172">
                  <c:v>0</c:v>
                </c:pt>
                <c:pt idx="173">
                  <c:v>20</c:v>
                </c:pt>
                <c:pt idx="174">
                  <c:v>20</c:v>
                </c:pt>
                <c:pt idx="175">
                  <c:v>445</c:v>
                </c:pt>
                <c:pt idx="176">
                  <c:v>10800</c:v>
                </c:pt>
                <c:pt idx="177">
                  <c:v>1092</c:v>
                </c:pt>
                <c:pt idx="178">
                  <c:v>0</c:v>
                </c:pt>
                <c:pt idx="179">
                  <c:v>0</c:v>
                </c:pt>
              </c:numCache>
            </c:numRef>
          </c:val>
        </c:ser>
        <c:dLbls>
          <c:showLegendKey val="0"/>
          <c:showVal val="0"/>
          <c:showCatName val="0"/>
          <c:showSerName val="0"/>
          <c:showPercent val="0"/>
          <c:showBubbleSize val="0"/>
        </c:dLbls>
        <c:gapWidth val="150"/>
        <c:axId val="166261120"/>
        <c:axId val="166250752"/>
      </c:barChart>
      <c:lineChart>
        <c:grouping val="standard"/>
        <c:varyColors val="0"/>
        <c:ser>
          <c:idx val="1"/>
          <c:order val="1"/>
          <c:tx>
            <c:strRef>
              <c:f>'BSO daily'!$D$1</c:f>
              <c:strCache>
                <c:ptCount val="1"/>
                <c:pt idx="0">
                  <c:v>Цена H1 2012</c:v>
                </c:pt>
              </c:strCache>
            </c:strRef>
          </c:tx>
          <c:spPr>
            <a:ln w="6350">
              <a:solidFill>
                <a:srgbClr val="C00000"/>
              </a:solidFill>
            </a:ln>
          </c:spPr>
          <c:marker>
            <c:symbol val="none"/>
          </c:marker>
          <c:cat>
            <c:numRef>
              <c:f>'BSO daily'!$B$2:$B$181</c:f>
              <c:numCache>
                <c:formatCode>m/d/yyyy\ h:mm</c:formatCode>
                <c:ptCount val="180"/>
                <c:pt idx="0">
                  <c:v>40910</c:v>
                </c:pt>
                <c:pt idx="1">
                  <c:v>40911</c:v>
                </c:pt>
                <c:pt idx="2">
                  <c:v>40912</c:v>
                </c:pt>
                <c:pt idx="3">
                  <c:v>40913</c:v>
                </c:pt>
                <c:pt idx="4">
                  <c:v>40914</c:v>
                </c:pt>
                <c:pt idx="5">
                  <c:v>40915</c:v>
                </c:pt>
                <c:pt idx="6">
                  <c:v>40916</c:v>
                </c:pt>
                <c:pt idx="7">
                  <c:v>40917</c:v>
                </c:pt>
                <c:pt idx="8">
                  <c:v>40918</c:v>
                </c:pt>
                <c:pt idx="9">
                  <c:v>40919</c:v>
                </c:pt>
                <c:pt idx="10">
                  <c:v>40920</c:v>
                </c:pt>
                <c:pt idx="11">
                  <c:v>40921</c:v>
                </c:pt>
                <c:pt idx="12">
                  <c:v>40922</c:v>
                </c:pt>
                <c:pt idx="13">
                  <c:v>40923</c:v>
                </c:pt>
                <c:pt idx="14">
                  <c:v>40924</c:v>
                </c:pt>
                <c:pt idx="15">
                  <c:v>40925</c:v>
                </c:pt>
                <c:pt idx="16">
                  <c:v>40926</c:v>
                </c:pt>
                <c:pt idx="17">
                  <c:v>40927</c:v>
                </c:pt>
                <c:pt idx="18">
                  <c:v>40928</c:v>
                </c:pt>
                <c:pt idx="19">
                  <c:v>40929</c:v>
                </c:pt>
                <c:pt idx="20">
                  <c:v>40930</c:v>
                </c:pt>
                <c:pt idx="21">
                  <c:v>40931</c:v>
                </c:pt>
                <c:pt idx="22">
                  <c:v>40932</c:v>
                </c:pt>
                <c:pt idx="23">
                  <c:v>40933</c:v>
                </c:pt>
                <c:pt idx="24">
                  <c:v>40934</c:v>
                </c:pt>
                <c:pt idx="25">
                  <c:v>40935</c:v>
                </c:pt>
                <c:pt idx="26">
                  <c:v>40936</c:v>
                </c:pt>
                <c:pt idx="27">
                  <c:v>40937</c:v>
                </c:pt>
                <c:pt idx="28">
                  <c:v>40938</c:v>
                </c:pt>
                <c:pt idx="29">
                  <c:v>40939</c:v>
                </c:pt>
                <c:pt idx="30">
                  <c:v>40940</c:v>
                </c:pt>
                <c:pt idx="31">
                  <c:v>40941</c:v>
                </c:pt>
                <c:pt idx="32">
                  <c:v>40942</c:v>
                </c:pt>
                <c:pt idx="33">
                  <c:v>40943</c:v>
                </c:pt>
                <c:pt idx="34">
                  <c:v>40944</c:v>
                </c:pt>
                <c:pt idx="35">
                  <c:v>40945</c:v>
                </c:pt>
                <c:pt idx="36">
                  <c:v>40946</c:v>
                </c:pt>
                <c:pt idx="37">
                  <c:v>40947</c:v>
                </c:pt>
                <c:pt idx="38">
                  <c:v>40948</c:v>
                </c:pt>
                <c:pt idx="39">
                  <c:v>40949</c:v>
                </c:pt>
                <c:pt idx="40">
                  <c:v>40950</c:v>
                </c:pt>
                <c:pt idx="41">
                  <c:v>40951</c:v>
                </c:pt>
                <c:pt idx="42">
                  <c:v>40952</c:v>
                </c:pt>
                <c:pt idx="43">
                  <c:v>40953</c:v>
                </c:pt>
                <c:pt idx="44">
                  <c:v>40954</c:v>
                </c:pt>
                <c:pt idx="45">
                  <c:v>40955</c:v>
                </c:pt>
                <c:pt idx="46">
                  <c:v>40956</c:v>
                </c:pt>
                <c:pt idx="47">
                  <c:v>40957</c:v>
                </c:pt>
                <c:pt idx="48">
                  <c:v>40958</c:v>
                </c:pt>
                <c:pt idx="49">
                  <c:v>40959</c:v>
                </c:pt>
                <c:pt idx="50">
                  <c:v>40960</c:v>
                </c:pt>
                <c:pt idx="51">
                  <c:v>40961</c:v>
                </c:pt>
                <c:pt idx="52">
                  <c:v>40962</c:v>
                </c:pt>
                <c:pt idx="53">
                  <c:v>40963</c:v>
                </c:pt>
                <c:pt idx="54">
                  <c:v>40964</c:v>
                </c:pt>
                <c:pt idx="55">
                  <c:v>40965</c:v>
                </c:pt>
                <c:pt idx="56">
                  <c:v>40966</c:v>
                </c:pt>
                <c:pt idx="57">
                  <c:v>40967</c:v>
                </c:pt>
                <c:pt idx="58">
                  <c:v>40968</c:v>
                </c:pt>
                <c:pt idx="59">
                  <c:v>40969</c:v>
                </c:pt>
                <c:pt idx="60">
                  <c:v>40970</c:v>
                </c:pt>
                <c:pt idx="61">
                  <c:v>40971</c:v>
                </c:pt>
                <c:pt idx="62">
                  <c:v>40972</c:v>
                </c:pt>
                <c:pt idx="63">
                  <c:v>40973</c:v>
                </c:pt>
                <c:pt idx="64">
                  <c:v>40974</c:v>
                </c:pt>
                <c:pt idx="65">
                  <c:v>40975</c:v>
                </c:pt>
                <c:pt idx="66">
                  <c:v>40976</c:v>
                </c:pt>
                <c:pt idx="67">
                  <c:v>40977</c:v>
                </c:pt>
                <c:pt idx="68">
                  <c:v>40978</c:v>
                </c:pt>
                <c:pt idx="69">
                  <c:v>40979</c:v>
                </c:pt>
                <c:pt idx="70">
                  <c:v>40980</c:v>
                </c:pt>
                <c:pt idx="71">
                  <c:v>40981</c:v>
                </c:pt>
                <c:pt idx="72">
                  <c:v>40982</c:v>
                </c:pt>
                <c:pt idx="73">
                  <c:v>40983</c:v>
                </c:pt>
                <c:pt idx="74">
                  <c:v>40984</c:v>
                </c:pt>
                <c:pt idx="75">
                  <c:v>40985</c:v>
                </c:pt>
                <c:pt idx="76">
                  <c:v>40986</c:v>
                </c:pt>
                <c:pt idx="77">
                  <c:v>40987</c:v>
                </c:pt>
                <c:pt idx="78">
                  <c:v>40988</c:v>
                </c:pt>
                <c:pt idx="79">
                  <c:v>40989</c:v>
                </c:pt>
                <c:pt idx="80">
                  <c:v>40990</c:v>
                </c:pt>
                <c:pt idx="81">
                  <c:v>40991</c:v>
                </c:pt>
                <c:pt idx="82">
                  <c:v>40992</c:v>
                </c:pt>
                <c:pt idx="83">
                  <c:v>40993</c:v>
                </c:pt>
                <c:pt idx="84">
                  <c:v>40994</c:v>
                </c:pt>
                <c:pt idx="85">
                  <c:v>40995</c:v>
                </c:pt>
                <c:pt idx="86">
                  <c:v>40996</c:v>
                </c:pt>
                <c:pt idx="87">
                  <c:v>40997</c:v>
                </c:pt>
                <c:pt idx="88">
                  <c:v>40998</c:v>
                </c:pt>
                <c:pt idx="89">
                  <c:v>40999</c:v>
                </c:pt>
                <c:pt idx="90">
                  <c:v>41000</c:v>
                </c:pt>
                <c:pt idx="91">
                  <c:v>41001</c:v>
                </c:pt>
                <c:pt idx="92">
                  <c:v>41002</c:v>
                </c:pt>
                <c:pt idx="93">
                  <c:v>41003</c:v>
                </c:pt>
                <c:pt idx="94">
                  <c:v>41004</c:v>
                </c:pt>
                <c:pt idx="95">
                  <c:v>41005</c:v>
                </c:pt>
                <c:pt idx="96">
                  <c:v>41006</c:v>
                </c:pt>
                <c:pt idx="97">
                  <c:v>41007</c:v>
                </c:pt>
                <c:pt idx="98">
                  <c:v>41008</c:v>
                </c:pt>
                <c:pt idx="99">
                  <c:v>41009</c:v>
                </c:pt>
                <c:pt idx="100">
                  <c:v>41010</c:v>
                </c:pt>
                <c:pt idx="101">
                  <c:v>41011</c:v>
                </c:pt>
                <c:pt idx="102">
                  <c:v>41012</c:v>
                </c:pt>
                <c:pt idx="103">
                  <c:v>41013</c:v>
                </c:pt>
                <c:pt idx="104">
                  <c:v>41014</c:v>
                </c:pt>
                <c:pt idx="105">
                  <c:v>41015</c:v>
                </c:pt>
                <c:pt idx="106">
                  <c:v>41016</c:v>
                </c:pt>
                <c:pt idx="107">
                  <c:v>41017</c:v>
                </c:pt>
                <c:pt idx="108">
                  <c:v>41018</c:v>
                </c:pt>
                <c:pt idx="109">
                  <c:v>41019</c:v>
                </c:pt>
                <c:pt idx="110">
                  <c:v>41020</c:v>
                </c:pt>
                <c:pt idx="111">
                  <c:v>41021</c:v>
                </c:pt>
                <c:pt idx="112">
                  <c:v>41022</c:v>
                </c:pt>
                <c:pt idx="113">
                  <c:v>41023</c:v>
                </c:pt>
                <c:pt idx="114">
                  <c:v>41024</c:v>
                </c:pt>
                <c:pt idx="115">
                  <c:v>41025</c:v>
                </c:pt>
                <c:pt idx="116">
                  <c:v>41026</c:v>
                </c:pt>
                <c:pt idx="117">
                  <c:v>41027</c:v>
                </c:pt>
                <c:pt idx="118">
                  <c:v>41028</c:v>
                </c:pt>
                <c:pt idx="119">
                  <c:v>41029</c:v>
                </c:pt>
                <c:pt idx="120">
                  <c:v>41030</c:v>
                </c:pt>
                <c:pt idx="121">
                  <c:v>41031</c:v>
                </c:pt>
                <c:pt idx="122">
                  <c:v>41032</c:v>
                </c:pt>
                <c:pt idx="123">
                  <c:v>41033</c:v>
                </c:pt>
                <c:pt idx="124">
                  <c:v>41034</c:v>
                </c:pt>
                <c:pt idx="125">
                  <c:v>41035</c:v>
                </c:pt>
                <c:pt idx="126">
                  <c:v>41036</c:v>
                </c:pt>
                <c:pt idx="127">
                  <c:v>41037</c:v>
                </c:pt>
                <c:pt idx="128">
                  <c:v>41038</c:v>
                </c:pt>
                <c:pt idx="129">
                  <c:v>41039</c:v>
                </c:pt>
                <c:pt idx="130">
                  <c:v>41040</c:v>
                </c:pt>
                <c:pt idx="131">
                  <c:v>41041</c:v>
                </c:pt>
                <c:pt idx="132">
                  <c:v>41042</c:v>
                </c:pt>
                <c:pt idx="133">
                  <c:v>41043</c:v>
                </c:pt>
                <c:pt idx="134">
                  <c:v>41044</c:v>
                </c:pt>
                <c:pt idx="135">
                  <c:v>41045</c:v>
                </c:pt>
                <c:pt idx="136">
                  <c:v>41046</c:v>
                </c:pt>
                <c:pt idx="137">
                  <c:v>41047</c:v>
                </c:pt>
                <c:pt idx="138">
                  <c:v>41048</c:v>
                </c:pt>
                <c:pt idx="139">
                  <c:v>41049</c:v>
                </c:pt>
                <c:pt idx="140">
                  <c:v>41050</c:v>
                </c:pt>
                <c:pt idx="141">
                  <c:v>41051</c:v>
                </c:pt>
                <c:pt idx="142">
                  <c:v>41052</c:v>
                </c:pt>
                <c:pt idx="143">
                  <c:v>41053</c:v>
                </c:pt>
                <c:pt idx="144">
                  <c:v>41054</c:v>
                </c:pt>
                <c:pt idx="145">
                  <c:v>41055</c:v>
                </c:pt>
                <c:pt idx="146">
                  <c:v>41056</c:v>
                </c:pt>
                <c:pt idx="147">
                  <c:v>41057</c:v>
                </c:pt>
                <c:pt idx="148">
                  <c:v>41058</c:v>
                </c:pt>
                <c:pt idx="149">
                  <c:v>41059</c:v>
                </c:pt>
                <c:pt idx="150">
                  <c:v>41060</c:v>
                </c:pt>
                <c:pt idx="151">
                  <c:v>41061</c:v>
                </c:pt>
                <c:pt idx="152">
                  <c:v>41062</c:v>
                </c:pt>
                <c:pt idx="153">
                  <c:v>41063</c:v>
                </c:pt>
                <c:pt idx="154">
                  <c:v>41064</c:v>
                </c:pt>
                <c:pt idx="155">
                  <c:v>41065</c:v>
                </c:pt>
                <c:pt idx="156">
                  <c:v>41066</c:v>
                </c:pt>
                <c:pt idx="157">
                  <c:v>41067</c:v>
                </c:pt>
                <c:pt idx="158">
                  <c:v>41068</c:v>
                </c:pt>
                <c:pt idx="159">
                  <c:v>41069</c:v>
                </c:pt>
                <c:pt idx="160">
                  <c:v>41070</c:v>
                </c:pt>
                <c:pt idx="161">
                  <c:v>41071</c:v>
                </c:pt>
                <c:pt idx="162">
                  <c:v>41072</c:v>
                </c:pt>
                <c:pt idx="163">
                  <c:v>41073</c:v>
                </c:pt>
                <c:pt idx="164">
                  <c:v>41074</c:v>
                </c:pt>
                <c:pt idx="165">
                  <c:v>41075</c:v>
                </c:pt>
                <c:pt idx="166">
                  <c:v>41076</c:v>
                </c:pt>
                <c:pt idx="167">
                  <c:v>41077</c:v>
                </c:pt>
                <c:pt idx="168">
                  <c:v>41078</c:v>
                </c:pt>
                <c:pt idx="169">
                  <c:v>41079</c:v>
                </c:pt>
                <c:pt idx="170">
                  <c:v>41080</c:v>
                </c:pt>
                <c:pt idx="171">
                  <c:v>41081</c:v>
                </c:pt>
                <c:pt idx="172">
                  <c:v>41082</c:v>
                </c:pt>
                <c:pt idx="173">
                  <c:v>41083</c:v>
                </c:pt>
                <c:pt idx="174">
                  <c:v>41084</c:v>
                </c:pt>
                <c:pt idx="175">
                  <c:v>41085</c:v>
                </c:pt>
                <c:pt idx="176">
                  <c:v>41086</c:v>
                </c:pt>
                <c:pt idx="177">
                  <c:v>41087</c:v>
                </c:pt>
                <c:pt idx="178">
                  <c:v>41088</c:v>
                </c:pt>
                <c:pt idx="179">
                  <c:v>41089</c:v>
                </c:pt>
              </c:numCache>
            </c:numRef>
          </c:cat>
          <c:val>
            <c:numRef>
              <c:f>'BSO daily'!$D$2:$D$181</c:f>
              <c:numCache>
                <c:formatCode>#,##0.000\ "лв."</c:formatCode>
                <c:ptCount val="180"/>
                <c:pt idx="0">
                  <c:v>2.82</c:v>
                </c:pt>
                <c:pt idx="1">
                  <c:v>2.82</c:v>
                </c:pt>
                <c:pt idx="2">
                  <c:v>2.82</c:v>
                </c:pt>
                <c:pt idx="3">
                  <c:v>2.82</c:v>
                </c:pt>
                <c:pt idx="4">
                  <c:v>2.82</c:v>
                </c:pt>
                <c:pt idx="5">
                  <c:v>2.82</c:v>
                </c:pt>
                <c:pt idx="6">
                  <c:v>2.82</c:v>
                </c:pt>
                <c:pt idx="7">
                  <c:v>2.5510000000000002</c:v>
                </c:pt>
                <c:pt idx="8">
                  <c:v>2.5510000000000002</c:v>
                </c:pt>
                <c:pt idx="9">
                  <c:v>2.5499999999999998</c:v>
                </c:pt>
                <c:pt idx="10">
                  <c:v>2.5</c:v>
                </c:pt>
                <c:pt idx="11">
                  <c:v>2.5</c:v>
                </c:pt>
                <c:pt idx="12">
                  <c:v>2.5</c:v>
                </c:pt>
                <c:pt idx="13">
                  <c:v>2.5</c:v>
                </c:pt>
                <c:pt idx="14">
                  <c:v>2.5</c:v>
                </c:pt>
                <c:pt idx="15">
                  <c:v>2.5</c:v>
                </c:pt>
                <c:pt idx="16">
                  <c:v>2.5</c:v>
                </c:pt>
                <c:pt idx="17">
                  <c:v>2.5</c:v>
                </c:pt>
                <c:pt idx="18">
                  <c:v>2.35</c:v>
                </c:pt>
                <c:pt idx="19">
                  <c:v>2.35</c:v>
                </c:pt>
                <c:pt idx="20">
                  <c:v>2.35</c:v>
                </c:pt>
                <c:pt idx="21">
                  <c:v>2.35</c:v>
                </c:pt>
                <c:pt idx="22">
                  <c:v>2.5499999999999998</c:v>
                </c:pt>
                <c:pt idx="23">
                  <c:v>2.35</c:v>
                </c:pt>
                <c:pt idx="24">
                  <c:v>2.335</c:v>
                </c:pt>
                <c:pt idx="25">
                  <c:v>2.3199999999999998</c:v>
                </c:pt>
                <c:pt idx="26">
                  <c:v>2.3199999999999998</c:v>
                </c:pt>
                <c:pt idx="27">
                  <c:v>2.3199999999999998</c:v>
                </c:pt>
                <c:pt idx="28">
                  <c:v>2.41</c:v>
                </c:pt>
                <c:pt idx="29">
                  <c:v>2.39</c:v>
                </c:pt>
                <c:pt idx="30">
                  <c:v>2.37</c:v>
                </c:pt>
                <c:pt idx="31">
                  <c:v>2.37</c:v>
                </c:pt>
                <c:pt idx="32">
                  <c:v>2.37</c:v>
                </c:pt>
                <c:pt idx="33">
                  <c:v>2.37</c:v>
                </c:pt>
                <c:pt idx="34">
                  <c:v>2.37</c:v>
                </c:pt>
                <c:pt idx="35">
                  <c:v>2.37</c:v>
                </c:pt>
                <c:pt idx="36">
                  <c:v>2.37</c:v>
                </c:pt>
                <c:pt idx="37">
                  <c:v>2.3199999999999998</c:v>
                </c:pt>
                <c:pt idx="38">
                  <c:v>2.35</c:v>
                </c:pt>
                <c:pt idx="39">
                  <c:v>2.35</c:v>
                </c:pt>
                <c:pt idx="40">
                  <c:v>2.35</c:v>
                </c:pt>
                <c:pt idx="41">
                  <c:v>2.35</c:v>
                </c:pt>
                <c:pt idx="42">
                  <c:v>2.35</c:v>
                </c:pt>
                <c:pt idx="43">
                  <c:v>2.31</c:v>
                </c:pt>
                <c:pt idx="44">
                  <c:v>2.35</c:v>
                </c:pt>
                <c:pt idx="45">
                  <c:v>2.35</c:v>
                </c:pt>
                <c:pt idx="46">
                  <c:v>2.35</c:v>
                </c:pt>
                <c:pt idx="47">
                  <c:v>2.35</c:v>
                </c:pt>
                <c:pt idx="48">
                  <c:v>2.35</c:v>
                </c:pt>
                <c:pt idx="49">
                  <c:v>2.35</c:v>
                </c:pt>
                <c:pt idx="50">
                  <c:v>2.35</c:v>
                </c:pt>
                <c:pt idx="51">
                  <c:v>2.3540000000000001</c:v>
                </c:pt>
                <c:pt idx="52">
                  <c:v>2.35</c:v>
                </c:pt>
                <c:pt idx="53">
                  <c:v>2.31</c:v>
                </c:pt>
                <c:pt idx="54">
                  <c:v>2.31</c:v>
                </c:pt>
                <c:pt idx="55">
                  <c:v>2.31</c:v>
                </c:pt>
                <c:pt idx="56">
                  <c:v>2.31</c:v>
                </c:pt>
                <c:pt idx="57">
                  <c:v>2.31</c:v>
                </c:pt>
                <c:pt idx="58">
                  <c:v>2.4</c:v>
                </c:pt>
                <c:pt idx="59">
                  <c:v>2.4</c:v>
                </c:pt>
                <c:pt idx="60">
                  <c:v>2.4500000000000002</c:v>
                </c:pt>
                <c:pt idx="61">
                  <c:v>2.4500000000000002</c:v>
                </c:pt>
                <c:pt idx="62">
                  <c:v>2.4500000000000002</c:v>
                </c:pt>
                <c:pt idx="63">
                  <c:v>2.4500000000000002</c:v>
                </c:pt>
                <c:pt idx="64">
                  <c:v>2.4500000000000002</c:v>
                </c:pt>
                <c:pt idx="65">
                  <c:v>2.4500000000000002</c:v>
                </c:pt>
                <c:pt idx="66">
                  <c:v>2.4500000000000002</c:v>
                </c:pt>
                <c:pt idx="67">
                  <c:v>2.4500000000000002</c:v>
                </c:pt>
                <c:pt idx="68">
                  <c:v>2.4500000000000002</c:v>
                </c:pt>
                <c:pt idx="69">
                  <c:v>2.4500000000000002</c:v>
                </c:pt>
                <c:pt idx="70">
                  <c:v>2.4500000000000002</c:v>
                </c:pt>
                <c:pt idx="71">
                  <c:v>2.4500000000000002</c:v>
                </c:pt>
                <c:pt idx="72">
                  <c:v>2.4319999999999999</c:v>
                </c:pt>
                <c:pt idx="73">
                  <c:v>2.4319999999999999</c:v>
                </c:pt>
                <c:pt idx="74">
                  <c:v>2.5099999999999998</c:v>
                </c:pt>
                <c:pt idx="75">
                  <c:v>2.5099999999999998</c:v>
                </c:pt>
                <c:pt idx="76">
                  <c:v>2.5099999999999998</c:v>
                </c:pt>
                <c:pt idx="77">
                  <c:v>2.52</c:v>
                </c:pt>
                <c:pt idx="78">
                  <c:v>2.52</c:v>
                </c:pt>
                <c:pt idx="79">
                  <c:v>2.68</c:v>
                </c:pt>
                <c:pt idx="80">
                  <c:v>2.68</c:v>
                </c:pt>
                <c:pt idx="81">
                  <c:v>2.68</c:v>
                </c:pt>
                <c:pt idx="82">
                  <c:v>2.68</c:v>
                </c:pt>
                <c:pt idx="83">
                  <c:v>2.68</c:v>
                </c:pt>
                <c:pt idx="84">
                  <c:v>2.5299999999999998</c:v>
                </c:pt>
                <c:pt idx="85">
                  <c:v>2.5409999999999999</c:v>
                </c:pt>
                <c:pt idx="86">
                  <c:v>2.5409999999999999</c:v>
                </c:pt>
                <c:pt idx="87">
                  <c:v>2.5409999999999999</c:v>
                </c:pt>
                <c:pt idx="88">
                  <c:v>2.7</c:v>
                </c:pt>
                <c:pt idx="89">
                  <c:v>2.7</c:v>
                </c:pt>
                <c:pt idx="90">
                  <c:v>2.7</c:v>
                </c:pt>
                <c:pt idx="91">
                  <c:v>2.7</c:v>
                </c:pt>
                <c:pt idx="92">
                  <c:v>2.5609999999999999</c:v>
                </c:pt>
                <c:pt idx="93">
                  <c:v>2.5609999999999999</c:v>
                </c:pt>
                <c:pt idx="94">
                  <c:v>2.5609999999999999</c:v>
                </c:pt>
                <c:pt idx="95">
                  <c:v>2.5609999999999999</c:v>
                </c:pt>
                <c:pt idx="96">
                  <c:v>2.5609999999999999</c:v>
                </c:pt>
                <c:pt idx="97">
                  <c:v>2.5609999999999999</c:v>
                </c:pt>
                <c:pt idx="98">
                  <c:v>2.5609999999999999</c:v>
                </c:pt>
                <c:pt idx="99">
                  <c:v>2.581</c:v>
                </c:pt>
                <c:pt idx="100">
                  <c:v>2.7959999999999998</c:v>
                </c:pt>
                <c:pt idx="101">
                  <c:v>2.7959999999999998</c:v>
                </c:pt>
                <c:pt idx="102">
                  <c:v>2.7959999999999998</c:v>
                </c:pt>
                <c:pt idx="103">
                  <c:v>2.7959999999999998</c:v>
                </c:pt>
                <c:pt idx="104">
                  <c:v>2.7959999999999998</c:v>
                </c:pt>
                <c:pt idx="105">
                  <c:v>2.7959999999999998</c:v>
                </c:pt>
                <c:pt idx="106">
                  <c:v>2.7959999999999998</c:v>
                </c:pt>
                <c:pt idx="107">
                  <c:v>2.613</c:v>
                </c:pt>
                <c:pt idx="108">
                  <c:v>2.613</c:v>
                </c:pt>
                <c:pt idx="109">
                  <c:v>2.6509999999999998</c:v>
                </c:pt>
                <c:pt idx="110">
                  <c:v>2.6509999999999998</c:v>
                </c:pt>
                <c:pt idx="111">
                  <c:v>2.6509999999999998</c:v>
                </c:pt>
                <c:pt idx="112">
                  <c:v>2.58</c:v>
                </c:pt>
                <c:pt idx="113">
                  <c:v>2.5499999999999998</c:v>
                </c:pt>
                <c:pt idx="114">
                  <c:v>2.5249999999999999</c:v>
                </c:pt>
                <c:pt idx="115">
                  <c:v>2.5350000000000001</c:v>
                </c:pt>
                <c:pt idx="116">
                  <c:v>2.5350000000000001</c:v>
                </c:pt>
                <c:pt idx="117">
                  <c:v>2.5350000000000001</c:v>
                </c:pt>
                <c:pt idx="118">
                  <c:v>2.5350000000000001</c:v>
                </c:pt>
                <c:pt idx="119">
                  <c:v>2.5350000000000001</c:v>
                </c:pt>
                <c:pt idx="120">
                  <c:v>2.5350000000000001</c:v>
                </c:pt>
                <c:pt idx="121">
                  <c:v>2.7</c:v>
                </c:pt>
                <c:pt idx="122">
                  <c:v>2.7</c:v>
                </c:pt>
                <c:pt idx="123">
                  <c:v>2.7</c:v>
                </c:pt>
                <c:pt idx="124">
                  <c:v>2.7</c:v>
                </c:pt>
                <c:pt idx="125">
                  <c:v>2.7</c:v>
                </c:pt>
                <c:pt idx="126">
                  <c:v>2.7</c:v>
                </c:pt>
                <c:pt idx="127">
                  <c:v>2.7</c:v>
                </c:pt>
                <c:pt idx="128">
                  <c:v>2.7</c:v>
                </c:pt>
                <c:pt idx="129">
                  <c:v>2.7</c:v>
                </c:pt>
                <c:pt idx="130">
                  <c:v>2.6</c:v>
                </c:pt>
                <c:pt idx="131">
                  <c:v>2.6</c:v>
                </c:pt>
                <c:pt idx="132">
                  <c:v>2.6</c:v>
                </c:pt>
                <c:pt idx="133">
                  <c:v>2.69</c:v>
                </c:pt>
                <c:pt idx="134">
                  <c:v>2.69</c:v>
                </c:pt>
                <c:pt idx="135">
                  <c:v>2.69</c:v>
                </c:pt>
                <c:pt idx="136">
                  <c:v>2.69</c:v>
                </c:pt>
                <c:pt idx="137">
                  <c:v>2.6</c:v>
                </c:pt>
                <c:pt idx="138">
                  <c:v>2.6</c:v>
                </c:pt>
                <c:pt idx="139">
                  <c:v>2.6</c:v>
                </c:pt>
                <c:pt idx="140">
                  <c:v>2.6</c:v>
                </c:pt>
                <c:pt idx="141">
                  <c:v>2.6</c:v>
                </c:pt>
                <c:pt idx="142">
                  <c:v>2.65</c:v>
                </c:pt>
                <c:pt idx="143">
                  <c:v>2.65</c:v>
                </c:pt>
                <c:pt idx="144">
                  <c:v>2.65</c:v>
                </c:pt>
                <c:pt idx="145">
                  <c:v>2.65</c:v>
                </c:pt>
                <c:pt idx="146">
                  <c:v>2.65</c:v>
                </c:pt>
                <c:pt idx="147">
                  <c:v>2.65</c:v>
                </c:pt>
                <c:pt idx="148">
                  <c:v>2.65</c:v>
                </c:pt>
                <c:pt idx="149">
                  <c:v>2.65</c:v>
                </c:pt>
                <c:pt idx="150">
                  <c:v>2.69</c:v>
                </c:pt>
                <c:pt idx="151">
                  <c:v>2.69</c:v>
                </c:pt>
                <c:pt idx="152">
                  <c:v>2.69</c:v>
                </c:pt>
                <c:pt idx="153">
                  <c:v>2.69</c:v>
                </c:pt>
                <c:pt idx="154">
                  <c:v>2.69</c:v>
                </c:pt>
                <c:pt idx="155">
                  <c:v>2.69</c:v>
                </c:pt>
                <c:pt idx="156">
                  <c:v>2.69</c:v>
                </c:pt>
                <c:pt idx="157">
                  <c:v>2.69</c:v>
                </c:pt>
                <c:pt idx="158">
                  <c:v>2.69</c:v>
                </c:pt>
                <c:pt idx="159">
                  <c:v>2.69</c:v>
                </c:pt>
                <c:pt idx="160">
                  <c:v>2.69</c:v>
                </c:pt>
                <c:pt idx="161">
                  <c:v>2.69</c:v>
                </c:pt>
                <c:pt idx="162">
                  <c:v>2.69</c:v>
                </c:pt>
                <c:pt idx="163">
                  <c:v>2.69</c:v>
                </c:pt>
                <c:pt idx="164">
                  <c:v>2.5</c:v>
                </c:pt>
                <c:pt idx="165">
                  <c:v>2.5</c:v>
                </c:pt>
                <c:pt idx="166">
                  <c:v>2.5</c:v>
                </c:pt>
                <c:pt idx="167">
                  <c:v>2.5</c:v>
                </c:pt>
                <c:pt idx="168">
                  <c:v>2.5</c:v>
                </c:pt>
                <c:pt idx="169">
                  <c:v>2.5</c:v>
                </c:pt>
                <c:pt idx="170">
                  <c:v>2.5</c:v>
                </c:pt>
                <c:pt idx="171">
                  <c:v>2.5</c:v>
                </c:pt>
                <c:pt idx="172">
                  <c:v>2.5</c:v>
                </c:pt>
                <c:pt idx="173">
                  <c:v>2.5</c:v>
                </c:pt>
                <c:pt idx="174">
                  <c:v>2.5</c:v>
                </c:pt>
                <c:pt idx="175">
                  <c:v>2.5</c:v>
                </c:pt>
                <c:pt idx="176">
                  <c:v>2.5</c:v>
                </c:pt>
                <c:pt idx="177">
                  <c:v>2.5</c:v>
                </c:pt>
                <c:pt idx="178">
                  <c:v>2.5</c:v>
                </c:pt>
                <c:pt idx="179">
                  <c:v>2.69</c:v>
                </c:pt>
              </c:numCache>
            </c:numRef>
          </c:val>
          <c:smooth val="0"/>
        </c:ser>
        <c:ser>
          <c:idx val="2"/>
          <c:order val="3"/>
          <c:tx>
            <c:strRef>
              <c:f>'BSO daily'!$H$1</c:f>
              <c:strCache>
                <c:ptCount val="1"/>
                <c:pt idx="0">
                  <c:v>Цена Н1 2013</c:v>
                </c:pt>
              </c:strCache>
            </c:strRef>
          </c:tx>
          <c:spPr>
            <a:ln w="6350">
              <a:solidFill>
                <a:schemeClr val="tx2">
                  <a:lumMod val="60000"/>
                  <a:lumOff val="40000"/>
                </a:schemeClr>
              </a:solidFill>
            </a:ln>
          </c:spPr>
          <c:marker>
            <c:symbol val="none"/>
          </c:marker>
          <c:val>
            <c:numRef>
              <c:f>'BSO daily'!$H$2:$H$181</c:f>
              <c:numCache>
                <c:formatCode>#,##0.000\ "лв."</c:formatCode>
                <c:ptCount val="180"/>
                <c:pt idx="0">
                  <c:v>2.79</c:v>
                </c:pt>
                <c:pt idx="1">
                  <c:v>2.79</c:v>
                </c:pt>
                <c:pt idx="2">
                  <c:v>2.79</c:v>
                </c:pt>
                <c:pt idx="3">
                  <c:v>2.79</c:v>
                </c:pt>
                <c:pt idx="4">
                  <c:v>2.79</c:v>
                </c:pt>
                <c:pt idx="5">
                  <c:v>2.79</c:v>
                </c:pt>
                <c:pt idx="6">
                  <c:v>2.79</c:v>
                </c:pt>
                <c:pt idx="7">
                  <c:v>2.79</c:v>
                </c:pt>
                <c:pt idx="8">
                  <c:v>2.79</c:v>
                </c:pt>
                <c:pt idx="9">
                  <c:v>2.91</c:v>
                </c:pt>
                <c:pt idx="10">
                  <c:v>2.91</c:v>
                </c:pt>
                <c:pt idx="11">
                  <c:v>2.91</c:v>
                </c:pt>
                <c:pt idx="12">
                  <c:v>2.92</c:v>
                </c:pt>
                <c:pt idx="13">
                  <c:v>2.92</c:v>
                </c:pt>
                <c:pt idx="14">
                  <c:v>2.92</c:v>
                </c:pt>
                <c:pt idx="15">
                  <c:v>2.92</c:v>
                </c:pt>
                <c:pt idx="16">
                  <c:v>2.91</c:v>
                </c:pt>
                <c:pt idx="17">
                  <c:v>2.91</c:v>
                </c:pt>
                <c:pt idx="18">
                  <c:v>2.91</c:v>
                </c:pt>
                <c:pt idx="19">
                  <c:v>2.94</c:v>
                </c:pt>
                <c:pt idx="20">
                  <c:v>2.94</c:v>
                </c:pt>
                <c:pt idx="21">
                  <c:v>2.94</c:v>
                </c:pt>
                <c:pt idx="22">
                  <c:v>2.93</c:v>
                </c:pt>
                <c:pt idx="23">
                  <c:v>2.93</c:v>
                </c:pt>
                <c:pt idx="24">
                  <c:v>2.93</c:v>
                </c:pt>
                <c:pt idx="25">
                  <c:v>2.93</c:v>
                </c:pt>
                <c:pt idx="26">
                  <c:v>2.84</c:v>
                </c:pt>
                <c:pt idx="27">
                  <c:v>2.9</c:v>
                </c:pt>
                <c:pt idx="28">
                  <c:v>2.94</c:v>
                </c:pt>
                <c:pt idx="29">
                  <c:v>2.96</c:v>
                </c:pt>
                <c:pt idx="30">
                  <c:v>2.96</c:v>
                </c:pt>
                <c:pt idx="31">
                  <c:v>2.96</c:v>
                </c:pt>
                <c:pt idx="32">
                  <c:v>2.96</c:v>
                </c:pt>
                <c:pt idx="33">
                  <c:v>2.96</c:v>
                </c:pt>
                <c:pt idx="34">
                  <c:v>2.96</c:v>
                </c:pt>
                <c:pt idx="35">
                  <c:v>2.9</c:v>
                </c:pt>
                <c:pt idx="36">
                  <c:v>2.9750000000000001</c:v>
                </c:pt>
                <c:pt idx="37">
                  <c:v>3.26</c:v>
                </c:pt>
                <c:pt idx="38">
                  <c:v>3.26</c:v>
                </c:pt>
                <c:pt idx="39">
                  <c:v>3.26</c:v>
                </c:pt>
                <c:pt idx="40">
                  <c:v>3.47</c:v>
                </c:pt>
                <c:pt idx="41">
                  <c:v>3.22</c:v>
                </c:pt>
                <c:pt idx="42">
                  <c:v>3.22</c:v>
                </c:pt>
                <c:pt idx="43">
                  <c:v>3.11</c:v>
                </c:pt>
                <c:pt idx="44">
                  <c:v>3.11</c:v>
                </c:pt>
                <c:pt idx="45">
                  <c:v>3.11</c:v>
                </c:pt>
                <c:pt idx="46">
                  <c:v>3.11</c:v>
                </c:pt>
                <c:pt idx="47">
                  <c:v>3</c:v>
                </c:pt>
                <c:pt idx="48">
                  <c:v>3.2490000000000001</c:v>
                </c:pt>
                <c:pt idx="49">
                  <c:v>2.7759999999999998</c:v>
                </c:pt>
                <c:pt idx="50">
                  <c:v>2.7759999999999998</c:v>
                </c:pt>
                <c:pt idx="51">
                  <c:v>2.7759999999999998</c:v>
                </c:pt>
                <c:pt idx="52">
                  <c:v>2.7759999999999998</c:v>
                </c:pt>
                <c:pt idx="53">
                  <c:v>2.7759999999999998</c:v>
                </c:pt>
                <c:pt idx="54">
                  <c:v>2.7759999999999998</c:v>
                </c:pt>
                <c:pt idx="55">
                  <c:v>2.66</c:v>
                </c:pt>
                <c:pt idx="56">
                  <c:v>2.66</c:v>
                </c:pt>
                <c:pt idx="57">
                  <c:v>2.9180000000000001</c:v>
                </c:pt>
                <c:pt idx="58">
                  <c:v>2.76</c:v>
                </c:pt>
                <c:pt idx="59">
                  <c:v>2.76</c:v>
                </c:pt>
                <c:pt idx="60">
                  <c:v>2.76</c:v>
                </c:pt>
                <c:pt idx="61">
                  <c:v>2.677</c:v>
                </c:pt>
                <c:pt idx="62">
                  <c:v>2.677</c:v>
                </c:pt>
                <c:pt idx="63">
                  <c:v>2.677</c:v>
                </c:pt>
                <c:pt idx="64">
                  <c:v>2.794</c:v>
                </c:pt>
                <c:pt idx="65">
                  <c:v>2.7749999999999999</c:v>
                </c:pt>
                <c:pt idx="66">
                  <c:v>2.7749999999999999</c:v>
                </c:pt>
                <c:pt idx="67">
                  <c:v>2.7749999999999999</c:v>
                </c:pt>
                <c:pt idx="68">
                  <c:v>2.7</c:v>
                </c:pt>
                <c:pt idx="69">
                  <c:v>2.88</c:v>
                </c:pt>
                <c:pt idx="70">
                  <c:v>2.88</c:v>
                </c:pt>
                <c:pt idx="71">
                  <c:v>2.67</c:v>
                </c:pt>
                <c:pt idx="72">
                  <c:v>2.75</c:v>
                </c:pt>
                <c:pt idx="73">
                  <c:v>2.75</c:v>
                </c:pt>
                <c:pt idx="74">
                  <c:v>2.75</c:v>
                </c:pt>
                <c:pt idx="75">
                  <c:v>2.85</c:v>
                </c:pt>
                <c:pt idx="76">
                  <c:v>2.85</c:v>
                </c:pt>
                <c:pt idx="77">
                  <c:v>2.85</c:v>
                </c:pt>
                <c:pt idx="78">
                  <c:v>2.681</c:v>
                </c:pt>
                <c:pt idx="79">
                  <c:v>2.7989999999999999</c:v>
                </c:pt>
                <c:pt idx="80">
                  <c:v>2.7989999999999999</c:v>
                </c:pt>
                <c:pt idx="81">
                  <c:v>2.7989999999999999</c:v>
                </c:pt>
                <c:pt idx="82">
                  <c:v>2.7989999999999999</c:v>
                </c:pt>
                <c:pt idx="83">
                  <c:v>2.7989999999999999</c:v>
                </c:pt>
                <c:pt idx="84">
                  <c:v>2.75</c:v>
                </c:pt>
                <c:pt idx="85">
                  <c:v>2.75</c:v>
                </c:pt>
                <c:pt idx="86">
                  <c:v>2.75</c:v>
                </c:pt>
                <c:pt idx="87">
                  <c:v>2.75</c:v>
                </c:pt>
                <c:pt idx="88">
                  <c:v>2.75</c:v>
                </c:pt>
                <c:pt idx="89">
                  <c:v>2.75</c:v>
                </c:pt>
                <c:pt idx="90">
                  <c:v>2.75</c:v>
                </c:pt>
                <c:pt idx="91">
                  <c:v>2.75</c:v>
                </c:pt>
                <c:pt idx="92">
                  <c:v>2.75</c:v>
                </c:pt>
                <c:pt idx="93">
                  <c:v>2.75</c:v>
                </c:pt>
                <c:pt idx="94">
                  <c:v>2.75</c:v>
                </c:pt>
                <c:pt idx="95">
                  <c:v>2.75</c:v>
                </c:pt>
                <c:pt idx="96">
                  <c:v>2.7</c:v>
                </c:pt>
                <c:pt idx="97">
                  <c:v>2.84</c:v>
                </c:pt>
                <c:pt idx="98">
                  <c:v>2.75</c:v>
                </c:pt>
                <c:pt idx="99">
                  <c:v>2.75</c:v>
                </c:pt>
                <c:pt idx="100">
                  <c:v>2.73</c:v>
                </c:pt>
                <c:pt idx="101">
                  <c:v>2.73</c:v>
                </c:pt>
                <c:pt idx="102">
                  <c:v>2.73</c:v>
                </c:pt>
                <c:pt idx="103">
                  <c:v>2.73</c:v>
                </c:pt>
                <c:pt idx="104">
                  <c:v>2.75</c:v>
                </c:pt>
                <c:pt idx="105">
                  <c:v>2.75</c:v>
                </c:pt>
                <c:pt idx="106">
                  <c:v>2.93</c:v>
                </c:pt>
                <c:pt idx="107">
                  <c:v>2.9289999999999998</c:v>
                </c:pt>
                <c:pt idx="108">
                  <c:v>2.9289999999999998</c:v>
                </c:pt>
                <c:pt idx="109">
                  <c:v>2.9289999999999998</c:v>
                </c:pt>
                <c:pt idx="110">
                  <c:v>2.9289999999999998</c:v>
                </c:pt>
                <c:pt idx="111">
                  <c:v>2.84</c:v>
                </c:pt>
                <c:pt idx="112">
                  <c:v>2.8490000000000002</c:v>
                </c:pt>
                <c:pt idx="113">
                  <c:v>2.8</c:v>
                </c:pt>
                <c:pt idx="114">
                  <c:v>2.8</c:v>
                </c:pt>
                <c:pt idx="115">
                  <c:v>2.8</c:v>
                </c:pt>
                <c:pt idx="116">
                  <c:v>2.8</c:v>
                </c:pt>
                <c:pt idx="117">
                  <c:v>2.8</c:v>
                </c:pt>
                <c:pt idx="118">
                  <c:v>2.8</c:v>
                </c:pt>
                <c:pt idx="119">
                  <c:v>2.8</c:v>
                </c:pt>
                <c:pt idx="120">
                  <c:v>2.8</c:v>
                </c:pt>
                <c:pt idx="121">
                  <c:v>2.8</c:v>
                </c:pt>
                <c:pt idx="122">
                  <c:v>2.8</c:v>
                </c:pt>
                <c:pt idx="123">
                  <c:v>2.8</c:v>
                </c:pt>
                <c:pt idx="124">
                  <c:v>2.8</c:v>
                </c:pt>
                <c:pt idx="125">
                  <c:v>2.79</c:v>
                </c:pt>
                <c:pt idx="126">
                  <c:v>2.75</c:v>
                </c:pt>
                <c:pt idx="127">
                  <c:v>2.85</c:v>
                </c:pt>
                <c:pt idx="128">
                  <c:v>2.85</c:v>
                </c:pt>
                <c:pt idx="129">
                  <c:v>2.85</c:v>
                </c:pt>
                <c:pt idx="130">
                  <c:v>2.85</c:v>
                </c:pt>
                <c:pt idx="131">
                  <c:v>2.85</c:v>
                </c:pt>
                <c:pt idx="132">
                  <c:v>2.85</c:v>
                </c:pt>
                <c:pt idx="133">
                  <c:v>2.76</c:v>
                </c:pt>
                <c:pt idx="134">
                  <c:v>2.76</c:v>
                </c:pt>
                <c:pt idx="135">
                  <c:v>2.76</c:v>
                </c:pt>
                <c:pt idx="136">
                  <c:v>2.76</c:v>
                </c:pt>
                <c:pt idx="137">
                  <c:v>2.76</c:v>
                </c:pt>
                <c:pt idx="138">
                  <c:v>2.75</c:v>
                </c:pt>
                <c:pt idx="139">
                  <c:v>2.7</c:v>
                </c:pt>
                <c:pt idx="140">
                  <c:v>2.7</c:v>
                </c:pt>
                <c:pt idx="141">
                  <c:v>2.7050000000000001</c:v>
                </c:pt>
                <c:pt idx="142">
                  <c:v>2.7050000000000001</c:v>
                </c:pt>
                <c:pt idx="143">
                  <c:v>2.7050000000000001</c:v>
                </c:pt>
                <c:pt idx="144">
                  <c:v>2.7050000000000001</c:v>
                </c:pt>
                <c:pt idx="145">
                  <c:v>2.7050000000000001</c:v>
                </c:pt>
                <c:pt idx="146">
                  <c:v>2.71</c:v>
                </c:pt>
                <c:pt idx="147">
                  <c:v>2.72</c:v>
                </c:pt>
                <c:pt idx="148">
                  <c:v>2.72</c:v>
                </c:pt>
                <c:pt idx="149">
                  <c:v>2.7109999999999999</c:v>
                </c:pt>
                <c:pt idx="150">
                  <c:v>2.7109999999999999</c:v>
                </c:pt>
                <c:pt idx="151">
                  <c:v>2.7109999999999999</c:v>
                </c:pt>
                <c:pt idx="152">
                  <c:v>2.7</c:v>
                </c:pt>
                <c:pt idx="153">
                  <c:v>2.7</c:v>
                </c:pt>
                <c:pt idx="154">
                  <c:v>2.7</c:v>
                </c:pt>
                <c:pt idx="155">
                  <c:v>2.71</c:v>
                </c:pt>
                <c:pt idx="156">
                  <c:v>2.75</c:v>
                </c:pt>
                <c:pt idx="157">
                  <c:v>2.75</c:v>
                </c:pt>
                <c:pt idx="158">
                  <c:v>2.75</c:v>
                </c:pt>
                <c:pt idx="159">
                  <c:v>2.73</c:v>
                </c:pt>
                <c:pt idx="160">
                  <c:v>2.7440000000000002</c:v>
                </c:pt>
                <c:pt idx="161">
                  <c:v>2.75</c:v>
                </c:pt>
                <c:pt idx="162">
                  <c:v>2.75</c:v>
                </c:pt>
                <c:pt idx="163">
                  <c:v>2.7509999999999999</c:v>
                </c:pt>
                <c:pt idx="164">
                  <c:v>2.7509999999999999</c:v>
                </c:pt>
                <c:pt idx="165">
                  <c:v>2.7509999999999999</c:v>
                </c:pt>
                <c:pt idx="166">
                  <c:v>2.7749999999999999</c:v>
                </c:pt>
                <c:pt idx="167">
                  <c:v>2.7749999999999999</c:v>
                </c:pt>
                <c:pt idx="168">
                  <c:v>2.7749999999999999</c:v>
                </c:pt>
                <c:pt idx="169">
                  <c:v>2.8</c:v>
                </c:pt>
                <c:pt idx="170">
                  <c:v>2.78</c:v>
                </c:pt>
                <c:pt idx="171">
                  <c:v>2.78</c:v>
                </c:pt>
                <c:pt idx="172">
                  <c:v>2.78</c:v>
                </c:pt>
                <c:pt idx="173">
                  <c:v>2.78</c:v>
                </c:pt>
                <c:pt idx="174">
                  <c:v>2.78</c:v>
                </c:pt>
                <c:pt idx="175">
                  <c:v>2.75</c:v>
                </c:pt>
                <c:pt idx="176">
                  <c:v>2.75</c:v>
                </c:pt>
                <c:pt idx="177">
                  <c:v>2.76</c:v>
                </c:pt>
                <c:pt idx="178">
                  <c:v>2.76</c:v>
                </c:pt>
                <c:pt idx="179">
                  <c:v>2.76</c:v>
                </c:pt>
              </c:numCache>
            </c:numRef>
          </c:val>
          <c:smooth val="0"/>
        </c:ser>
        <c:dLbls>
          <c:showLegendKey val="0"/>
          <c:showVal val="0"/>
          <c:showCatName val="0"/>
          <c:showSerName val="0"/>
          <c:showPercent val="0"/>
          <c:showBubbleSize val="0"/>
        </c:dLbls>
        <c:marker val="1"/>
        <c:smooth val="0"/>
        <c:axId val="166243328"/>
        <c:axId val="166249216"/>
      </c:lineChart>
      <c:dateAx>
        <c:axId val="166243328"/>
        <c:scaling>
          <c:orientation val="minMax"/>
        </c:scaling>
        <c:delete val="0"/>
        <c:axPos val="b"/>
        <c:numFmt formatCode="dd/mm" sourceLinked="0"/>
        <c:majorTickMark val="out"/>
        <c:minorTickMark val="none"/>
        <c:tickLblPos val="nextTo"/>
        <c:txPr>
          <a:bodyPr rot="-5400000" vert="horz" anchor="t" anchorCtr="0"/>
          <a:lstStyle/>
          <a:p>
            <a:pPr>
              <a:defRPr sz="600">
                <a:latin typeface="News Gothic Cyr" pitchFamily="34" charset="-52"/>
              </a:defRPr>
            </a:pPr>
            <a:endParaRPr lang="bg-BG"/>
          </a:p>
        </c:txPr>
        <c:crossAx val="166249216"/>
        <c:crosses val="autoZero"/>
        <c:auto val="1"/>
        <c:lblOffset val="100"/>
        <c:baseTimeUnit val="days"/>
      </c:dateAx>
      <c:valAx>
        <c:axId val="166249216"/>
        <c:scaling>
          <c:orientation val="minMax"/>
          <c:min val="2.2000000000000002"/>
        </c:scaling>
        <c:delete val="0"/>
        <c:axPos val="l"/>
        <c:majorGridlines>
          <c:spPr>
            <a:ln>
              <a:solidFill>
                <a:schemeClr val="bg1">
                  <a:lumMod val="95000"/>
                </a:schemeClr>
              </a:solidFill>
            </a:ln>
          </c:spPr>
        </c:majorGridlines>
        <c:numFmt formatCode="#,##0.0\ &quot;лв.&quot;" sourceLinked="0"/>
        <c:majorTickMark val="out"/>
        <c:minorTickMark val="none"/>
        <c:tickLblPos val="nextTo"/>
        <c:txPr>
          <a:bodyPr/>
          <a:lstStyle/>
          <a:p>
            <a:pPr>
              <a:defRPr sz="600">
                <a:latin typeface="News Gothic Cyr" pitchFamily="34" charset="-52"/>
              </a:defRPr>
            </a:pPr>
            <a:endParaRPr lang="bg-BG"/>
          </a:p>
        </c:txPr>
        <c:crossAx val="166243328"/>
        <c:crosses val="autoZero"/>
        <c:crossBetween val="between"/>
      </c:valAx>
      <c:valAx>
        <c:axId val="166250752"/>
        <c:scaling>
          <c:orientation val="minMax"/>
        </c:scaling>
        <c:delete val="0"/>
        <c:axPos val="r"/>
        <c:numFmt formatCode="#,##0" sourceLinked="1"/>
        <c:majorTickMark val="out"/>
        <c:minorTickMark val="none"/>
        <c:tickLblPos val="nextTo"/>
        <c:txPr>
          <a:bodyPr/>
          <a:lstStyle/>
          <a:p>
            <a:pPr>
              <a:defRPr sz="600">
                <a:latin typeface="News Gothic Cyr" pitchFamily="34" charset="-52"/>
              </a:defRPr>
            </a:pPr>
            <a:endParaRPr lang="bg-BG"/>
          </a:p>
        </c:txPr>
        <c:crossAx val="166261120"/>
        <c:crosses val="max"/>
        <c:crossBetween val="between"/>
        <c:dispUnits>
          <c:builtInUnit val="thousands"/>
          <c:dispUnitsLbl>
            <c:layout>
              <c:manualLayout>
                <c:xMode val="edge"/>
                <c:yMode val="edge"/>
                <c:x val="0.91353291897271172"/>
                <c:y val="0.2442979002624672"/>
              </c:manualLayout>
            </c:layout>
            <c:tx>
              <c:rich>
                <a:bodyPr/>
                <a:lstStyle/>
                <a:p>
                  <a:pPr>
                    <a:defRPr sz="600">
                      <a:latin typeface="News Gothic Cyr" pitchFamily="34" charset="-52"/>
                    </a:defRPr>
                  </a:pPr>
                  <a:r>
                    <a:rPr lang="bg-BG" sz="600">
                      <a:latin typeface="News Gothic Cyr" pitchFamily="34" charset="-52"/>
                    </a:rPr>
                    <a:t>хиляди лота</a:t>
                  </a:r>
                  <a:endParaRPr lang="en-GB" sz="600">
                    <a:latin typeface="News Gothic Cyr" pitchFamily="34" charset="-52"/>
                  </a:endParaRPr>
                </a:p>
              </c:rich>
            </c:tx>
          </c:dispUnitsLbl>
        </c:dispUnits>
      </c:valAx>
      <c:dateAx>
        <c:axId val="166261120"/>
        <c:scaling>
          <c:orientation val="minMax"/>
        </c:scaling>
        <c:delete val="1"/>
        <c:axPos val="b"/>
        <c:numFmt formatCode="m/d/yyyy\ h:mm" sourceLinked="1"/>
        <c:majorTickMark val="out"/>
        <c:minorTickMark val="none"/>
        <c:tickLblPos val="nextTo"/>
        <c:crossAx val="166250752"/>
        <c:crosses val="autoZero"/>
        <c:auto val="1"/>
        <c:lblOffset val="100"/>
        <c:baseTimeUnit val="days"/>
      </c:dateAx>
    </c:plotArea>
    <c:legend>
      <c:legendPos val="t"/>
      <c:overlay val="0"/>
    </c:legend>
    <c:plotVisOnly val="1"/>
    <c:dispBlanksAs val="gap"/>
    <c:showDLblsOverMax val="0"/>
  </c:chart>
  <c:spPr>
    <a:noFill/>
    <a:ln>
      <a:noFill/>
    </a:ln>
    <a:effectLst>
      <a:outerShdw blurRad="50800" dist="38100" dir="2700000" algn="tl" rotWithShape="0">
        <a:prstClr val="black">
          <a:alpha val="40000"/>
        </a:prstClr>
      </a:outerShdw>
    </a:effectLst>
  </c:sp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532583764867229E-2"/>
          <c:y val="5.0925925925925923E-2"/>
          <c:w val="0.87917612494384145"/>
          <c:h val="0.77567213736837215"/>
        </c:manualLayout>
      </c:layout>
      <c:lineChart>
        <c:grouping val="standard"/>
        <c:varyColors val="0"/>
        <c:ser>
          <c:idx val="0"/>
          <c:order val="0"/>
          <c:spPr>
            <a:ln>
              <a:solidFill>
                <a:schemeClr val="accent2"/>
              </a:solidFill>
            </a:ln>
          </c:spPr>
          <c:marker>
            <c:symbol val="none"/>
          </c:marker>
          <c:cat>
            <c:numRef>
              <c:f>Index!$C$486:$C$666</c:f>
              <c:numCache>
                <c:formatCode>m/d/yyyy\ h:mm</c:formatCode>
                <c:ptCount val="181"/>
                <c:pt idx="0">
                  <c:v>41275.71875</c:v>
                </c:pt>
                <c:pt idx="1">
                  <c:v>41276.71875</c:v>
                </c:pt>
                <c:pt idx="2">
                  <c:v>41277.71875</c:v>
                </c:pt>
                <c:pt idx="3">
                  <c:v>41278.71875</c:v>
                </c:pt>
                <c:pt idx="4">
                  <c:v>41279.71875</c:v>
                </c:pt>
                <c:pt idx="5">
                  <c:v>41280.71875</c:v>
                </c:pt>
                <c:pt idx="6">
                  <c:v>41281.71875</c:v>
                </c:pt>
                <c:pt idx="7">
                  <c:v>41282.71875</c:v>
                </c:pt>
                <c:pt idx="8">
                  <c:v>41283.71875</c:v>
                </c:pt>
                <c:pt idx="9">
                  <c:v>41284.71875</c:v>
                </c:pt>
                <c:pt idx="10">
                  <c:v>41285.71875</c:v>
                </c:pt>
                <c:pt idx="11">
                  <c:v>41286.71875</c:v>
                </c:pt>
                <c:pt idx="12">
                  <c:v>41287.71875</c:v>
                </c:pt>
                <c:pt idx="13">
                  <c:v>41288.71875</c:v>
                </c:pt>
                <c:pt idx="14">
                  <c:v>41289.71875</c:v>
                </c:pt>
                <c:pt idx="15">
                  <c:v>41290.71875</c:v>
                </c:pt>
                <c:pt idx="16">
                  <c:v>41291.71875</c:v>
                </c:pt>
                <c:pt idx="17">
                  <c:v>41292.71875</c:v>
                </c:pt>
                <c:pt idx="18">
                  <c:v>41293.71875</c:v>
                </c:pt>
                <c:pt idx="19">
                  <c:v>41294.71875</c:v>
                </c:pt>
                <c:pt idx="20">
                  <c:v>41295.71875</c:v>
                </c:pt>
                <c:pt idx="21">
                  <c:v>41296.71875</c:v>
                </c:pt>
                <c:pt idx="22">
                  <c:v>41297.71875</c:v>
                </c:pt>
                <c:pt idx="23">
                  <c:v>41298.71875</c:v>
                </c:pt>
                <c:pt idx="24">
                  <c:v>41299.71875</c:v>
                </c:pt>
                <c:pt idx="25">
                  <c:v>41300.71875</c:v>
                </c:pt>
                <c:pt idx="26">
                  <c:v>41301.71875</c:v>
                </c:pt>
                <c:pt idx="27">
                  <c:v>41302.71875</c:v>
                </c:pt>
                <c:pt idx="28">
                  <c:v>41303.71875</c:v>
                </c:pt>
                <c:pt idx="29">
                  <c:v>41304.71875</c:v>
                </c:pt>
                <c:pt idx="30">
                  <c:v>41305.71875</c:v>
                </c:pt>
                <c:pt idx="31">
                  <c:v>41306.71875</c:v>
                </c:pt>
                <c:pt idx="32">
                  <c:v>41307.71875</c:v>
                </c:pt>
                <c:pt idx="33">
                  <c:v>41308.71875</c:v>
                </c:pt>
                <c:pt idx="34">
                  <c:v>41309.71875</c:v>
                </c:pt>
                <c:pt idx="35">
                  <c:v>41310.71875</c:v>
                </c:pt>
                <c:pt idx="36">
                  <c:v>41311.71875</c:v>
                </c:pt>
                <c:pt idx="37">
                  <c:v>41312.71875</c:v>
                </c:pt>
                <c:pt idx="38">
                  <c:v>41313.71875</c:v>
                </c:pt>
                <c:pt idx="39">
                  <c:v>41314.71875</c:v>
                </c:pt>
                <c:pt idx="40">
                  <c:v>41315.71875</c:v>
                </c:pt>
                <c:pt idx="41">
                  <c:v>41316.71875</c:v>
                </c:pt>
                <c:pt idx="42">
                  <c:v>41317.71875</c:v>
                </c:pt>
                <c:pt idx="43">
                  <c:v>41318.71875</c:v>
                </c:pt>
                <c:pt idx="44">
                  <c:v>41319.71875</c:v>
                </c:pt>
                <c:pt idx="45">
                  <c:v>41320.71875</c:v>
                </c:pt>
                <c:pt idx="46">
                  <c:v>41321.71875</c:v>
                </c:pt>
                <c:pt idx="47">
                  <c:v>41322.71875</c:v>
                </c:pt>
                <c:pt idx="48">
                  <c:v>41323.71875</c:v>
                </c:pt>
                <c:pt idx="49">
                  <c:v>41324.71875</c:v>
                </c:pt>
                <c:pt idx="50">
                  <c:v>41325.71875</c:v>
                </c:pt>
                <c:pt idx="51">
                  <c:v>41326.71875</c:v>
                </c:pt>
                <c:pt idx="52">
                  <c:v>41327.71875</c:v>
                </c:pt>
                <c:pt idx="53">
                  <c:v>41328.71875</c:v>
                </c:pt>
                <c:pt idx="54">
                  <c:v>41329.71875</c:v>
                </c:pt>
                <c:pt idx="55">
                  <c:v>41330.71875</c:v>
                </c:pt>
                <c:pt idx="56">
                  <c:v>41331.71875</c:v>
                </c:pt>
                <c:pt idx="57">
                  <c:v>41332.71875</c:v>
                </c:pt>
                <c:pt idx="58">
                  <c:v>41333.71875</c:v>
                </c:pt>
                <c:pt idx="59">
                  <c:v>41334.71875</c:v>
                </c:pt>
                <c:pt idx="60">
                  <c:v>41335.71875</c:v>
                </c:pt>
                <c:pt idx="61">
                  <c:v>41336.71875</c:v>
                </c:pt>
                <c:pt idx="62">
                  <c:v>41337.71875</c:v>
                </c:pt>
                <c:pt idx="63">
                  <c:v>41338.71875</c:v>
                </c:pt>
                <c:pt idx="64">
                  <c:v>41339.71875</c:v>
                </c:pt>
                <c:pt idx="65">
                  <c:v>41340.71875</c:v>
                </c:pt>
                <c:pt idx="66">
                  <c:v>41341.71875</c:v>
                </c:pt>
                <c:pt idx="67">
                  <c:v>41342.71875</c:v>
                </c:pt>
                <c:pt idx="68">
                  <c:v>41343.71875</c:v>
                </c:pt>
                <c:pt idx="69">
                  <c:v>41344.71875</c:v>
                </c:pt>
                <c:pt idx="70">
                  <c:v>41345.71875</c:v>
                </c:pt>
                <c:pt idx="71">
                  <c:v>41346.71875</c:v>
                </c:pt>
                <c:pt idx="72">
                  <c:v>41347.71875</c:v>
                </c:pt>
                <c:pt idx="73">
                  <c:v>41348.71875</c:v>
                </c:pt>
                <c:pt idx="74">
                  <c:v>41349.71875</c:v>
                </c:pt>
                <c:pt idx="75">
                  <c:v>41350.71875</c:v>
                </c:pt>
                <c:pt idx="76">
                  <c:v>41351.71875</c:v>
                </c:pt>
                <c:pt idx="77">
                  <c:v>41352.71875</c:v>
                </c:pt>
                <c:pt idx="78">
                  <c:v>41353.71875</c:v>
                </c:pt>
                <c:pt idx="79">
                  <c:v>41354.71875</c:v>
                </c:pt>
                <c:pt idx="80">
                  <c:v>41355.71875</c:v>
                </c:pt>
                <c:pt idx="81">
                  <c:v>41356.71875</c:v>
                </c:pt>
                <c:pt idx="82">
                  <c:v>41357.71875</c:v>
                </c:pt>
                <c:pt idx="83">
                  <c:v>41358.71875</c:v>
                </c:pt>
                <c:pt idx="84">
                  <c:v>41359.71875</c:v>
                </c:pt>
                <c:pt idx="85">
                  <c:v>41360.71875</c:v>
                </c:pt>
                <c:pt idx="86">
                  <c:v>41361.71875</c:v>
                </c:pt>
                <c:pt idx="87">
                  <c:v>41362.71875</c:v>
                </c:pt>
                <c:pt idx="88">
                  <c:v>41363.71875</c:v>
                </c:pt>
                <c:pt idx="89">
                  <c:v>41364.71875</c:v>
                </c:pt>
                <c:pt idx="90">
                  <c:v>41365.71875</c:v>
                </c:pt>
                <c:pt idx="91">
                  <c:v>41366.71875</c:v>
                </c:pt>
                <c:pt idx="92">
                  <c:v>41367.71875</c:v>
                </c:pt>
                <c:pt idx="93">
                  <c:v>41368.71875</c:v>
                </c:pt>
                <c:pt idx="94">
                  <c:v>41369.71875</c:v>
                </c:pt>
                <c:pt idx="95">
                  <c:v>41370.71875</c:v>
                </c:pt>
                <c:pt idx="96">
                  <c:v>41371.71875</c:v>
                </c:pt>
                <c:pt idx="97">
                  <c:v>41372.71875</c:v>
                </c:pt>
                <c:pt idx="98">
                  <c:v>41373.71875</c:v>
                </c:pt>
                <c:pt idx="99">
                  <c:v>41374.71875</c:v>
                </c:pt>
                <c:pt idx="100">
                  <c:v>41375.71875</c:v>
                </c:pt>
                <c:pt idx="101">
                  <c:v>41376.71875</c:v>
                </c:pt>
                <c:pt idx="102">
                  <c:v>41377.71875</c:v>
                </c:pt>
                <c:pt idx="103">
                  <c:v>41378.71875</c:v>
                </c:pt>
                <c:pt idx="104">
                  <c:v>41379.71875</c:v>
                </c:pt>
                <c:pt idx="105">
                  <c:v>41380.71875</c:v>
                </c:pt>
                <c:pt idx="106">
                  <c:v>41381.71875</c:v>
                </c:pt>
                <c:pt idx="107">
                  <c:v>41382.71875</c:v>
                </c:pt>
                <c:pt idx="108">
                  <c:v>41383.71875</c:v>
                </c:pt>
                <c:pt idx="109">
                  <c:v>41384.71875</c:v>
                </c:pt>
                <c:pt idx="110">
                  <c:v>41385.71875</c:v>
                </c:pt>
                <c:pt idx="111">
                  <c:v>41386.71875</c:v>
                </c:pt>
                <c:pt idx="112">
                  <c:v>41387.71875</c:v>
                </c:pt>
                <c:pt idx="113">
                  <c:v>41388.71875</c:v>
                </c:pt>
                <c:pt idx="114">
                  <c:v>41389.71875</c:v>
                </c:pt>
                <c:pt idx="115">
                  <c:v>41390.71875</c:v>
                </c:pt>
                <c:pt idx="116">
                  <c:v>41391.71875</c:v>
                </c:pt>
                <c:pt idx="117">
                  <c:v>41392.71875</c:v>
                </c:pt>
                <c:pt idx="118">
                  <c:v>41393.71875</c:v>
                </c:pt>
                <c:pt idx="119">
                  <c:v>41394.71875</c:v>
                </c:pt>
                <c:pt idx="120">
                  <c:v>41395.71875</c:v>
                </c:pt>
                <c:pt idx="121">
                  <c:v>41396.71875</c:v>
                </c:pt>
                <c:pt idx="122">
                  <c:v>41397.71875</c:v>
                </c:pt>
                <c:pt idx="123">
                  <c:v>41398.71875</c:v>
                </c:pt>
                <c:pt idx="124">
                  <c:v>41399.71875</c:v>
                </c:pt>
                <c:pt idx="125">
                  <c:v>41400.71875</c:v>
                </c:pt>
                <c:pt idx="126">
                  <c:v>41401.71875</c:v>
                </c:pt>
                <c:pt idx="127">
                  <c:v>41402.71875</c:v>
                </c:pt>
                <c:pt idx="128">
                  <c:v>41403.71875</c:v>
                </c:pt>
                <c:pt idx="129">
                  <c:v>41404.71875</c:v>
                </c:pt>
                <c:pt idx="130">
                  <c:v>41405.71875</c:v>
                </c:pt>
                <c:pt idx="131">
                  <c:v>41406.71875</c:v>
                </c:pt>
                <c:pt idx="132">
                  <c:v>41407.71875</c:v>
                </c:pt>
                <c:pt idx="133">
                  <c:v>41408.71875</c:v>
                </c:pt>
                <c:pt idx="134">
                  <c:v>41409.71875</c:v>
                </c:pt>
                <c:pt idx="135">
                  <c:v>41410.71875</c:v>
                </c:pt>
                <c:pt idx="136">
                  <c:v>41411.71875</c:v>
                </c:pt>
                <c:pt idx="137">
                  <c:v>41412.71875</c:v>
                </c:pt>
                <c:pt idx="138">
                  <c:v>41413.71875</c:v>
                </c:pt>
                <c:pt idx="139">
                  <c:v>41414.71875</c:v>
                </c:pt>
                <c:pt idx="140">
                  <c:v>41415.71875</c:v>
                </c:pt>
                <c:pt idx="141">
                  <c:v>41416.71875</c:v>
                </c:pt>
                <c:pt idx="142">
                  <c:v>41417.71875</c:v>
                </c:pt>
                <c:pt idx="143">
                  <c:v>41418.71875</c:v>
                </c:pt>
                <c:pt idx="144">
                  <c:v>41419.71875</c:v>
                </c:pt>
                <c:pt idx="145">
                  <c:v>41420.71875</c:v>
                </c:pt>
                <c:pt idx="146">
                  <c:v>41421.71875</c:v>
                </c:pt>
                <c:pt idx="147">
                  <c:v>41422.71875</c:v>
                </c:pt>
                <c:pt idx="148">
                  <c:v>41423.71875</c:v>
                </c:pt>
                <c:pt idx="149">
                  <c:v>41424.71875</c:v>
                </c:pt>
                <c:pt idx="150">
                  <c:v>41425.71875</c:v>
                </c:pt>
                <c:pt idx="151">
                  <c:v>41426.71875</c:v>
                </c:pt>
                <c:pt idx="152">
                  <c:v>41427.71875</c:v>
                </c:pt>
                <c:pt idx="153">
                  <c:v>41428.71875</c:v>
                </c:pt>
                <c:pt idx="154">
                  <c:v>41429.71875</c:v>
                </c:pt>
                <c:pt idx="155">
                  <c:v>41430.71875</c:v>
                </c:pt>
                <c:pt idx="156">
                  <c:v>41431.71875</c:v>
                </c:pt>
                <c:pt idx="157">
                  <c:v>41432.71875</c:v>
                </c:pt>
                <c:pt idx="158">
                  <c:v>41433.71875</c:v>
                </c:pt>
                <c:pt idx="159">
                  <c:v>41434.71875</c:v>
                </c:pt>
                <c:pt idx="160">
                  <c:v>41435.71875</c:v>
                </c:pt>
                <c:pt idx="161">
                  <c:v>41436.71875</c:v>
                </c:pt>
                <c:pt idx="162">
                  <c:v>41437.71875</c:v>
                </c:pt>
                <c:pt idx="163">
                  <c:v>41438.71875</c:v>
                </c:pt>
                <c:pt idx="164">
                  <c:v>41439.71875</c:v>
                </c:pt>
                <c:pt idx="165">
                  <c:v>41440.71875</c:v>
                </c:pt>
                <c:pt idx="166">
                  <c:v>41441.71875</c:v>
                </c:pt>
                <c:pt idx="167">
                  <c:v>41442.71875</c:v>
                </c:pt>
                <c:pt idx="168">
                  <c:v>41443.71875</c:v>
                </c:pt>
                <c:pt idx="169">
                  <c:v>41444.71875</c:v>
                </c:pt>
                <c:pt idx="170">
                  <c:v>41445.71875</c:v>
                </c:pt>
                <c:pt idx="171">
                  <c:v>41446.71875</c:v>
                </c:pt>
                <c:pt idx="172">
                  <c:v>41447.71875</c:v>
                </c:pt>
                <c:pt idx="173">
                  <c:v>41448.71875</c:v>
                </c:pt>
                <c:pt idx="174">
                  <c:v>41449.71875</c:v>
                </c:pt>
                <c:pt idx="175">
                  <c:v>41450.71875</c:v>
                </c:pt>
                <c:pt idx="176">
                  <c:v>41451.71875</c:v>
                </c:pt>
                <c:pt idx="177">
                  <c:v>41452.71875</c:v>
                </c:pt>
                <c:pt idx="178">
                  <c:v>41453.71875</c:v>
                </c:pt>
                <c:pt idx="179">
                  <c:v>41454.71875</c:v>
                </c:pt>
                <c:pt idx="180">
                  <c:v>41455.71875</c:v>
                </c:pt>
              </c:numCache>
            </c:numRef>
          </c:cat>
          <c:val>
            <c:numRef>
              <c:f>Index!$D$486:$D$666</c:f>
              <c:numCache>
                <c:formatCode>General</c:formatCode>
                <c:ptCount val="181"/>
                <c:pt idx="0">
                  <c:v>75.66</c:v>
                </c:pt>
                <c:pt idx="1">
                  <c:v>75.61999999999999</c:v>
                </c:pt>
                <c:pt idx="2">
                  <c:v>76.239999999999995</c:v>
                </c:pt>
                <c:pt idx="3">
                  <c:v>76.89</c:v>
                </c:pt>
                <c:pt idx="4">
                  <c:v>76.89</c:v>
                </c:pt>
                <c:pt idx="5">
                  <c:v>76.89</c:v>
                </c:pt>
                <c:pt idx="6">
                  <c:v>75.989999999999995</c:v>
                </c:pt>
                <c:pt idx="7">
                  <c:v>78</c:v>
                </c:pt>
                <c:pt idx="8">
                  <c:v>81.410000000000025</c:v>
                </c:pt>
                <c:pt idx="9">
                  <c:v>83.98</c:v>
                </c:pt>
                <c:pt idx="10">
                  <c:v>83.990000000000023</c:v>
                </c:pt>
                <c:pt idx="11">
                  <c:v>83.990000000000023</c:v>
                </c:pt>
                <c:pt idx="12">
                  <c:v>83.990000000000023</c:v>
                </c:pt>
                <c:pt idx="13">
                  <c:v>83.7</c:v>
                </c:pt>
                <c:pt idx="14">
                  <c:v>81.459999999999994</c:v>
                </c:pt>
                <c:pt idx="15">
                  <c:v>81.22</c:v>
                </c:pt>
                <c:pt idx="16">
                  <c:v>82.58</c:v>
                </c:pt>
                <c:pt idx="17">
                  <c:v>81.75</c:v>
                </c:pt>
                <c:pt idx="18">
                  <c:v>81.75</c:v>
                </c:pt>
                <c:pt idx="19">
                  <c:v>81.75</c:v>
                </c:pt>
                <c:pt idx="20">
                  <c:v>82.92</c:v>
                </c:pt>
                <c:pt idx="21">
                  <c:v>83.43</c:v>
                </c:pt>
                <c:pt idx="22">
                  <c:v>83.4</c:v>
                </c:pt>
                <c:pt idx="23">
                  <c:v>83.85</c:v>
                </c:pt>
                <c:pt idx="24">
                  <c:v>89.6</c:v>
                </c:pt>
                <c:pt idx="25">
                  <c:v>89.6</c:v>
                </c:pt>
                <c:pt idx="26">
                  <c:v>89.6</c:v>
                </c:pt>
                <c:pt idx="27">
                  <c:v>91.169999999999987</c:v>
                </c:pt>
                <c:pt idx="28">
                  <c:v>89.64</c:v>
                </c:pt>
                <c:pt idx="29">
                  <c:v>93.11</c:v>
                </c:pt>
                <c:pt idx="30">
                  <c:v>93.03</c:v>
                </c:pt>
                <c:pt idx="31">
                  <c:v>92.69</c:v>
                </c:pt>
                <c:pt idx="32">
                  <c:v>92.69</c:v>
                </c:pt>
                <c:pt idx="33">
                  <c:v>92.69</c:v>
                </c:pt>
                <c:pt idx="34">
                  <c:v>89.86</c:v>
                </c:pt>
                <c:pt idx="35">
                  <c:v>90.85</c:v>
                </c:pt>
                <c:pt idx="36">
                  <c:v>90.960000000000022</c:v>
                </c:pt>
                <c:pt idx="37">
                  <c:v>91.59</c:v>
                </c:pt>
                <c:pt idx="38">
                  <c:v>92.81</c:v>
                </c:pt>
                <c:pt idx="39">
                  <c:v>92.81</c:v>
                </c:pt>
                <c:pt idx="40">
                  <c:v>92.81</c:v>
                </c:pt>
                <c:pt idx="41">
                  <c:v>93.460000000000022</c:v>
                </c:pt>
                <c:pt idx="42">
                  <c:v>95.410000000000025</c:v>
                </c:pt>
                <c:pt idx="43">
                  <c:v>95.51</c:v>
                </c:pt>
                <c:pt idx="44">
                  <c:v>94.149999999999991</c:v>
                </c:pt>
                <c:pt idx="45">
                  <c:v>94.25</c:v>
                </c:pt>
                <c:pt idx="46">
                  <c:v>94.25</c:v>
                </c:pt>
                <c:pt idx="47">
                  <c:v>94.25</c:v>
                </c:pt>
                <c:pt idx="48">
                  <c:v>90.710000000000022</c:v>
                </c:pt>
                <c:pt idx="49">
                  <c:v>89.08</c:v>
                </c:pt>
                <c:pt idx="50">
                  <c:v>85.940000000000026</c:v>
                </c:pt>
                <c:pt idx="51">
                  <c:v>87.179999999999978</c:v>
                </c:pt>
                <c:pt idx="52">
                  <c:v>87.669999999999987</c:v>
                </c:pt>
                <c:pt idx="53">
                  <c:v>87.669999999999987</c:v>
                </c:pt>
                <c:pt idx="54">
                  <c:v>87.669999999999987</c:v>
                </c:pt>
                <c:pt idx="55">
                  <c:v>85.72</c:v>
                </c:pt>
                <c:pt idx="56">
                  <c:v>82.410000000000025</c:v>
                </c:pt>
                <c:pt idx="57">
                  <c:v>84.77</c:v>
                </c:pt>
                <c:pt idx="58">
                  <c:v>86.14</c:v>
                </c:pt>
                <c:pt idx="59">
                  <c:v>87.07</c:v>
                </c:pt>
                <c:pt idx="60">
                  <c:v>87.07</c:v>
                </c:pt>
                <c:pt idx="61">
                  <c:v>87.07</c:v>
                </c:pt>
                <c:pt idx="62">
                  <c:v>85.07</c:v>
                </c:pt>
                <c:pt idx="63">
                  <c:v>85.35</c:v>
                </c:pt>
                <c:pt idx="64">
                  <c:v>86.78</c:v>
                </c:pt>
                <c:pt idx="65">
                  <c:v>88.03</c:v>
                </c:pt>
                <c:pt idx="66">
                  <c:v>88.19</c:v>
                </c:pt>
                <c:pt idx="67">
                  <c:v>88.19</c:v>
                </c:pt>
                <c:pt idx="68">
                  <c:v>88.19</c:v>
                </c:pt>
                <c:pt idx="69">
                  <c:v>88.2</c:v>
                </c:pt>
                <c:pt idx="70">
                  <c:v>87.8</c:v>
                </c:pt>
                <c:pt idx="71">
                  <c:v>88.08</c:v>
                </c:pt>
                <c:pt idx="72">
                  <c:v>88.75</c:v>
                </c:pt>
                <c:pt idx="73">
                  <c:v>89.16</c:v>
                </c:pt>
                <c:pt idx="74">
                  <c:v>89.16</c:v>
                </c:pt>
                <c:pt idx="75">
                  <c:v>89.16</c:v>
                </c:pt>
                <c:pt idx="76">
                  <c:v>89.07</c:v>
                </c:pt>
                <c:pt idx="77">
                  <c:v>88.410000000000025</c:v>
                </c:pt>
                <c:pt idx="78">
                  <c:v>87.14</c:v>
                </c:pt>
                <c:pt idx="79">
                  <c:v>88.04</c:v>
                </c:pt>
                <c:pt idx="80">
                  <c:v>87.36</c:v>
                </c:pt>
                <c:pt idx="81">
                  <c:v>87.36</c:v>
                </c:pt>
                <c:pt idx="82">
                  <c:v>87.36</c:v>
                </c:pt>
                <c:pt idx="83">
                  <c:v>87.42</c:v>
                </c:pt>
                <c:pt idx="84">
                  <c:v>87.84</c:v>
                </c:pt>
                <c:pt idx="85">
                  <c:v>87.9</c:v>
                </c:pt>
                <c:pt idx="86">
                  <c:v>86.98</c:v>
                </c:pt>
                <c:pt idx="87">
                  <c:v>86.98</c:v>
                </c:pt>
                <c:pt idx="88">
                  <c:v>86.98</c:v>
                </c:pt>
                <c:pt idx="89">
                  <c:v>86.98</c:v>
                </c:pt>
                <c:pt idx="90">
                  <c:v>86.98</c:v>
                </c:pt>
                <c:pt idx="91">
                  <c:v>86.19</c:v>
                </c:pt>
                <c:pt idx="92">
                  <c:v>84.36</c:v>
                </c:pt>
                <c:pt idx="93">
                  <c:v>86.75</c:v>
                </c:pt>
                <c:pt idx="94">
                  <c:v>85.85</c:v>
                </c:pt>
                <c:pt idx="95">
                  <c:v>85.85</c:v>
                </c:pt>
                <c:pt idx="96">
                  <c:v>85.85</c:v>
                </c:pt>
                <c:pt idx="97">
                  <c:v>87.33</c:v>
                </c:pt>
                <c:pt idx="98">
                  <c:v>85.53</c:v>
                </c:pt>
                <c:pt idx="99">
                  <c:v>87.26</c:v>
                </c:pt>
                <c:pt idx="100">
                  <c:v>87.51</c:v>
                </c:pt>
                <c:pt idx="101">
                  <c:v>86.45</c:v>
                </c:pt>
                <c:pt idx="102">
                  <c:v>86.45</c:v>
                </c:pt>
                <c:pt idx="103">
                  <c:v>86.45</c:v>
                </c:pt>
                <c:pt idx="104">
                  <c:v>86.36</c:v>
                </c:pt>
                <c:pt idx="105">
                  <c:v>87.25</c:v>
                </c:pt>
                <c:pt idx="106">
                  <c:v>86.6</c:v>
                </c:pt>
                <c:pt idx="107">
                  <c:v>86.56</c:v>
                </c:pt>
                <c:pt idx="108">
                  <c:v>87.3</c:v>
                </c:pt>
                <c:pt idx="109">
                  <c:v>87.3</c:v>
                </c:pt>
                <c:pt idx="110">
                  <c:v>87.3</c:v>
                </c:pt>
                <c:pt idx="111">
                  <c:v>87.11999999999999</c:v>
                </c:pt>
                <c:pt idx="112">
                  <c:v>87.01</c:v>
                </c:pt>
                <c:pt idx="113">
                  <c:v>87.84</c:v>
                </c:pt>
                <c:pt idx="114">
                  <c:v>87.940000000000026</c:v>
                </c:pt>
                <c:pt idx="115">
                  <c:v>87.82</c:v>
                </c:pt>
                <c:pt idx="116">
                  <c:v>87.82</c:v>
                </c:pt>
                <c:pt idx="117">
                  <c:v>87.82</c:v>
                </c:pt>
                <c:pt idx="118">
                  <c:v>88.57</c:v>
                </c:pt>
                <c:pt idx="119">
                  <c:v>88.649999999999991</c:v>
                </c:pt>
                <c:pt idx="120">
                  <c:v>88.649999999999991</c:v>
                </c:pt>
                <c:pt idx="121">
                  <c:v>88.649999999999991</c:v>
                </c:pt>
                <c:pt idx="122">
                  <c:v>88.649999999999991</c:v>
                </c:pt>
                <c:pt idx="123">
                  <c:v>88.649999999999991</c:v>
                </c:pt>
                <c:pt idx="124">
                  <c:v>88.649999999999991</c:v>
                </c:pt>
                <c:pt idx="125">
                  <c:v>88.649999999999991</c:v>
                </c:pt>
                <c:pt idx="126">
                  <c:v>90.14</c:v>
                </c:pt>
                <c:pt idx="127">
                  <c:v>92.05</c:v>
                </c:pt>
                <c:pt idx="128">
                  <c:v>91</c:v>
                </c:pt>
                <c:pt idx="129">
                  <c:v>90.98</c:v>
                </c:pt>
                <c:pt idx="130">
                  <c:v>90.98</c:v>
                </c:pt>
                <c:pt idx="131">
                  <c:v>90.98</c:v>
                </c:pt>
                <c:pt idx="132">
                  <c:v>88.960000000000022</c:v>
                </c:pt>
                <c:pt idx="133">
                  <c:v>88.33</c:v>
                </c:pt>
                <c:pt idx="134">
                  <c:v>88.210000000000022</c:v>
                </c:pt>
                <c:pt idx="135">
                  <c:v>89.410000000000025</c:v>
                </c:pt>
                <c:pt idx="136">
                  <c:v>89.22</c:v>
                </c:pt>
                <c:pt idx="137">
                  <c:v>89.22</c:v>
                </c:pt>
                <c:pt idx="138">
                  <c:v>89.22</c:v>
                </c:pt>
                <c:pt idx="139">
                  <c:v>89.63</c:v>
                </c:pt>
                <c:pt idx="140">
                  <c:v>88.8</c:v>
                </c:pt>
                <c:pt idx="141">
                  <c:v>90.86</c:v>
                </c:pt>
                <c:pt idx="142">
                  <c:v>90.75</c:v>
                </c:pt>
                <c:pt idx="143">
                  <c:v>90.75</c:v>
                </c:pt>
                <c:pt idx="144">
                  <c:v>90.75</c:v>
                </c:pt>
                <c:pt idx="145">
                  <c:v>90.75</c:v>
                </c:pt>
                <c:pt idx="146">
                  <c:v>91.38</c:v>
                </c:pt>
                <c:pt idx="147">
                  <c:v>92.64</c:v>
                </c:pt>
                <c:pt idx="148">
                  <c:v>92.149999999999991</c:v>
                </c:pt>
                <c:pt idx="149">
                  <c:v>93.05</c:v>
                </c:pt>
                <c:pt idx="150">
                  <c:v>92.490000000000023</c:v>
                </c:pt>
                <c:pt idx="151">
                  <c:v>92.490000000000023</c:v>
                </c:pt>
                <c:pt idx="152">
                  <c:v>92.490000000000023</c:v>
                </c:pt>
                <c:pt idx="153">
                  <c:v>92.4</c:v>
                </c:pt>
                <c:pt idx="154">
                  <c:v>93.460000000000022</c:v>
                </c:pt>
                <c:pt idx="155">
                  <c:v>92.52</c:v>
                </c:pt>
                <c:pt idx="156">
                  <c:v>92.98</c:v>
                </c:pt>
                <c:pt idx="157">
                  <c:v>94.6</c:v>
                </c:pt>
                <c:pt idx="158">
                  <c:v>94.6</c:v>
                </c:pt>
                <c:pt idx="159">
                  <c:v>94.6</c:v>
                </c:pt>
                <c:pt idx="160">
                  <c:v>96.3</c:v>
                </c:pt>
                <c:pt idx="161">
                  <c:v>97.710000000000022</c:v>
                </c:pt>
                <c:pt idx="162">
                  <c:v>96.54</c:v>
                </c:pt>
                <c:pt idx="163">
                  <c:v>95.52</c:v>
                </c:pt>
                <c:pt idx="164">
                  <c:v>96.11</c:v>
                </c:pt>
                <c:pt idx="165">
                  <c:v>96.11</c:v>
                </c:pt>
                <c:pt idx="166">
                  <c:v>96.11</c:v>
                </c:pt>
                <c:pt idx="167">
                  <c:v>94.72</c:v>
                </c:pt>
                <c:pt idx="168">
                  <c:v>94.1</c:v>
                </c:pt>
                <c:pt idx="169">
                  <c:v>94.86999999999999</c:v>
                </c:pt>
                <c:pt idx="170">
                  <c:v>92.82</c:v>
                </c:pt>
                <c:pt idx="171">
                  <c:v>93.69</c:v>
                </c:pt>
                <c:pt idx="172">
                  <c:v>93.69</c:v>
                </c:pt>
                <c:pt idx="173">
                  <c:v>93.69</c:v>
                </c:pt>
                <c:pt idx="174">
                  <c:v>93.53</c:v>
                </c:pt>
                <c:pt idx="175">
                  <c:v>93.14</c:v>
                </c:pt>
                <c:pt idx="176">
                  <c:v>95.25</c:v>
                </c:pt>
                <c:pt idx="177">
                  <c:v>95.39</c:v>
                </c:pt>
                <c:pt idx="178">
                  <c:v>95.149999999999991</c:v>
                </c:pt>
                <c:pt idx="179">
                  <c:v>95.149999999999991</c:v>
                </c:pt>
                <c:pt idx="180">
                  <c:v>95.149999999999991</c:v>
                </c:pt>
              </c:numCache>
            </c:numRef>
          </c:val>
          <c:smooth val="0"/>
        </c:ser>
        <c:dLbls>
          <c:showLegendKey val="0"/>
          <c:showVal val="0"/>
          <c:showCatName val="0"/>
          <c:showSerName val="0"/>
          <c:showPercent val="0"/>
          <c:showBubbleSize val="0"/>
        </c:dLbls>
        <c:marker val="1"/>
        <c:smooth val="0"/>
        <c:axId val="166523648"/>
        <c:axId val="166525184"/>
      </c:lineChart>
      <c:dateAx>
        <c:axId val="166523648"/>
        <c:scaling>
          <c:orientation val="minMax"/>
        </c:scaling>
        <c:delete val="0"/>
        <c:axPos val="b"/>
        <c:numFmt formatCode="dd/mm" sourceLinked="0"/>
        <c:majorTickMark val="out"/>
        <c:minorTickMark val="none"/>
        <c:tickLblPos val="nextTo"/>
        <c:txPr>
          <a:bodyPr rot="-5400000" vert="horz"/>
          <a:lstStyle/>
          <a:p>
            <a:pPr>
              <a:defRPr sz="600"/>
            </a:pPr>
            <a:endParaRPr lang="bg-BG"/>
          </a:p>
        </c:txPr>
        <c:crossAx val="166525184"/>
        <c:crosses val="autoZero"/>
        <c:auto val="0"/>
        <c:lblOffset val="100"/>
        <c:baseTimeUnit val="days"/>
      </c:dateAx>
      <c:valAx>
        <c:axId val="166525184"/>
        <c:scaling>
          <c:orientation val="minMax"/>
          <c:max val="100"/>
          <c:min val="75"/>
        </c:scaling>
        <c:delete val="0"/>
        <c:axPos val="l"/>
        <c:majorGridlines/>
        <c:numFmt formatCode="General" sourceLinked="1"/>
        <c:majorTickMark val="out"/>
        <c:minorTickMark val="none"/>
        <c:tickLblPos val="nextTo"/>
        <c:txPr>
          <a:bodyPr/>
          <a:lstStyle/>
          <a:p>
            <a:pPr>
              <a:defRPr sz="600"/>
            </a:pPr>
            <a:endParaRPr lang="bg-BG"/>
          </a:p>
        </c:txPr>
        <c:crossAx val="166523648"/>
        <c:crosses val="autoZero"/>
        <c:crossBetween val="between"/>
      </c:valAx>
    </c:plotArea>
    <c:plotVisOnly val="1"/>
    <c:dispBlanksAs val="gap"/>
    <c:showDLblsOverMax val="0"/>
  </c:chart>
  <c:spPr>
    <a:noFill/>
    <a:ln>
      <a:noFill/>
    </a:ln>
    <a:effectLst>
      <a:outerShdw blurRad="50800" dist="38100" dir="2700000" algn="tl" rotWithShape="0">
        <a:prstClr val="black">
          <a:alpha val="40000"/>
        </a:prstClr>
      </a:outerShdw>
    </a:effectLst>
  </c:sp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2.5462962962962962E-2"/>
          <c:w val="1"/>
          <c:h val="0.94907407407407407"/>
        </c:manualLayout>
      </c:layout>
      <c:pie3DChart>
        <c:varyColors val="1"/>
        <c:ser>
          <c:idx val="0"/>
          <c:order val="0"/>
          <c:explosion val="25"/>
          <c:dLbls>
            <c:numFmt formatCode="0.00%" sourceLinked="0"/>
            <c:txPr>
              <a:bodyPr/>
              <a:lstStyle/>
              <a:p>
                <a:pPr>
                  <a:defRPr sz="800">
                    <a:solidFill>
                      <a:schemeClr val="bg1"/>
                    </a:solidFill>
                    <a:latin typeface="News Gothic Cyr" pitchFamily="34" charset="-52"/>
                  </a:defRPr>
                </a:pPr>
                <a:endParaRPr lang="bg-BG"/>
              </a:p>
            </c:txPr>
            <c:showLegendKey val="0"/>
            <c:showVal val="0"/>
            <c:showCatName val="1"/>
            <c:showSerName val="0"/>
            <c:showPercent val="1"/>
            <c:showBubbleSize val="0"/>
            <c:showLeaderLines val="1"/>
          </c:dLbls>
          <c:cat>
            <c:strRef>
              <c:f>Shareholder!$A$2:$A$5</c:f>
              <c:strCache>
                <c:ptCount val="4"/>
                <c:pt idx="0">
                  <c:v>Министерство на финансите</c:v>
                </c:pt>
                <c:pt idx="1">
                  <c:v>Инвестиционни посредници и търговски банки</c:v>
                </c:pt>
                <c:pt idx="2">
                  <c:v>Други юридически лица</c:v>
                </c:pt>
                <c:pt idx="3">
                  <c:v>Физически лица</c:v>
                </c:pt>
              </c:strCache>
            </c:strRef>
          </c:cat>
          <c:val>
            <c:numRef>
              <c:f>Shareholder!$B$2:$B$5</c:f>
              <c:numCache>
                <c:formatCode>#,##0</c:formatCode>
                <c:ptCount val="4"/>
                <c:pt idx="0">
                  <c:v>3295000</c:v>
                </c:pt>
                <c:pt idx="1">
                  <c:v>1186007</c:v>
                </c:pt>
                <c:pt idx="2">
                  <c:v>1457870</c:v>
                </c:pt>
                <c:pt idx="3">
                  <c:v>643983</c:v>
                </c:pt>
              </c:numCache>
            </c:numRef>
          </c:val>
        </c:ser>
        <c:dLbls>
          <c:showLegendKey val="0"/>
          <c:showVal val="0"/>
          <c:showCatName val="0"/>
          <c:showSerName val="0"/>
          <c:showPercent val="0"/>
          <c:showBubbleSize val="0"/>
          <c:showLeaderLines val="1"/>
        </c:dLbls>
      </c:pie3DChart>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0"/>
      <c:rotY val="20"/>
      <c:depthPercent val="100"/>
      <c:rAngAx val="0"/>
      <c:perspective val="30"/>
    </c:view3D>
    <c:floor>
      <c:thickness val="0"/>
    </c:floor>
    <c:sideWall>
      <c:thickness val="0"/>
    </c:sideWall>
    <c:backWall>
      <c:thickness val="0"/>
    </c:backWall>
    <c:plotArea>
      <c:layout>
        <c:manualLayout>
          <c:layoutTarget val="inner"/>
          <c:xMode val="edge"/>
          <c:yMode val="edge"/>
          <c:x val="7.2182852143482065E-2"/>
          <c:y val="1.8623372052806269E-2"/>
          <c:w val="0.92781714785651792"/>
          <c:h val="0.87952616047328014"/>
        </c:manualLayout>
      </c:layout>
      <c:bar3DChart>
        <c:barDir val="col"/>
        <c:grouping val="standard"/>
        <c:varyColors val="0"/>
        <c:ser>
          <c:idx val="0"/>
          <c:order val="0"/>
          <c:tx>
            <c:strRef>
              <c:f>Q2only!$B$2</c:f>
              <c:strCache>
                <c:ptCount val="1"/>
                <c:pt idx="0">
                  <c:v>Q2 2012</c:v>
                </c:pt>
              </c:strCache>
            </c:strRef>
          </c:tx>
          <c:invertIfNegative val="0"/>
          <c:dLbls>
            <c:numFmt formatCode="#,##0" sourceLinked="0"/>
            <c:txPr>
              <a:bodyPr/>
              <a:lstStyle/>
              <a:p>
                <a:pPr>
                  <a:defRPr sz="600">
                    <a:latin typeface="News Gothic Cyr" pitchFamily="34" charset="-52"/>
                  </a:defRPr>
                </a:pPr>
                <a:endParaRPr lang="bg-BG"/>
              </a:p>
            </c:txPr>
            <c:showLegendKey val="0"/>
            <c:showVal val="1"/>
            <c:showCatName val="0"/>
            <c:showSerName val="0"/>
            <c:showPercent val="0"/>
            <c:showBubbleSize val="0"/>
            <c:showLeaderLines val="0"/>
          </c:dLbls>
          <c:cat>
            <c:strRef>
              <c:f>Q2only!$L$6:$L$11</c:f>
              <c:strCache>
                <c:ptCount val="6"/>
                <c:pt idx="0">
                  <c:v>Акции без АДСИЦ</c:v>
                </c:pt>
                <c:pt idx="1">
                  <c:v>АДСИЦ</c:v>
                </c:pt>
                <c:pt idx="2">
                  <c:v>КИС</c:v>
                </c:pt>
                <c:pt idx="3">
                  <c:v>КИ</c:v>
                </c:pt>
                <c:pt idx="4">
                  <c:v>Облигации</c:v>
                </c:pt>
                <c:pt idx="5">
                  <c:v>Права</c:v>
                </c:pt>
              </c:strCache>
            </c:strRef>
          </c:cat>
          <c:val>
            <c:numRef>
              <c:f>Q2only!$H$6:$H$11</c:f>
              <c:numCache>
                <c:formatCode>#,##0</c:formatCode>
                <c:ptCount val="6"/>
                <c:pt idx="0">
                  <c:v>9800</c:v>
                </c:pt>
                <c:pt idx="1">
                  <c:v>3337</c:v>
                </c:pt>
                <c:pt idx="2">
                  <c:v>8</c:v>
                </c:pt>
                <c:pt idx="3">
                  <c:v>1081</c:v>
                </c:pt>
                <c:pt idx="4">
                  <c:v>101</c:v>
                </c:pt>
                <c:pt idx="5">
                  <c:v>39</c:v>
                </c:pt>
              </c:numCache>
            </c:numRef>
          </c:val>
        </c:ser>
        <c:ser>
          <c:idx val="1"/>
          <c:order val="1"/>
          <c:tx>
            <c:strRef>
              <c:f>Q2only!$C$2</c:f>
              <c:strCache>
                <c:ptCount val="1"/>
                <c:pt idx="0">
                  <c:v>Q2 2013</c:v>
                </c:pt>
              </c:strCache>
            </c:strRef>
          </c:tx>
          <c:invertIfNegative val="0"/>
          <c:dLbls>
            <c:numFmt formatCode="#,##0" sourceLinked="0"/>
            <c:txPr>
              <a:bodyPr/>
              <a:lstStyle/>
              <a:p>
                <a:pPr>
                  <a:defRPr sz="600">
                    <a:latin typeface="News Gothic Cyr" pitchFamily="34" charset="-52"/>
                  </a:defRPr>
                </a:pPr>
                <a:endParaRPr lang="bg-BG"/>
              </a:p>
            </c:txPr>
            <c:showLegendKey val="0"/>
            <c:showVal val="1"/>
            <c:showCatName val="0"/>
            <c:showSerName val="0"/>
            <c:showPercent val="0"/>
            <c:showBubbleSize val="0"/>
            <c:showLeaderLines val="0"/>
          </c:dLbls>
          <c:cat>
            <c:strRef>
              <c:f>Q2only!$L$6:$L$11</c:f>
              <c:strCache>
                <c:ptCount val="6"/>
                <c:pt idx="0">
                  <c:v>Акции без АДСИЦ</c:v>
                </c:pt>
                <c:pt idx="1">
                  <c:v>АДСИЦ</c:v>
                </c:pt>
                <c:pt idx="2">
                  <c:v>КИС</c:v>
                </c:pt>
                <c:pt idx="3">
                  <c:v>КИ</c:v>
                </c:pt>
                <c:pt idx="4">
                  <c:v>Облигации</c:v>
                </c:pt>
                <c:pt idx="5">
                  <c:v>Права</c:v>
                </c:pt>
              </c:strCache>
            </c:strRef>
          </c:cat>
          <c:val>
            <c:numRef>
              <c:f>Q2only!$I$6:$I$11</c:f>
              <c:numCache>
                <c:formatCode>#,##0</c:formatCode>
                <c:ptCount val="6"/>
                <c:pt idx="0">
                  <c:v>14664</c:v>
                </c:pt>
                <c:pt idx="1">
                  <c:v>2985</c:v>
                </c:pt>
                <c:pt idx="2">
                  <c:v>2</c:v>
                </c:pt>
                <c:pt idx="3">
                  <c:v>1333</c:v>
                </c:pt>
                <c:pt idx="4">
                  <c:v>120</c:v>
                </c:pt>
                <c:pt idx="5">
                  <c:v>11</c:v>
                </c:pt>
              </c:numCache>
            </c:numRef>
          </c:val>
        </c:ser>
        <c:dLbls>
          <c:showLegendKey val="0"/>
          <c:showVal val="0"/>
          <c:showCatName val="0"/>
          <c:showSerName val="0"/>
          <c:showPercent val="0"/>
          <c:showBubbleSize val="0"/>
        </c:dLbls>
        <c:gapWidth val="150"/>
        <c:shape val="box"/>
        <c:axId val="163357824"/>
        <c:axId val="163360128"/>
        <c:axId val="222300352"/>
      </c:bar3DChart>
      <c:catAx>
        <c:axId val="163357824"/>
        <c:scaling>
          <c:orientation val="minMax"/>
        </c:scaling>
        <c:delete val="0"/>
        <c:axPos val="b"/>
        <c:numFmt formatCode="@" sourceLinked="0"/>
        <c:majorTickMark val="out"/>
        <c:minorTickMark val="none"/>
        <c:tickLblPos val="nextTo"/>
        <c:txPr>
          <a:bodyPr rot="0" vert="horz" anchor="b" anchorCtr="0"/>
          <a:lstStyle/>
          <a:p>
            <a:pPr>
              <a:defRPr sz="600">
                <a:latin typeface="News Gothic Cyr" pitchFamily="34" charset="-52"/>
              </a:defRPr>
            </a:pPr>
            <a:endParaRPr lang="bg-BG"/>
          </a:p>
        </c:txPr>
        <c:crossAx val="163360128"/>
        <c:crosses val="autoZero"/>
        <c:auto val="1"/>
        <c:lblAlgn val="ctr"/>
        <c:lblOffset val="100"/>
        <c:tickLblSkip val="1"/>
        <c:noMultiLvlLbl val="0"/>
      </c:catAx>
      <c:valAx>
        <c:axId val="163360128"/>
        <c:scaling>
          <c:orientation val="minMax"/>
        </c:scaling>
        <c:delete val="0"/>
        <c:axPos val="l"/>
        <c:majorGridlines/>
        <c:numFmt formatCode="#,##0" sourceLinked="1"/>
        <c:majorTickMark val="out"/>
        <c:minorTickMark val="none"/>
        <c:tickLblPos val="nextTo"/>
        <c:txPr>
          <a:bodyPr/>
          <a:lstStyle/>
          <a:p>
            <a:pPr>
              <a:defRPr sz="600">
                <a:latin typeface="News Gothic Cyr" pitchFamily="34" charset="-52"/>
              </a:defRPr>
            </a:pPr>
            <a:endParaRPr lang="bg-BG"/>
          </a:p>
        </c:txPr>
        <c:crossAx val="163357824"/>
        <c:crosses val="autoZero"/>
        <c:crossBetween val="between"/>
      </c:valAx>
      <c:serAx>
        <c:axId val="222300352"/>
        <c:scaling>
          <c:orientation val="minMax"/>
        </c:scaling>
        <c:delete val="1"/>
        <c:axPos val="b"/>
        <c:majorTickMark val="out"/>
        <c:minorTickMark val="none"/>
        <c:tickLblPos val="nextTo"/>
        <c:crossAx val="163360128"/>
        <c:crosses val="autoZero"/>
      </c:serAx>
    </c:plotArea>
    <c:legend>
      <c:legendPos val="t"/>
      <c:layout>
        <c:manualLayout>
          <c:xMode val="edge"/>
          <c:yMode val="edge"/>
          <c:x val="0.69664711896538456"/>
          <c:y val="6.3716990971155255E-2"/>
          <c:w val="0.27951078257326617"/>
          <c:h val="6.6817026336098984E-2"/>
        </c:manualLayout>
      </c:layout>
      <c:overlay val="1"/>
      <c:txPr>
        <a:bodyPr/>
        <a:lstStyle/>
        <a:p>
          <a:pPr>
            <a:defRPr sz="600">
              <a:latin typeface="News Gothic Cyr" pitchFamily="34" charset="-52"/>
            </a:defRPr>
          </a:pPr>
          <a:endParaRPr lang="bg-BG"/>
        </a:p>
      </c:txPr>
    </c:legend>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0"/>
      <c:rotY val="20"/>
      <c:depthPercent val="100"/>
      <c:rAngAx val="0"/>
      <c:perspective val="30"/>
    </c:view3D>
    <c:floor>
      <c:thickness val="0"/>
    </c:floor>
    <c:sideWall>
      <c:thickness val="0"/>
    </c:sideWall>
    <c:backWall>
      <c:thickness val="0"/>
    </c:backWall>
    <c:plotArea>
      <c:layout>
        <c:manualLayout>
          <c:layoutTarget val="inner"/>
          <c:xMode val="edge"/>
          <c:yMode val="edge"/>
          <c:x val="7.4677381415399521E-2"/>
          <c:y val="2.219582055850489E-2"/>
          <c:w val="0.92781714785651792"/>
          <c:h val="0.87493304092164959"/>
        </c:manualLayout>
      </c:layout>
      <c:bar3DChart>
        <c:barDir val="col"/>
        <c:grouping val="standard"/>
        <c:varyColors val="0"/>
        <c:ser>
          <c:idx val="0"/>
          <c:order val="0"/>
          <c:tx>
            <c:strRef>
              <c:f>Q2only!$B$2</c:f>
              <c:strCache>
                <c:ptCount val="1"/>
                <c:pt idx="0">
                  <c:v>Q2 2012</c:v>
                </c:pt>
              </c:strCache>
            </c:strRef>
          </c:tx>
          <c:invertIfNegative val="0"/>
          <c:dLbls>
            <c:dLbl>
              <c:idx val="1"/>
              <c:layout>
                <c:manualLayout>
                  <c:x val="1.1091651392599079E-2"/>
                  <c:y val="0"/>
                </c:manualLayout>
              </c:layout>
              <c:showLegendKey val="0"/>
              <c:showVal val="1"/>
              <c:showCatName val="0"/>
              <c:showSerName val="0"/>
              <c:showPercent val="0"/>
              <c:showBubbleSize val="0"/>
            </c:dLbl>
            <c:numFmt formatCode="#,##0.00" sourceLinked="0"/>
            <c:txPr>
              <a:bodyPr/>
              <a:lstStyle/>
              <a:p>
                <a:pPr>
                  <a:defRPr sz="600">
                    <a:latin typeface="News Gothic Cyr" pitchFamily="34" charset="-52"/>
                  </a:defRPr>
                </a:pPr>
                <a:endParaRPr lang="bg-BG"/>
              </a:p>
            </c:txPr>
            <c:showLegendKey val="0"/>
            <c:showVal val="1"/>
            <c:showCatName val="0"/>
            <c:showSerName val="0"/>
            <c:showPercent val="0"/>
            <c:showBubbleSize val="0"/>
            <c:showLeaderLines val="0"/>
          </c:dLbls>
          <c:cat>
            <c:strRef>
              <c:f>Q2only!$L$6:$L$11</c:f>
              <c:strCache>
                <c:ptCount val="6"/>
                <c:pt idx="0">
                  <c:v>Акции без АДСИЦ</c:v>
                </c:pt>
                <c:pt idx="1">
                  <c:v>АДСИЦ</c:v>
                </c:pt>
                <c:pt idx="2">
                  <c:v>КИС</c:v>
                </c:pt>
                <c:pt idx="3">
                  <c:v>КИ</c:v>
                </c:pt>
                <c:pt idx="4">
                  <c:v>Облигации</c:v>
                </c:pt>
                <c:pt idx="5">
                  <c:v>Права</c:v>
                </c:pt>
              </c:strCache>
            </c:strRef>
          </c:cat>
          <c:val>
            <c:numRef>
              <c:f>Q2only!$B$6:$B$11</c:f>
              <c:numCache>
                <c:formatCode>#,##0</c:formatCode>
                <c:ptCount val="6"/>
                <c:pt idx="0">
                  <c:v>47954956</c:v>
                </c:pt>
                <c:pt idx="1">
                  <c:v>14678555</c:v>
                </c:pt>
                <c:pt idx="2">
                  <c:v>31402</c:v>
                </c:pt>
                <c:pt idx="3">
                  <c:v>10704074</c:v>
                </c:pt>
                <c:pt idx="4">
                  <c:v>11009</c:v>
                </c:pt>
                <c:pt idx="5">
                  <c:v>1784327</c:v>
                </c:pt>
              </c:numCache>
            </c:numRef>
          </c:val>
        </c:ser>
        <c:ser>
          <c:idx val="1"/>
          <c:order val="1"/>
          <c:tx>
            <c:strRef>
              <c:f>Q2only!$C$2</c:f>
              <c:strCache>
                <c:ptCount val="1"/>
                <c:pt idx="0">
                  <c:v>Q2 2013</c:v>
                </c:pt>
              </c:strCache>
            </c:strRef>
          </c:tx>
          <c:invertIfNegative val="0"/>
          <c:dLbls>
            <c:dLbl>
              <c:idx val="2"/>
              <c:numFmt formatCode="#,##0.0000" sourceLinked="0"/>
              <c:spPr/>
              <c:txPr>
                <a:bodyPr/>
                <a:lstStyle/>
                <a:p>
                  <a:pPr>
                    <a:defRPr sz="600">
                      <a:latin typeface="News Gothic Cyr" pitchFamily="34" charset="-52"/>
                    </a:defRPr>
                  </a:pPr>
                  <a:endParaRPr lang="bg-BG"/>
                </a:p>
              </c:txPr>
              <c:showLegendKey val="0"/>
              <c:showVal val="1"/>
              <c:showCatName val="0"/>
              <c:showSerName val="0"/>
              <c:showPercent val="0"/>
              <c:showBubbleSize val="0"/>
            </c:dLbl>
            <c:numFmt formatCode="#,##0.00" sourceLinked="0"/>
            <c:txPr>
              <a:bodyPr/>
              <a:lstStyle/>
              <a:p>
                <a:pPr>
                  <a:defRPr sz="600">
                    <a:latin typeface="News Gothic Cyr" pitchFamily="34" charset="-52"/>
                  </a:defRPr>
                </a:pPr>
                <a:endParaRPr lang="bg-BG"/>
              </a:p>
            </c:txPr>
            <c:showLegendKey val="0"/>
            <c:showVal val="1"/>
            <c:showCatName val="0"/>
            <c:showSerName val="0"/>
            <c:showPercent val="0"/>
            <c:showBubbleSize val="0"/>
            <c:showLeaderLines val="0"/>
          </c:dLbls>
          <c:cat>
            <c:strRef>
              <c:f>Q2only!$L$6:$L$11</c:f>
              <c:strCache>
                <c:ptCount val="6"/>
                <c:pt idx="0">
                  <c:v>Акции без АДСИЦ</c:v>
                </c:pt>
                <c:pt idx="1">
                  <c:v>АДСИЦ</c:v>
                </c:pt>
                <c:pt idx="2">
                  <c:v>КИС</c:v>
                </c:pt>
                <c:pt idx="3">
                  <c:v>КИ</c:v>
                </c:pt>
                <c:pt idx="4">
                  <c:v>Облигации</c:v>
                </c:pt>
                <c:pt idx="5">
                  <c:v>Права</c:v>
                </c:pt>
              </c:strCache>
            </c:strRef>
          </c:cat>
          <c:val>
            <c:numRef>
              <c:f>Q2only!$C$6:$C$11</c:f>
              <c:numCache>
                <c:formatCode>#,##0</c:formatCode>
                <c:ptCount val="6"/>
                <c:pt idx="0">
                  <c:v>131723773</c:v>
                </c:pt>
                <c:pt idx="1">
                  <c:v>13131491</c:v>
                </c:pt>
                <c:pt idx="2">
                  <c:v>245</c:v>
                </c:pt>
                <c:pt idx="3">
                  <c:v>9285162</c:v>
                </c:pt>
                <c:pt idx="4">
                  <c:v>48401</c:v>
                </c:pt>
                <c:pt idx="5">
                  <c:v>21314127</c:v>
                </c:pt>
              </c:numCache>
            </c:numRef>
          </c:val>
        </c:ser>
        <c:dLbls>
          <c:showLegendKey val="0"/>
          <c:showVal val="0"/>
          <c:showCatName val="0"/>
          <c:showSerName val="0"/>
          <c:showPercent val="0"/>
          <c:showBubbleSize val="0"/>
        </c:dLbls>
        <c:gapWidth val="150"/>
        <c:shape val="box"/>
        <c:axId val="166474496"/>
        <c:axId val="166476032"/>
        <c:axId val="222301696"/>
      </c:bar3DChart>
      <c:catAx>
        <c:axId val="166474496"/>
        <c:scaling>
          <c:orientation val="minMax"/>
        </c:scaling>
        <c:delete val="0"/>
        <c:axPos val="b"/>
        <c:majorTickMark val="out"/>
        <c:minorTickMark val="none"/>
        <c:tickLblPos val="nextTo"/>
        <c:txPr>
          <a:bodyPr rot="0" vert="horz"/>
          <a:lstStyle/>
          <a:p>
            <a:pPr>
              <a:defRPr sz="600">
                <a:latin typeface="News Gothic Cyr" pitchFamily="34" charset="-52"/>
              </a:defRPr>
            </a:pPr>
            <a:endParaRPr lang="bg-BG"/>
          </a:p>
        </c:txPr>
        <c:crossAx val="166476032"/>
        <c:crosses val="autoZero"/>
        <c:auto val="1"/>
        <c:lblAlgn val="ctr"/>
        <c:lblOffset val="100"/>
        <c:noMultiLvlLbl val="0"/>
      </c:catAx>
      <c:valAx>
        <c:axId val="166476032"/>
        <c:scaling>
          <c:orientation val="minMax"/>
        </c:scaling>
        <c:delete val="0"/>
        <c:axPos val="l"/>
        <c:majorGridlines>
          <c:spPr>
            <a:ln>
              <a:solidFill>
                <a:schemeClr val="bg1">
                  <a:lumMod val="85000"/>
                </a:schemeClr>
              </a:solidFill>
            </a:ln>
          </c:spPr>
        </c:majorGridlines>
        <c:numFmt formatCode="#,##0" sourceLinked="1"/>
        <c:majorTickMark val="out"/>
        <c:minorTickMark val="none"/>
        <c:tickLblPos val="nextTo"/>
        <c:txPr>
          <a:bodyPr/>
          <a:lstStyle/>
          <a:p>
            <a:pPr>
              <a:defRPr sz="600"/>
            </a:pPr>
            <a:endParaRPr lang="bg-BG"/>
          </a:p>
        </c:txPr>
        <c:crossAx val="166474496"/>
        <c:crosses val="autoZero"/>
        <c:crossBetween val="between"/>
        <c:dispUnits>
          <c:builtInUnit val="millions"/>
          <c:dispUnitsLbl>
            <c:layout>
              <c:manualLayout>
                <c:xMode val="edge"/>
                <c:yMode val="edge"/>
                <c:x val="7.3412467365508632E-2"/>
                <c:y val="0.23279911554464053"/>
              </c:manualLayout>
            </c:layout>
            <c:tx>
              <c:rich>
                <a:bodyPr/>
                <a:lstStyle/>
                <a:p>
                  <a:pPr>
                    <a:defRPr sz="700"/>
                  </a:pPr>
                  <a:r>
                    <a:rPr lang="bg-BG" sz="700" b="1">
                      <a:latin typeface="News Gothic Cyr" pitchFamily="34" charset="-52"/>
                    </a:rPr>
                    <a:t>милиона лота</a:t>
                  </a:r>
                </a:p>
              </c:rich>
            </c:tx>
          </c:dispUnitsLbl>
        </c:dispUnits>
      </c:valAx>
      <c:serAx>
        <c:axId val="222301696"/>
        <c:scaling>
          <c:orientation val="minMax"/>
        </c:scaling>
        <c:delete val="1"/>
        <c:axPos val="b"/>
        <c:majorTickMark val="out"/>
        <c:minorTickMark val="none"/>
        <c:tickLblPos val="nextTo"/>
        <c:crossAx val="166476032"/>
        <c:crosses val="autoZero"/>
      </c:serAx>
    </c:plotArea>
    <c:legend>
      <c:legendPos val="r"/>
      <c:layout>
        <c:manualLayout>
          <c:xMode val="edge"/>
          <c:yMode val="edge"/>
          <c:x val="0.33249044545935158"/>
          <c:y val="0.16376042179033248"/>
          <c:w val="0.35490053030320673"/>
          <c:h val="0.14424249052201807"/>
        </c:manualLayout>
      </c:layout>
      <c:overlay val="0"/>
      <c:txPr>
        <a:bodyPr/>
        <a:lstStyle/>
        <a:p>
          <a:pPr>
            <a:defRPr sz="700">
              <a:latin typeface="News Gothic Cyr" pitchFamily="34" charset="-52"/>
            </a:defRPr>
          </a:pPr>
          <a:endParaRPr lang="bg-BG"/>
        </a:p>
      </c:txPr>
    </c:legend>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4740143632848269E-2"/>
          <c:y val="9.2126269026498273E-2"/>
          <c:w val="0.9252597862859151"/>
          <c:h val="0.90787373097350177"/>
        </c:manualLayout>
      </c:layout>
      <c:pie3DChart>
        <c:varyColors val="1"/>
        <c:ser>
          <c:idx val="0"/>
          <c:order val="0"/>
          <c:tx>
            <c:strRef>
              <c:f>Sheet4!$D$2</c:f>
              <c:strCache>
                <c:ptCount val="1"/>
                <c:pt idx="0">
                  <c:v>Оборот</c:v>
                </c:pt>
              </c:strCache>
            </c:strRef>
          </c:tx>
          <c:explosion val="25"/>
          <c:dLbls>
            <c:dLbl>
              <c:idx val="0"/>
              <c:numFmt formatCode="0.00%" sourceLinked="0"/>
              <c:spPr/>
              <c:txPr>
                <a:bodyPr/>
                <a:lstStyle/>
                <a:p>
                  <a:pPr>
                    <a:defRPr sz="600">
                      <a:solidFill>
                        <a:schemeClr val="bg1"/>
                      </a:solidFill>
                      <a:latin typeface="News Gothic Cyr" pitchFamily="34" charset="-52"/>
                    </a:defRPr>
                  </a:pPr>
                  <a:endParaRPr lang="bg-BG"/>
                </a:p>
              </c:txPr>
              <c:showLegendKey val="0"/>
              <c:showVal val="0"/>
              <c:showCatName val="1"/>
              <c:showSerName val="0"/>
              <c:showPercent val="1"/>
              <c:showBubbleSize val="0"/>
            </c:dLbl>
            <c:dLbl>
              <c:idx val="1"/>
              <c:numFmt formatCode="0.00%" sourceLinked="0"/>
              <c:spPr/>
              <c:txPr>
                <a:bodyPr/>
                <a:lstStyle/>
                <a:p>
                  <a:pPr>
                    <a:defRPr sz="600">
                      <a:solidFill>
                        <a:schemeClr val="bg1"/>
                      </a:solidFill>
                      <a:latin typeface="News Gothic Cyr" pitchFamily="34" charset="-52"/>
                    </a:defRPr>
                  </a:pPr>
                  <a:endParaRPr lang="bg-BG"/>
                </a:p>
              </c:txPr>
              <c:showLegendKey val="0"/>
              <c:showVal val="0"/>
              <c:showCatName val="1"/>
              <c:showSerName val="0"/>
              <c:showPercent val="1"/>
              <c:showBubbleSize val="0"/>
            </c:dLbl>
            <c:dLbl>
              <c:idx val="2"/>
              <c:numFmt formatCode="0.00%" sourceLinked="0"/>
              <c:spPr/>
              <c:txPr>
                <a:bodyPr/>
                <a:lstStyle/>
                <a:p>
                  <a:pPr>
                    <a:defRPr sz="600">
                      <a:solidFill>
                        <a:schemeClr val="bg1"/>
                      </a:solidFill>
                      <a:latin typeface="News Gothic Cyr" pitchFamily="34" charset="-52"/>
                    </a:defRPr>
                  </a:pPr>
                  <a:endParaRPr lang="bg-BG"/>
                </a:p>
              </c:txPr>
              <c:showLegendKey val="0"/>
              <c:showVal val="0"/>
              <c:showCatName val="1"/>
              <c:showSerName val="0"/>
              <c:showPercent val="1"/>
              <c:showBubbleSize val="0"/>
            </c:dLbl>
            <c:dLbl>
              <c:idx val="7"/>
              <c:layout>
                <c:manualLayout>
                  <c:x val="6.7480391079293336E-2"/>
                  <c:y val="-5.4923412507577318E-2"/>
                </c:manualLayout>
              </c:layout>
              <c:showLegendKey val="0"/>
              <c:showVal val="0"/>
              <c:showCatName val="1"/>
              <c:showSerName val="0"/>
              <c:showPercent val="1"/>
              <c:showBubbleSize val="0"/>
            </c:dLbl>
            <c:dLbl>
              <c:idx val="9"/>
              <c:layout>
                <c:manualLayout>
                  <c:x val="0.21659395448947572"/>
                  <c:y val="-1.5757118122436915E-2"/>
                </c:manualLayout>
              </c:layout>
              <c:showLegendKey val="0"/>
              <c:showVal val="0"/>
              <c:showCatName val="1"/>
              <c:showSerName val="0"/>
              <c:showPercent val="1"/>
              <c:showBubbleSize val="0"/>
            </c:dLbl>
            <c:numFmt formatCode="0.00%" sourceLinked="0"/>
            <c:txPr>
              <a:bodyPr/>
              <a:lstStyle/>
              <a:p>
                <a:pPr>
                  <a:defRPr sz="600">
                    <a:latin typeface="News Gothic Cyr" pitchFamily="34" charset="-52"/>
                  </a:defRPr>
                </a:pPr>
                <a:endParaRPr lang="bg-BG"/>
              </a:p>
            </c:txPr>
            <c:showLegendKey val="0"/>
            <c:showVal val="0"/>
            <c:showCatName val="1"/>
            <c:showSerName val="0"/>
            <c:showPercent val="1"/>
            <c:showBubbleSize val="0"/>
            <c:showLeaderLines val="1"/>
          </c:dLbls>
          <c:cat>
            <c:strRef>
              <c:f>Sheet4!$C$3:$C$12</c:f>
              <c:strCache>
                <c:ptCount val="10"/>
                <c:pt idx="0">
                  <c:v>Каолин АД-Сеново</c:v>
                </c:pt>
                <c:pt idx="1">
                  <c:v>ЕЛАРГ Фонд за Земеделска Земя АДСИЦ-София /в ликвидация/</c:v>
                </c:pt>
                <c:pt idx="2">
                  <c:v>ТБ Корпоративна търговска банка АД-София</c:v>
                </c:pt>
                <c:pt idx="3">
                  <c:v>Булгартабак-холдинг АД-София</c:v>
                </c:pt>
                <c:pt idx="4">
                  <c:v>Софарма АД-София</c:v>
                </c:pt>
                <c:pt idx="5">
                  <c:v>Инвестор.БГ АД-София</c:v>
                </c:pt>
                <c:pt idx="6">
                  <c:v>Адванс Терафонд АДСИЦ-София</c:v>
                </c:pt>
                <c:pt idx="7">
                  <c:v>Синтетика АД-София</c:v>
                </c:pt>
                <c:pt idx="8">
                  <c:v>Монбат АД-София</c:v>
                </c:pt>
                <c:pt idx="9">
                  <c:v>Агрия Груп Холдинг АД-Варна</c:v>
                </c:pt>
              </c:strCache>
            </c:strRef>
          </c:cat>
          <c:val>
            <c:numRef>
              <c:f>Sheet4!$D$3:$D$12</c:f>
              <c:numCache>
                <c:formatCode>#,##0.00</c:formatCode>
                <c:ptCount val="10"/>
                <c:pt idx="0">
                  <c:v>188590183.33000001</c:v>
                </c:pt>
                <c:pt idx="1">
                  <c:v>121794561.65000001</c:v>
                </c:pt>
                <c:pt idx="2">
                  <c:v>58541964.359999999</c:v>
                </c:pt>
                <c:pt idx="3">
                  <c:v>21623149.949999999</c:v>
                </c:pt>
                <c:pt idx="4">
                  <c:v>16531996.9</c:v>
                </c:pt>
                <c:pt idx="5">
                  <c:v>16275865.5</c:v>
                </c:pt>
                <c:pt idx="6">
                  <c:v>9116293.7599999998</c:v>
                </c:pt>
                <c:pt idx="7">
                  <c:v>5739854.3899999997</c:v>
                </c:pt>
                <c:pt idx="8">
                  <c:v>4139457.13</c:v>
                </c:pt>
                <c:pt idx="9">
                  <c:v>4018369.29</c:v>
                </c:pt>
              </c:numCache>
            </c:numRef>
          </c:val>
        </c:ser>
        <c:dLbls>
          <c:showLegendKey val="0"/>
          <c:showVal val="0"/>
          <c:showCatName val="0"/>
          <c:showSerName val="0"/>
          <c:showPercent val="0"/>
          <c:showBubbleSize val="0"/>
          <c:showLeaderLines val="1"/>
        </c:dLbls>
      </c:pie3DChart>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1160501547295252E-2"/>
          <c:y val="0.16435185185185186"/>
          <c:w val="0.89360280977692996"/>
          <c:h val="0.83333333333333337"/>
        </c:manualLayout>
      </c:layout>
      <c:ofPieChart>
        <c:ofPieType val="pie"/>
        <c:varyColors val="1"/>
        <c:ser>
          <c:idx val="0"/>
          <c:order val="0"/>
          <c:tx>
            <c:strRef>
              <c:f>branche!$E$18</c:f>
              <c:strCache>
                <c:ptCount val="1"/>
                <c:pt idx="0">
                  <c:v>Оборот (лв.)</c:v>
                </c:pt>
              </c:strCache>
            </c:strRef>
          </c:tx>
          <c:dLbls>
            <c:dLbl>
              <c:idx val="0"/>
              <c:numFmt formatCode="0.00%" sourceLinked="0"/>
              <c:spPr/>
              <c:txPr>
                <a:bodyPr/>
                <a:lstStyle/>
                <a:p>
                  <a:pPr>
                    <a:defRPr sz="600">
                      <a:solidFill>
                        <a:schemeClr val="bg1"/>
                      </a:solidFill>
                      <a:latin typeface="News Gothic Cyr" pitchFamily="34" charset="-52"/>
                    </a:defRPr>
                  </a:pPr>
                  <a:endParaRPr lang="bg-BG"/>
                </a:p>
              </c:txPr>
              <c:showLegendKey val="0"/>
              <c:showVal val="0"/>
              <c:showCatName val="1"/>
              <c:showSerName val="0"/>
              <c:showPercent val="1"/>
              <c:showBubbleSize val="0"/>
            </c:dLbl>
            <c:dLbl>
              <c:idx val="1"/>
              <c:numFmt formatCode="0.00%" sourceLinked="0"/>
              <c:spPr/>
              <c:txPr>
                <a:bodyPr/>
                <a:lstStyle/>
                <a:p>
                  <a:pPr>
                    <a:defRPr sz="600">
                      <a:solidFill>
                        <a:schemeClr val="bg1"/>
                      </a:solidFill>
                      <a:latin typeface="News Gothic Cyr" pitchFamily="34" charset="-52"/>
                    </a:defRPr>
                  </a:pPr>
                  <a:endParaRPr lang="bg-BG"/>
                </a:p>
              </c:txPr>
              <c:showLegendKey val="0"/>
              <c:showVal val="0"/>
              <c:showCatName val="1"/>
              <c:showSerName val="0"/>
              <c:showPercent val="1"/>
              <c:showBubbleSize val="0"/>
            </c:dLbl>
            <c:dLbl>
              <c:idx val="2"/>
              <c:layout>
                <c:manualLayout>
                  <c:x val="-6.8848186243546078E-2"/>
                  <c:y val="-0.34581510644502772"/>
                </c:manualLayout>
              </c:layout>
              <c:showLegendKey val="0"/>
              <c:showVal val="0"/>
              <c:showCatName val="1"/>
              <c:showSerName val="0"/>
              <c:showPercent val="1"/>
              <c:showBubbleSize val="0"/>
            </c:dLbl>
            <c:dLbl>
              <c:idx val="3"/>
              <c:layout>
                <c:manualLayout>
                  <c:x val="0.10681680245216285"/>
                  <c:y val="-0.44048337707786528"/>
                </c:manualLayout>
              </c:layout>
              <c:showLegendKey val="0"/>
              <c:showVal val="0"/>
              <c:showCatName val="1"/>
              <c:showSerName val="0"/>
              <c:showPercent val="1"/>
              <c:showBubbleSize val="0"/>
            </c:dLbl>
            <c:dLbl>
              <c:idx val="4"/>
              <c:layout>
                <c:manualLayout>
                  <c:x val="9.0138436266047228E-2"/>
                  <c:y val="-0.3389472149314669"/>
                </c:manualLayout>
              </c:layout>
              <c:showLegendKey val="0"/>
              <c:showVal val="0"/>
              <c:showCatName val="1"/>
              <c:showSerName val="0"/>
              <c:showPercent val="1"/>
              <c:showBubbleSize val="0"/>
            </c:dLbl>
            <c:dLbl>
              <c:idx val="5"/>
              <c:layout>
                <c:manualLayout>
                  <c:x val="0.30070374521880816"/>
                  <c:y val="-0.40160688247302423"/>
                </c:manualLayout>
              </c:layout>
              <c:showLegendKey val="0"/>
              <c:showVal val="0"/>
              <c:showCatName val="1"/>
              <c:showSerName val="0"/>
              <c:showPercent val="1"/>
              <c:showBubbleSize val="0"/>
            </c:dLbl>
            <c:dLbl>
              <c:idx val="7"/>
              <c:layout>
                <c:manualLayout>
                  <c:x val="0.1231027871822462"/>
                  <c:y val="1.4515893846602508E-3"/>
                </c:manualLayout>
              </c:layout>
              <c:showLegendKey val="0"/>
              <c:showVal val="0"/>
              <c:showCatName val="1"/>
              <c:showSerName val="0"/>
              <c:showPercent val="1"/>
              <c:showBubbleSize val="0"/>
            </c:dLbl>
            <c:dLbl>
              <c:idx val="10"/>
              <c:delete val="1"/>
            </c:dLbl>
            <c:numFmt formatCode="0.00%" sourceLinked="0"/>
            <c:txPr>
              <a:bodyPr/>
              <a:lstStyle/>
              <a:p>
                <a:pPr>
                  <a:defRPr sz="600">
                    <a:latin typeface="News Gothic Cyr" pitchFamily="34" charset="-52"/>
                  </a:defRPr>
                </a:pPr>
                <a:endParaRPr lang="bg-BG"/>
              </a:p>
            </c:txPr>
            <c:showLegendKey val="0"/>
            <c:showVal val="0"/>
            <c:showCatName val="1"/>
            <c:showSerName val="0"/>
            <c:showPercent val="1"/>
            <c:showBubbleSize val="0"/>
            <c:showLeaderLines val="1"/>
          </c:dLbls>
          <c:cat>
            <c:strRef>
              <c:f>branche!$B$19:$B$28</c:f>
              <c:strCache>
                <c:ptCount val="10"/>
                <c:pt idx="0">
                  <c:v>Преработваща промишленост</c:v>
                </c:pt>
                <c:pt idx="1">
                  <c:v>Финансови и застрахователни дейности</c:v>
                </c:pt>
                <c:pt idx="2">
                  <c:v>Професионални дейности и научни изследвания</c:v>
                </c:pt>
                <c:pt idx="3">
                  <c:v>Операции с недвижими имоти</c:v>
                </c:pt>
                <c:pt idx="4">
                  <c:v>Търговия; ремонт на автомобили и мотоциклети</c:v>
                </c:pt>
                <c:pt idx="5">
                  <c:v>Производство и разпределение на електрическа и топлинна енергия и на газообразни горива</c:v>
                </c:pt>
                <c:pt idx="6">
                  <c:v>Транспорт, складиране и пощи</c:v>
                </c:pt>
                <c:pt idx="7">
                  <c:v>Създаване и разпространение на информация и творчески продукти; далекосъобщения</c:v>
                </c:pt>
                <c:pt idx="8">
                  <c:v>Строителство</c:v>
                </c:pt>
                <c:pt idx="9">
                  <c:v>Добивна промишленост</c:v>
                </c:pt>
              </c:strCache>
            </c:strRef>
          </c:cat>
          <c:val>
            <c:numRef>
              <c:f>branche!$E$19:$E$28</c:f>
              <c:numCache>
                <c:formatCode>#,##0.00\ "лв."</c:formatCode>
                <c:ptCount val="10"/>
                <c:pt idx="0">
                  <c:v>235338674.30399999</c:v>
                </c:pt>
                <c:pt idx="1">
                  <c:v>219701395.86899999</c:v>
                </c:pt>
                <c:pt idx="2">
                  <c:v>20313196.554000001</c:v>
                </c:pt>
                <c:pt idx="3">
                  <c:v>4566089.0630000001</c:v>
                </c:pt>
                <c:pt idx="4">
                  <c:v>3230501.4449999998</c:v>
                </c:pt>
                <c:pt idx="5">
                  <c:v>3162664.0660000001</c:v>
                </c:pt>
                <c:pt idx="6">
                  <c:v>2327092.6850000001</c:v>
                </c:pt>
                <c:pt idx="7">
                  <c:v>1757755.6029999999</c:v>
                </c:pt>
                <c:pt idx="8">
                  <c:v>1593928.0260000001</c:v>
                </c:pt>
                <c:pt idx="9">
                  <c:v>557044.09199999995</c:v>
                </c:pt>
              </c:numCache>
            </c:numRef>
          </c:val>
        </c:ser>
        <c:dLbls>
          <c:showLegendKey val="0"/>
          <c:showVal val="0"/>
          <c:showCatName val="0"/>
          <c:showSerName val="0"/>
          <c:showPercent val="0"/>
          <c:showBubbleSize val="0"/>
          <c:showLeaderLines val="1"/>
        </c:dLbls>
        <c:gapWidth val="100"/>
        <c:secondPieSize val="75"/>
        <c:serLines/>
      </c:ofPieChart>
    </c:plotArea>
    <c:plotVisOnly val="1"/>
    <c:dispBlanksAs val="gap"/>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5.2009800967154879E-2"/>
          <c:y val="0.10614104874218912"/>
          <c:w val="0.94799016623301657"/>
          <c:h val="0.81465217606010998"/>
        </c:manualLayout>
      </c:layout>
      <c:bar3DChart>
        <c:barDir val="col"/>
        <c:grouping val="stacked"/>
        <c:varyColors val="0"/>
        <c:ser>
          <c:idx val="0"/>
          <c:order val="0"/>
          <c:tx>
            <c:strRef>
              <c:f>Sheet6!$A$3</c:f>
              <c:strCache>
                <c:ptCount val="1"/>
                <c:pt idx="0">
                  <c:v>BSE, Premium</c:v>
                </c:pt>
              </c:strCache>
            </c:strRef>
          </c:tx>
          <c:spPr>
            <a:gradFill>
              <a:gsLst>
                <a:gs pos="0">
                  <a:srgbClr val="FF0000"/>
                </a:gs>
                <a:gs pos="50000">
                  <a:schemeClr val="accent2">
                    <a:lumMod val="60000"/>
                    <a:lumOff val="40000"/>
                  </a:schemeClr>
                </a:gs>
                <a:gs pos="100000">
                  <a:schemeClr val="accent2">
                    <a:lumMod val="40000"/>
                    <a:lumOff val="60000"/>
                  </a:schemeClr>
                </a:gs>
              </a:gsLst>
              <a:lin ang="5400000" scaled="0"/>
            </a:gradFill>
          </c:spPr>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Sheet6!$D$3:$E$3</c:f>
              <c:numCache>
                <c:formatCode>General</c:formatCode>
                <c:ptCount val="2"/>
                <c:pt idx="0">
                  <c:v>7</c:v>
                </c:pt>
                <c:pt idx="1">
                  <c:v>7</c:v>
                </c:pt>
              </c:numCache>
            </c:numRef>
          </c:val>
        </c:ser>
        <c:ser>
          <c:idx val="1"/>
          <c:order val="1"/>
          <c:tx>
            <c:strRef>
              <c:f>Sheet6!$A$4</c:f>
              <c:strCache>
                <c:ptCount val="1"/>
                <c:pt idx="0">
                  <c:v>BSE, Standard</c:v>
                </c:pt>
              </c:strCache>
            </c:strRef>
          </c:tx>
          <c:spPr>
            <a:solidFill>
              <a:schemeClr val="tx2"/>
            </a:solidFill>
          </c:spPr>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Sheet6!$D$4:$E$4</c:f>
              <c:numCache>
                <c:formatCode>General</c:formatCode>
                <c:ptCount val="2"/>
                <c:pt idx="0">
                  <c:v>90</c:v>
                </c:pt>
                <c:pt idx="1">
                  <c:v>91</c:v>
                </c:pt>
              </c:numCache>
            </c:numRef>
          </c:val>
        </c:ser>
        <c:ser>
          <c:idx val="2"/>
          <c:order val="2"/>
          <c:tx>
            <c:strRef>
              <c:f>Sheet6!$A$5</c:f>
              <c:strCache>
                <c:ptCount val="1"/>
                <c:pt idx="0">
                  <c:v>BSE, АДСИЦ</c:v>
                </c:pt>
              </c:strCache>
            </c:strRef>
          </c:tx>
          <c:spPr>
            <a:solidFill>
              <a:schemeClr val="accent3">
                <a:lumMod val="50000"/>
              </a:schemeClr>
            </a:solidFill>
          </c:spPr>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Sheet6!$D$5:$E$5</c:f>
              <c:numCache>
                <c:formatCode>General</c:formatCode>
                <c:ptCount val="2"/>
                <c:pt idx="0">
                  <c:v>13</c:v>
                </c:pt>
                <c:pt idx="1">
                  <c:v>13</c:v>
                </c:pt>
              </c:numCache>
            </c:numRef>
          </c:val>
        </c:ser>
        <c:ser>
          <c:idx val="3"/>
          <c:order val="3"/>
          <c:tx>
            <c:strRef>
              <c:f>Sheet6!$A$6</c:f>
              <c:strCache>
                <c:ptCount val="1"/>
                <c:pt idx="0">
                  <c:v>BSE, КИС</c:v>
                </c:pt>
              </c:strCache>
            </c:strRef>
          </c:tx>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Sheet6!$D$6:$E$6</c:f>
              <c:numCache>
                <c:formatCode>General</c:formatCode>
                <c:ptCount val="2"/>
                <c:pt idx="0">
                  <c:v>41</c:v>
                </c:pt>
                <c:pt idx="1">
                  <c:v>43</c:v>
                </c:pt>
              </c:numCache>
            </c:numRef>
          </c:val>
        </c:ser>
        <c:ser>
          <c:idx val="4"/>
          <c:order val="4"/>
          <c:tx>
            <c:strRef>
              <c:f>Sheet6!$A$7</c:f>
              <c:strCache>
                <c:ptCount val="1"/>
                <c:pt idx="0">
                  <c:v>BSE, КИ</c:v>
                </c:pt>
              </c:strCache>
            </c:strRef>
          </c:tx>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Sheet6!$D$7:$E$7</c:f>
              <c:numCache>
                <c:formatCode>General</c:formatCode>
                <c:ptCount val="2"/>
                <c:pt idx="0">
                  <c:v>3</c:v>
                </c:pt>
                <c:pt idx="1">
                  <c:v>3</c:v>
                </c:pt>
              </c:numCache>
            </c:numRef>
          </c:val>
        </c:ser>
        <c:ser>
          <c:idx val="5"/>
          <c:order val="5"/>
          <c:tx>
            <c:strRef>
              <c:f>Sheet6!$A$8</c:f>
              <c:strCache>
                <c:ptCount val="1"/>
                <c:pt idx="0">
                  <c:v>BSE, облигации</c:v>
                </c:pt>
              </c:strCache>
            </c:strRef>
          </c:tx>
          <c:spPr>
            <a:solidFill>
              <a:schemeClr val="accent6"/>
            </a:solidFill>
          </c:spPr>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Sheet6!$D$8:$E$8</c:f>
              <c:numCache>
                <c:formatCode>General</c:formatCode>
                <c:ptCount val="2"/>
                <c:pt idx="0">
                  <c:v>57</c:v>
                </c:pt>
                <c:pt idx="1">
                  <c:v>57</c:v>
                </c:pt>
              </c:numCache>
            </c:numRef>
          </c:val>
        </c:ser>
        <c:ser>
          <c:idx val="6"/>
          <c:order val="6"/>
          <c:tx>
            <c:strRef>
              <c:f>Sheet6!$A$9</c:f>
              <c:strCache>
                <c:ptCount val="1"/>
                <c:pt idx="0">
                  <c:v>BSE, структурирани продукти</c:v>
                </c:pt>
              </c:strCache>
            </c:strRef>
          </c:tx>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Sheet6!$D$9:$E$9</c:f>
              <c:numCache>
                <c:formatCode>General</c:formatCode>
                <c:ptCount val="2"/>
                <c:pt idx="0">
                  <c:v>2</c:v>
                </c:pt>
                <c:pt idx="1">
                  <c:v>2</c:v>
                </c:pt>
              </c:numCache>
            </c:numRef>
          </c:val>
        </c:ser>
        <c:ser>
          <c:idx val="7"/>
          <c:order val="7"/>
          <c:tx>
            <c:strRef>
              <c:f>Sheet6!$A$10</c:f>
              <c:strCache>
                <c:ptCount val="1"/>
                <c:pt idx="0">
                  <c:v>BaSE акции</c:v>
                </c:pt>
              </c:strCache>
            </c:strRef>
          </c:t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Sheet6!$D$10:$E$10</c:f>
              <c:numCache>
                <c:formatCode>General</c:formatCode>
                <c:ptCount val="2"/>
                <c:pt idx="0">
                  <c:v>229</c:v>
                </c:pt>
                <c:pt idx="1">
                  <c:v>226</c:v>
                </c:pt>
              </c:numCache>
            </c:numRef>
          </c:val>
        </c:ser>
        <c:ser>
          <c:idx val="8"/>
          <c:order val="8"/>
          <c:tx>
            <c:strRef>
              <c:f>Sheet6!$A$11</c:f>
              <c:strCache>
                <c:ptCount val="1"/>
                <c:pt idx="0">
                  <c:v>BaSE АДСИЦ</c:v>
                </c:pt>
              </c:strCache>
            </c:strRef>
          </c:tx>
          <c:invertIfNegative val="0"/>
          <c:dLbls>
            <c:txPr>
              <a:bodyPr/>
              <a:lstStyle/>
              <a:p>
                <a:pPr>
                  <a:defRPr sz="800">
                    <a:latin typeface="News Gothic Cyr" pitchFamily="34" charset="-52"/>
                  </a:defRPr>
                </a:pPr>
                <a:endParaRPr lang="bg-BG"/>
              </a:p>
            </c:txPr>
            <c:showLegendKey val="0"/>
            <c:showVal val="1"/>
            <c:showCatName val="0"/>
            <c:showSerName val="0"/>
            <c:showPercent val="0"/>
            <c:showBubbleSize val="0"/>
            <c:showLeaderLines val="0"/>
          </c:dLbls>
          <c:cat>
            <c:numRef>
              <c:f>Sheet6!$D$2:$E$2</c:f>
              <c:numCache>
                <c:formatCode>m/d/yyyy</c:formatCode>
                <c:ptCount val="2"/>
                <c:pt idx="0">
                  <c:v>41364</c:v>
                </c:pt>
                <c:pt idx="1">
                  <c:v>41455</c:v>
                </c:pt>
              </c:numCache>
            </c:numRef>
          </c:cat>
          <c:val>
            <c:numRef>
              <c:f>Sheet6!$D$11:$E$11</c:f>
              <c:numCache>
                <c:formatCode>General</c:formatCode>
                <c:ptCount val="2"/>
                <c:pt idx="0">
                  <c:v>52</c:v>
                </c:pt>
                <c:pt idx="1">
                  <c:v>51</c:v>
                </c:pt>
              </c:numCache>
            </c:numRef>
          </c:val>
        </c:ser>
        <c:dLbls>
          <c:showLegendKey val="0"/>
          <c:showVal val="0"/>
          <c:showCatName val="0"/>
          <c:showSerName val="0"/>
          <c:showPercent val="0"/>
          <c:showBubbleSize val="0"/>
        </c:dLbls>
        <c:gapWidth val="150"/>
        <c:shape val="box"/>
        <c:axId val="162557312"/>
        <c:axId val="162559104"/>
        <c:axId val="0"/>
      </c:bar3DChart>
      <c:catAx>
        <c:axId val="162557312"/>
        <c:scaling>
          <c:orientation val="minMax"/>
        </c:scaling>
        <c:delete val="0"/>
        <c:axPos val="b"/>
        <c:numFmt formatCode="m/d/yyyy" sourceLinked="1"/>
        <c:majorTickMark val="out"/>
        <c:minorTickMark val="none"/>
        <c:tickLblPos val="nextTo"/>
        <c:txPr>
          <a:bodyPr/>
          <a:lstStyle/>
          <a:p>
            <a:pPr>
              <a:defRPr sz="800">
                <a:latin typeface="News Gothic Cyr" pitchFamily="34" charset="-52"/>
              </a:defRPr>
            </a:pPr>
            <a:endParaRPr lang="bg-BG"/>
          </a:p>
        </c:txPr>
        <c:crossAx val="162559104"/>
        <c:crosses val="autoZero"/>
        <c:auto val="0"/>
        <c:lblAlgn val="ctr"/>
        <c:lblOffset val="100"/>
        <c:noMultiLvlLbl val="0"/>
      </c:catAx>
      <c:valAx>
        <c:axId val="162559104"/>
        <c:scaling>
          <c:orientation val="minMax"/>
        </c:scaling>
        <c:delete val="0"/>
        <c:axPos val="l"/>
        <c:majorGridlines/>
        <c:numFmt formatCode="General" sourceLinked="1"/>
        <c:majorTickMark val="out"/>
        <c:minorTickMark val="none"/>
        <c:tickLblPos val="nextTo"/>
        <c:txPr>
          <a:bodyPr/>
          <a:lstStyle/>
          <a:p>
            <a:pPr>
              <a:defRPr sz="800">
                <a:latin typeface="News Gothic Cyr" pitchFamily="34" charset="-52"/>
              </a:defRPr>
            </a:pPr>
            <a:endParaRPr lang="bg-BG"/>
          </a:p>
        </c:txPr>
        <c:crossAx val="162557312"/>
        <c:crosses val="autoZero"/>
        <c:crossBetween val="between"/>
      </c:valAx>
    </c:plotArea>
    <c:legend>
      <c:legendPos val="t"/>
      <c:layout>
        <c:manualLayout>
          <c:xMode val="edge"/>
          <c:yMode val="edge"/>
          <c:x val="5.0281989544695331E-3"/>
          <c:y val="0"/>
          <c:w val="0.99132101255938054"/>
          <c:h val="5.5104064182092384E-2"/>
        </c:manualLayout>
      </c:layout>
      <c:overlay val="0"/>
      <c:txPr>
        <a:bodyPr/>
        <a:lstStyle/>
        <a:p>
          <a:pPr>
            <a:defRPr sz="500">
              <a:latin typeface="News Gothic Cyr" pitchFamily="34" charset="-52"/>
            </a:defRPr>
          </a:pPr>
          <a:endParaRPr lang="bg-BG"/>
        </a:p>
      </c:txPr>
    </c:legend>
    <c:plotVisOnly val="1"/>
    <c:dispBlanksAs val="gap"/>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378583048738312E-2"/>
          <c:y val="5.1400554097404488E-2"/>
          <c:w val="0.88230267478763647"/>
          <c:h val="0.84373067949839609"/>
        </c:manualLayout>
      </c:layout>
      <c:lineChart>
        <c:grouping val="standard"/>
        <c:varyColors val="0"/>
        <c:ser>
          <c:idx val="1"/>
          <c:order val="0"/>
          <c:spPr>
            <a:ln>
              <a:solidFill>
                <a:schemeClr val="accent1"/>
              </a:solidFill>
            </a:ln>
          </c:spPr>
          <c:marker>
            <c:symbol val="none"/>
          </c:marker>
          <c:cat>
            <c:numRef>
              <c:f>Index!$C$2:$C$122</c:f>
              <c:numCache>
                <c:formatCode>m/d/yyyy\ h:mm</c:formatCode>
                <c:ptCount val="121"/>
                <c:pt idx="0">
                  <c:v>41276.71875</c:v>
                </c:pt>
                <c:pt idx="1">
                  <c:v>41277.71875</c:v>
                </c:pt>
                <c:pt idx="2">
                  <c:v>41278.71875</c:v>
                </c:pt>
                <c:pt idx="3">
                  <c:v>41281.71875</c:v>
                </c:pt>
                <c:pt idx="4">
                  <c:v>41282.71875</c:v>
                </c:pt>
                <c:pt idx="5">
                  <c:v>41283.71875</c:v>
                </c:pt>
                <c:pt idx="6">
                  <c:v>41284.71875</c:v>
                </c:pt>
                <c:pt idx="7">
                  <c:v>41285.71875</c:v>
                </c:pt>
                <c:pt idx="8">
                  <c:v>41288.71875</c:v>
                </c:pt>
                <c:pt idx="9">
                  <c:v>41289.71875</c:v>
                </c:pt>
                <c:pt idx="10">
                  <c:v>41290.71875</c:v>
                </c:pt>
                <c:pt idx="11">
                  <c:v>41291.71875</c:v>
                </c:pt>
                <c:pt idx="12">
                  <c:v>41292.71875</c:v>
                </c:pt>
                <c:pt idx="13">
                  <c:v>41295.71875</c:v>
                </c:pt>
                <c:pt idx="14">
                  <c:v>41296.71875</c:v>
                </c:pt>
                <c:pt idx="15">
                  <c:v>41297.71875</c:v>
                </c:pt>
                <c:pt idx="16">
                  <c:v>41298.71875</c:v>
                </c:pt>
                <c:pt idx="17">
                  <c:v>41299.71875</c:v>
                </c:pt>
                <c:pt idx="18">
                  <c:v>41302.71875</c:v>
                </c:pt>
                <c:pt idx="19">
                  <c:v>41303.71875</c:v>
                </c:pt>
                <c:pt idx="20">
                  <c:v>41304.71875</c:v>
                </c:pt>
                <c:pt idx="21">
                  <c:v>41305.71875</c:v>
                </c:pt>
                <c:pt idx="22">
                  <c:v>41306.71875</c:v>
                </c:pt>
                <c:pt idx="23">
                  <c:v>41309.71875</c:v>
                </c:pt>
                <c:pt idx="24">
                  <c:v>41310.71875</c:v>
                </c:pt>
                <c:pt idx="25">
                  <c:v>41311.71875</c:v>
                </c:pt>
                <c:pt idx="26">
                  <c:v>41312.71875</c:v>
                </c:pt>
                <c:pt idx="27">
                  <c:v>41313.71875</c:v>
                </c:pt>
                <c:pt idx="28">
                  <c:v>41316.71875</c:v>
                </c:pt>
                <c:pt idx="29">
                  <c:v>41317.71875</c:v>
                </c:pt>
                <c:pt idx="30">
                  <c:v>41318.71875</c:v>
                </c:pt>
                <c:pt idx="31">
                  <c:v>41319.71875</c:v>
                </c:pt>
                <c:pt idx="32">
                  <c:v>41320.71875</c:v>
                </c:pt>
                <c:pt idx="33">
                  <c:v>41323.71875</c:v>
                </c:pt>
                <c:pt idx="34">
                  <c:v>41324.71875</c:v>
                </c:pt>
                <c:pt idx="35">
                  <c:v>41325.71875</c:v>
                </c:pt>
                <c:pt idx="36">
                  <c:v>41326.71875</c:v>
                </c:pt>
                <c:pt idx="37">
                  <c:v>41327.71875</c:v>
                </c:pt>
                <c:pt idx="38">
                  <c:v>41330.71875</c:v>
                </c:pt>
                <c:pt idx="39">
                  <c:v>41331.71875</c:v>
                </c:pt>
                <c:pt idx="40">
                  <c:v>41332.71875</c:v>
                </c:pt>
                <c:pt idx="41">
                  <c:v>41333.71875</c:v>
                </c:pt>
                <c:pt idx="42">
                  <c:v>41334.71875</c:v>
                </c:pt>
                <c:pt idx="43">
                  <c:v>41337.71875</c:v>
                </c:pt>
                <c:pt idx="44">
                  <c:v>41338.71875</c:v>
                </c:pt>
                <c:pt idx="45">
                  <c:v>41339.71875</c:v>
                </c:pt>
                <c:pt idx="46">
                  <c:v>41340.71875</c:v>
                </c:pt>
                <c:pt idx="47">
                  <c:v>41341.71875</c:v>
                </c:pt>
                <c:pt idx="48">
                  <c:v>41344.71875</c:v>
                </c:pt>
                <c:pt idx="49">
                  <c:v>41345.71875</c:v>
                </c:pt>
                <c:pt idx="50">
                  <c:v>41346.71875</c:v>
                </c:pt>
                <c:pt idx="51">
                  <c:v>41347.71875</c:v>
                </c:pt>
                <c:pt idx="52">
                  <c:v>41348.71875</c:v>
                </c:pt>
                <c:pt idx="53">
                  <c:v>41351.71875</c:v>
                </c:pt>
                <c:pt idx="54">
                  <c:v>41352.71875</c:v>
                </c:pt>
                <c:pt idx="55">
                  <c:v>41353.71875</c:v>
                </c:pt>
                <c:pt idx="56">
                  <c:v>41354.71875</c:v>
                </c:pt>
                <c:pt idx="57">
                  <c:v>41355.71875</c:v>
                </c:pt>
                <c:pt idx="58">
                  <c:v>41358.71875</c:v>
                </c:pt>
                <c:pt idx="59">
                  <c:v>41359.71875</c:v>
                </c:pt>
                <c:pt idx="60">
                  <c:v>41360.71875</c:v>
                </c:pt>
                <c:pt idx="61">
                  <c:v>41361.71875</c:v>
                </c:pt>
                <c:pt idx="62">
                  <c:v>41366.71875</c:v>
                </c:pt>
                <c:pt idx="63">
                  <c:v>41367.71875</c:v>
                </c:pt>
                <c:pt idx="64">
                  <c:v>41368.71875</c:v>
                </c:pt>
                <c:pt idx="65">
                  <c:v>41369.71875</c:v>
                </c:pt>
                <c:pt idx="66">
                  <c:v>41372.71875</c:v>
                </c:pt>
                <c:pt idx="67">
                  <c:v>41373.71875</c:v>
                </c:pt>
                <c:pt idx="68">
                  <c:v>41374.71875</c:v>
                </c:pt>
                <c:pt idx="69">
                  <c:v>41375.71875</c:v>
                </c:pt>
                <c:pt idx="70">
                  <c:v>41376.71875</c:v>
                </c:pt>
                <c:pt idx="71">
                  <c:v>41379.71875</c:v>
                </c:pt>
                <c:pt idx="72">
                  <c:v>41380.71875</c:v>
                </c:pt>
                <c:pt idx="73">
                  <c:v>41381.71875</c:v>
                </c:pt>
                <c:pt idx="74">
                  <c:v>41382.71875</c:v>
                </c:pt>
                <c:pt idx="75">
                  <c:v>41383.71875</c:v>
                </c:pt>
                <c:pt idx="76">
                  <c:v>41386.71875</c:v>
                </c:pt>
                <c:pt idx="77">
                  <c:v>41387.71875</c:v>
                </c:pt>
                <c:pt idx="78">
                  <c:v>41388.71875</c:v>
                </c:pt>
                <c:pt idx="79">
                  <c:v>41389.71875</c:v>
                </c:pt>
                <c:pt idx="80">
                  <c:v>41390.71875</c:v>
                </c:pt>
                <c:pt idx="81">
                  <c:v>41393.71875</c:v>
                </c:pt>
                <c:pt idx="82">
                  <c:v>41394.71875</c:v>
                </c:pt>
                <c:pt idx="83">
                  <c:v>41401.71875</c:v>
                </c:pt>
                <c:pt idx="84">
                  <c:v>41402.71875</c:v>
                </c:pt>
                <c:pt idx="85">
                  <c:v>41403.71875</c:v>
                </c:pt>
                <c:pt idx="86">
                  <c:v>41404.71875</c:v>
                </c:pt>
                <c:pt idx="87">
                  <c:v>41407.71875</c:v>
                </c:pt>
                <c:pt idx="88">
                  <c:v>41408.71875</c:v>
                </c:pt>
                <c:pt idx="89">
                  <c:v>41409.71875</c:v>
                </c:pt>
                <c:pt idx="90">
                  <c:v>41410.71875</c:v>
                </c:pt>
                <c:pt idx="91">
                  <c:v>41411.71875</c:v>
                </c:pt>
                <c:pt idx="92">
                  <c:v>41414.71875</c:v>
                </c:pt>
                <c:pt idx="93">
                  <c:v>41415.71875</c:v>
                </c:pt>
                <c:pt idx="94">
                  <c:v>41416.71875</c:v>
                </c:pt>
                <c:pt idx="95">
                  <c:v>41417.71875</c:v>
                </c:pt>
                <c:pt idx="96">
                  <c:v>41421.71875</c:v>
                </c:pt>
                <c:pt idx="97">
                  <c:v>41422.71875</c:v>
                </c:pt>
                <c:pt idx="98">
                  <c:v>41423.71875</c:v>
                </c:pt>
                <c:pt idx="99">
                  <c:v>41424.71875</c:v>
                </c:pt>
                <c:pt idx="100">
                  <c:v>41425.71875</c:v>
                </c:pt>
                <c:pt idx="101">
                  <c:v>41428.71875</c:v>
                </c:pt>
                <c:pt idx="102">
                  <c:v>41429.71875</c:v>
                </c:pt>
                <c:pt idx="103">
                  <c:v>41430.71875</c:v>
                </c:pt>
                <c:pt idx="104">
                  <c:v>41431.71875</c:v>
                </c:pt>
                <c:pt idx="105">
                  <c:v>41432.71875</c:v>
                </c:pt>
                <c:pt idx="106">
                  <c:v>41435.71875</c:v>
                </c:pt>
                <c:pt idx="107">
                  <c:v>41436.71875</c:v>
                </c:pt>
                <c:pt idx="108">
                  <c:v>41437.71875</c:v>
                </c:pt>
                <c:pt idx="109">
                  <c:v>41438.71875</c:v>
                </c:pt>
                <c:pt idx="110">
                  <c:v>41439.71875</c:v>
                </c:pt>
                <c:pt idx="111">
                  <c:v>41442.71875</c:v>
                </c:pt>
                <c:pt idx="112">
                  <c:v>41443.71875</c:v>
                </c:pt>
                <c:pt idx="113">
                  <c:v>41444.71875</c:v>
                </c:pt>
                <c:pt idx="114">
                  <c:v>41445.71875</c:v>
                </c:pt>
                <c:pt idx="115">
                  <c:v>41446.71875</c:v>
                </c:pt>
                <c:pt idx="116">
                  <c:v>41449.71875</c:v>
                </c:pt>
                <c:pt idx="117">
                  <c:v>41450.71875</c:v>
                </c:pt>
                <c:pt idx="118">
                  <c:v>41451.71875</c:v>
                </c:pt>
                <c:pt idx="119">
                  <c:v>41452.71875</c:v>
                </c:pt>
                <c:pt idx="120">
                  <c:v>41453.71875</c:v>
                </c:pt>
              </c:numCache>
            </c:numRef>
          </c:cat>
          <c:val>
            <c:numRef>
              <c:f>Index!$D$2:$D$122</c:f>
              <c:numCache>
                <c:formatCode>General</c:formatCode>
                <c:ptCount val="121"/>
                <c:pt idx="0">
                  <c:v>343.72</c:v>
                </c:pt>
                <c:pt idx="1">
                  <c:v>347.21</c:v>
                </c:pt>
                <c:pt idx="2">
                  <c:v>350.47</c:v>
                </c:pt>
                <c:pt idx="3">
                  <c:v>352.54</c:v>
                </c:pt>
                <c:pt idx="4">
                  <c:v>354.13</c:v>
                </c:pt>
                <c:pt idx="5">
                  <c:v>360.27</c:v>
                </c:pt>
                <c:pt idx="6">
                  <c:v>361.65</c:v>
                </c:pt>
                <c:pt idx="7">
                  <c:v>365.26</c:v>
                </c:pt>
                <c:pt idx="8">
                  <c:v>364.8</c:v>
                </c:pt>
                <c:pt idx="9">
                  <c:v>360.38</c:v>
                </c:pt>
                <c:pt idx="10">
                  <c:v>360.88</c:v>
                </c:pt>
                <c:pt idx="11">
                  <c:v>363.16</c:v>
                </c:pt>
                <c:pt idx="12">
                  <c:v>363.23</c:v>
                </c:pt>
                <c:pt idx="13">
                  <c:v>362.8</c:v>
                </c:pt>
                <c:pt idx="14">
                  <c:v>368.13</c:v>
                </c:pt>
                <c:pt idx="15">
                  <c:v>370.11</c:v>
                </c:pt>
                <c:pt idx="16">
                  <c:v>378.32</c:v>
                </c:pt>
                <c:pt idx="17">
                  <c:v>384.61</c:v>
                </c:pt>
                <c:pt idx="18">
                  <c:v>391.82</c:v>
                </c:pt>
                <c:pt idx="19">
                  <c:v>388.57</c:v>
                </c:pt>
                <c:pt idx="20">
                  <c:v>397.12</c:v>
                </c:pt>
                <c:pt idx="21">
                  <c:v>399.59</c:v>
                </c:pt>
                <c:pt idx="22">
                  <c:v>397.16</c:v>
                </c:pt>
                <c:pt idx="23">
                  <c:v>388.34</c:v>
                </c:pt>
                <c:pt idx="24">
                  <c:v>388.67</c:v>
                </c:pt>
                <c:pt idx="25">
                  <c:v>390.43</c:v>
                </c:pt>
                <c:pt idx="26">
                  <c:v>397.01</c:v>
                </c:pt>
                <c:pt idx="27">
                  <c:v>398.72</c:v>
                </c:pt>
                <c:pt idx="28">
                  <c:v>401.56</c:v>
                </c:pt>
                <c:pt idx="29">
                  <c:v>411.96</c:v>
                </c:pt>
                <c:pt idx="30">
                  <c:v>412.63</c:v>
                </c:pt>
                <c:pt idx="31">
                  <c:v>410.25</c:v>
                </c:pt>
                <c:pt idx="32">
                  <c:v>408.42</c:v>
                </c:pt>
                <c:pt idx="33">
                  <c:v>401.77</c:v>
                </c:pt>
                <c:pt idx="34">
                  <c:v>393.29</c:v>
                </c:pt>
                <c:pt idx="35">
                  <c:v>382.7</c:v>
                </c:pt>
                <c:pt idx="36">
                  <c:v>387.17</c:v>
                </c:pt>
                <c:pt idx="37">
                  <c:v>387.67</c:v>
                </c:pt>
                <c:pt idx="38">
                  <c:v>383.38</c:v>
                </c:pt>
                <c:pt idx="39">
                  <c:v>366.52</c:v>
                </c:pt>
                <c:pt idx="40">
                  <c:v>373.37</c:v>
                </c:pt>
                <c:pt idx="41">
                  <c:v>382.04</c:v>
                </c:pt>
                <c:pt idx="42">
                  <c:v>382.84</c:v>
                </c:pt>
                <c:pt idx="43">
                  <c:v>378.94</c:v>
                </c:pt>
                <c:pt idx="44">
                  <c:v>382.69</c:v>
                </c:pt>
                <c:pt idx="45">
                  <c:v>384.65</c:v>
                </c:pt>
                <c:pt idx="46">
                  <c:v>386</c:v>
                </c:pt>
                <c:pt idx="47">
                  <c:v>389.87</c:v>
                </c:pt>
                <c:pt idx="48">
                  <c:v>382.16</c:v>
                </c:pt>
                <c:pt idx="49">
                  <c:v>388.18</c:v>
                </c:pt>
                <c:pt idx="50">
                  <c:v>382.44</c:v>
                </c:pt>
                <c:pt idx="51">
                  <c:v>377.96</c:v>
                </c:pt>
                <c:pt idx="52">
                  <c:v>379.54</c:v>
                </c:pt>
                <c:pt idx="53">
                  <c:v>375.18</c:v>
                </c:pt>
                <c:pt idx="54">
                  <c:v>375.15</c:v>
                </c:pt>
                <c:pt idx="55">
                  <c:v>377.15</c:v>
                </c:pt>
                <c:pt idx="56">
                  <c:v>379.41</c:v>
                </c:pt>
                <c:pt idx="57">
                  <c:v>380.91</c:v>
                </c:pt>
                <c:pt idx="58">
                  <c:v>381.53</c:v>
                </c:pt>
                <c:pt idx="59">
                  <c:v>381.67</c:v>
                </c:pt>
                <c:pt idx="60">
                  <c:v>381.31</c:v>
                </c:pt>
                <c:pt idx="61">
                  <c:v>384.29</c:v>
                </c:pt>
                <c:pt idx="62">
                  <c:v>383.48</c:v>
                </c:pt>
                <c:pt idx="63">
                  <c:v>382.13</c:v>
                </c:pt>
                <c:pt idx="64">
                  <c:v>382.77</c:v>
                </c:pt>
                <c:pt idx="65">
                  <c:v>381.12</c:v>
                </c:pt>
                <c:pt idx="66">
                  <c:v>384.25</c:v>
                </c:pt>
                <c:pt idx="67">
                  <c:v>382.87</c:v>
                </c:pt>
                <c:pt idx="68">
                  <c:v>387.89</c:v>
                </c:pt>
                <c:pt idx="69">
                  <c:v>386.68</c:v>
                </c:pt>
                <c:pt idx="70">
                  <c:v>383.85</c:v>
                </c:pt>
                <c:pt idx="71">
                  <c:v>384.09</c:v>
                </c:pt>
                <c:pt idx="72">
                  <c:v>385.92</c:v>
                </c:pt>
                <c:pt idx="73">
                  <c:v>383.2</c:v>
                </c:pt>
                <c:pt idx="74">
                  <c:v>383.78</c:v>
                </c:pt>
                <c:pt idx="75">
                  <c:v>385.18</c:v>
                </c:pt>
                <c:pt idx="76">
                  <c:v>386.63</c:v>
                </c:pt>
                <c:pt idx="77">
                  <c:v>387.01</c:v>
                </c:pt>
                <c:pt idx="78">
                  <c:v>395.46</c:v>
                </c:pt>
                <c:pt idx="79">
                  <c:v>397.25</c:v>
                </c:pt>
                <c:pt idx="80">
                  <c:v>396.71</c:v>
                </c:pt>
                <c:pt idx="81">
                  <c:v>398.41</c:v>
                </c:pt>
                <c:pt idx="82">
                  <c:v>400.19</c:v>
                </c:pt>
                <c:pt idx="83">
                  <c:v>406.91</c:v>
                </c:pt>
                <c:pt idx="84">
                  <c:v>408.29</c:v>
                </c:pt>
                <c:pt idx="85">
                  <c:v>409.54</c:v>
                </c:pt>
                <c:pt idx="86">
                  <c:v>408.55</c:v>
                </c:pt>
                <c:pt idx="87">
                  <c:v>407.21</c:v>
                </c:pt>
                <c:pt idx="88">
                  <c:v>406.47</c:v>
                </c:pt>
                <c:pt idx="89">
                  <c:v>412.07</c:v>
                </c:pt>
                <c:pt idx="90">
                  <c:v>412.72</c:v>
                </c:pt>
                <c:pt idx="91">
                  <c:v>407.9</c:v>
                </c:pt>
                <c:pt idx="92">
                  <c:v>413.57</c:v>
                </c:pt>
                <c:pt idx="93">
                  <c:v>412.31</c:v>
                </c:pt>
                <c:pt idx="94">
                  <c:v>414.48</c:v>
                </c:pt>
                <c:pt idx="95">
                  <c:v>415.42</c:v>
                </c:pt>
                <c:pt idx="96">
                  <c:v>417.64</c:v>
                </c:pt>
                <c:pt idx="97">
                  <c:v>418.68</c:v>
                </c:pt>
                <c:pt idx="98">
                  <c:v>421.95</c:v>
                </c:pt>
                <c:pt idx="99">
                  <c:v>429.85</c:v>
                </c:pt>
                <c:pt idx="100">
                  <c:v>430.15</c:v>
                </c:pt>
                <c:pt idx="101">
                  <c:v>426.32</c:v>
                </c:pt>
                <c:pt idx="102">
                  <c:v>430.1</c:v>
                </c:pt>
                <c:pt idx="103">
                  <c:v>436.47</c:v>
                </c:pt>
                <c:pt idx="104">
                  <c:v>436.24</c:v>
                </c:pt>
                <c:pt idx="105">
                  <c:v>442.14</c:v>
                </c:pt>
                <c:pt idx="106">
                  <c:v>443.96</c:v>
                </c:pt>
                <c:pt idx="107">
                  <c:v>448.23</c:v>
                </c:pt>
                <c:pt idx="108">
                  <c:v>444.46</c:v>
                </c:pt>
                <c:pt idx="109">
                  <c:v>443.52</c:v>
                </c:pt>
                <c:pt idx="110">
                  <c:v>441.85</c:v>
                </c:pt>
                <c:pt idx="111">
                  <c:v>438.76</c:v>
                </c:pt>
                <c:pt idx="112">
                  <c:v>435.08</c:v>
                </c:pt>
                <c:pt idx="113">
                  <c:v>441.14</c:v>
                </c:pt>
                <c:pt idx="114">
                  <c:v>436.66</c:v>
                </c:pt>
                <c:pt idx="115">
                  <c:v>438.6</c:v>
                </c:pt>
                <c:pt idx="116">
                  <c:v>440.4</c:v>
                </c:pt>
                <c:pt idx="117">
                  <c:v>439.17</c:v>
                </c:pt>
                <c:pt idx="118">
                  <c:v>443.29</c:v>
                </c:pt>
                <c:pt idx="119">
                  <c:v>443.1</c:v>
                </c:pt>
                <c:pt idx="120">
                  <c:v>443.77</c:v>
                </c:pt>
              </c:numCache>
            </c:numRef>
          </c:val>
          <c:smooth val="0"/>
        </c:ser>
        <c:dLbls>
          <c:showLegendKey val="0"/>
          <c:showVal val="0"/>
          <c:showCatName val="0"/>
          <c:showSerName val="0"/>
          <c:showPercent val="0"/>
          <c:showBubbleSize val="0"/>
        </c:dLbls>
        <c:marker val="1"/>
        <c:smooth val="0"/>
        <c:axId val="163352576"/>
        <c:axId val="163354112"/>
      </c:lineChart>
      <c:dateAx>
        <c:axId val="163352576"/>
        <c:scaling>
          <c:orientation val="minMax"/>
        </c:scaling>
        <c:delete val="0"/>
        <c:axPos val="b"/>
        <c:numFmt formatCode="dd/mm" sourceLinked="0"/>
        <c:majorTickMark val="out"/>
        <c:minorTickMark val="none"/>
        <c:tickLblPos val="nextTo"/>
        <c:txPr>
          <a:bodyPr rot="-5400000" vert="horz"/>
          <a:lstStyle/>
          <a:p>
            <a:pPr>
              <a:defRPr/>
            </a:pPr>
            <a:endParaRPr lang="bg-BG"/>
          </a:p>
        </c:txPr>
        <c:crossAx val="163354112"/>
        <c:crosses val="autoZero"/>
        <c:auto val="0"/>
        <c:lblOffset val="100"/>
        <c:baseTimeUnit val="days"/>
      </c:dateAx>
      <c:valAx>
        <c:axId val="163354112"/>
        <c:scaling>
          <c:orientation val="minMax"/>
          <c:max val="460"/>
          <c:min val="340"/>
        </c:scaling>
        <c:delete val="0"/>
        <c:axPos val="l"/>
        <c:majorGridlines/>
        <c:numFmt formatCode="General" sourceLinked="1"/>
        <c:majorTickMark val="out"/>
        <c:minorTickMark val="none"/>
        <c:tickLblPos val="nextTo"/>
        <c:crossAx val="163352576"/>
        <c:crosses val="autoZero"/>
        <c:crossBetween val="between"/>
      </c:valAx>
      <c:spPr>
        <a:noFill/>
        <a:ln w="25400">
          <a:noFill/>
        </a:ln>
      </c:spPr>
    </c:plotArea>
    <c:plotVisOnly val="1"/>
    <c:dispBlanksAs val="gap"/>
    <c:showDLblsOverMax val="0"/>
  </c:chart>
  <c:spPr>
    <a:noFill/>
    <a:ln>
      <a:noFill/>
    </a:ln>
    <a:effectLst>
      <a:outerShdw blurRad="50800" dist="38100" dir="2700000" algn="tl" rotWithShape="0">
        <a:prstClr val="black">
          <a:alpha val="40000"/>
        </a:prstClr>
      </a:outerShdw>
    </a:effectLst>
  </c:spPr>
  <c:txPr>
    <a:bodyPr/>
    <a:lstStyle/>
    <a:p>
      <a:pPr>
        <a:defRPr sz="600">
          <a:latin typeface="News Gothic Cyr" pitchFamily="34" charset="-52"/>
        </a:defRPr>
      </a:pPr>
      <a:endParaRPr lang="bg-BG"/>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a:solidFill>
                <a:schemeClr val="accent6"/>
              </a:solidFill>
            </a:ln>
          </c:spPr>
          <c:marker>
            <c:symbol val="none"/>
          </c:marker>
          <c:cat>
            <c:numRef>
              <c:f>Index!$C$365:$C$485</c:f>
              <c:numCache>
                <c:formatCode>m/d/yyyy\ h:mm</c:formatCode>
                <c:ptCount val="121"/>
                <c:pt idx="0">
                  <c:v>41276.71875</c:v>
                </c:pt>
                <c:pt idx="1">
                  <c:v>41277.71875</c:v>
                </c:pt>
                <c:pt idx="2">
                  <c:v>41278.71875</c:v>
                </c:pt>
                <c:pt idx="3">
                  <c:v>41281.71875</c:v>
                </c:pt>
                <c:pt idx="4">
                  <c:v>41282.71875</c:v>
                </c:pt>
                <c:pt idx="5">
                  <c:v>41283.71875</c:v>
                </c:pt>
                <c:pt idx="6">
                  <c:v>41284.71875</c:v>
                </c:pt>
                <c:pt idx="7">
                  <c:v>41285.71875</c:v>
                </c:pt>
                <c:pt idx="8">
                  <c:v>41288.71875</c:v>
                </c:pt>
                <c:pt idx="9">
                  <c:v>41289.71875</c:v>
                </c:pt>
                <c:pt idx="10">
                  <c:v>41290.71875</c:v>
                </c:pt>
                <c:pt idx="11">
                  <c:v>41291.71875</c:v>
                </c:pt>
                <c:pt idx="12">
                  <c:v>41292.71875</c:v>
                </c:pt>
                <c:pt idx="13">
                  <c:v>41295.71875</c:v>
                </c:pt>
                <c:pt idx="14">
                  <c:v>41296.71875</c:v>
                </c:pt>
                <c:pt idx="15">
                  <c:v>41297.71875</c:v>
                </c:pt>
                <c:pt idx="16">
                  <c:v>41298.71875</c:v>
                </c:pt>
                <c:pt idx="17">
                  <c:v>41299.71875</c:v>
                </c:pt>
                <c:pt idx="18">
                  <c:v>41302.71875</c:v>
                </c:pt>
                <c:pt idx="19">
                  <c:v>41303.71875</c:v>
                </c:pt>
                <c:pt idx="20">
                  <c:v>41304.71875</c:v>
                </c:pt>
                <c:pt idx="21">
                  <c:v>41305.71875</c:v>
                </c:pt>
                <c:pt idx="22">
                  <c:v>41306.71875</c:v>
                </c:pt>
                <c:pt idx="23">
                  <c:v>41309.71875</c:v>
                </c:pt>
                <c:pt idx="24">
                  <c:v>41310.71875</c:v>
                </c:pt>
                <c:pt idx="25">
                  <c:v>41311.71875</c:v>
                </c:pt>
                <c:pt idx="26">
                  <c:v>41312.71875</c:v>
                </c:pt>
                <c:pt idx="27">
                  <c:v>41313.71875</c:v>
                </c:pt>
                <c:pt idx="28">
                  <c:v>41316.71875</c:v>
                </c:pt>
                <c:pt idx="29">
                  <c:v>41317.71875</c:v>
                </c:pt>
                <c:pt idx="30">
                  <c:v>41318.71875</c:v>
                </c:pt>
                <c:pt idx="31">
                  <c:v>41319.71875</c:v>
                </c:pt>
                <c:pt idx="32">
                  <c:v>41320.71875</c:v>
                </c:pt>
                <c:pt idx="33">
                  <c:v>41323.71875</c:v>
                </c:pt>
                <c:pt idx="34">
                  <c:v>41324.71875</c:v>
                </c:pt>
                <c:pt idx="35">
                  <c:v>41325.71875</c:v>
                </c:pt>
                <c:pt idx="36">
                  <c:v>41326.71875</c:v>
                </c:pt>
                <c:pt idx="37">
                  <c:v>41327.71875</c:v>
                </c:pt>
                <c:pt idx="38">
                  <c:v>41330.71875</c:v>
                </c:pt>
                <c:pt idx="39">
                  <c:v>41331.71875</c:v>
                </c:pt>
                <c:pt idx="40">
                  <c:v>41332.71875</c:v>
                </c:pt>
                <c:pt idx="41">
                  <c:v>41333.71875</c:v>
                </c:pt>
                <c:pt idx="42">
                  <c:v>41334.71875</c:v>
                </c:pt>
                <c:pt idx="43">
                  <c:v>41337.71875</c:v>
                </c:pt>
                <c:pt idx="44">
                  <c:v>41338.71875</c:v>
                </c:pt>
                <c:pt idx="45">
                  <c:v>41339.71875</c:v>
                </c:pt>
                <c:pt idx="46">
                  <c:v>41340.71875</c:v>
                </c:pt>
                <c:pt idx="47">
                  <c:v>41341.71875</c:v>
                </c:pt>
                <c:pt idx="48">
                  <c:v>41344.71875</c:v>
                </c:pt>
                <c:pt idx="49">
                  <c:v>41345.71875</c:v>
                </c:pt>
                <c:pt idx="50">
                  <c:v>41346.71875</c:v>
                </c:pt>
                <c:pt idx="51">
                  <c:v>41347.71875</c:v>
                </c:pt>
                <c:pt idx="52">
                  <c:v>41348.71875</c:v>
                </c:pt>
                <c:pt idx="53">
                  <c:v>41351.71875</c:v>
                </c:pt>
                <c:pt idx="54">
                  <c:v>41352.71875</c:v>
                </c:pt>
                <c:pt idx="55">
                  <c:v>41353.71875</c:v>
                </c:pt>
                <c:pt idx="56">
                  <c:v>41354.71875</c:v>
                </c:pt>
                <c:pt idx="57">
                  <c:v>41355.71875</c:v>
                </c:pt>
                <c:pt idx="58">
                  <c:v>41358.71875</c:v>
                </c:pt>
                <c:pt idx="59">
                  <c:v>41359.71875</c:v>
                </c:pt>
                <c:pt idx="60">
                  <c:v>41360.71875</c:v>
                </c:pt>
                <c:pt idx="61">
                  <c:v>41361.71875</c:v>
                </c:pt>
                <c:pt idx="62">
                  <c:v>41366.71875</c:v>
                </c:pt>
                <c:pt idx="63">
                  <c:v>41367.71875</c:v>
                </c:pt>
                <c:pt idx="64">
                  <c:v>41368.71875</c:v>
                </c:pt>
                <c:pt idx="65">
                  <c:v>41369.71875</c:v>
                </c:pt>
                <c:pt idx="66">
                  <c:v>41372.71875</c:v>
                </c:pt>
                <c:pt idx="67">
                  <c:v>41373.71875</c:v>
                </c:pt>
                <c:pt idx="68">
                  <c:v>41374.71875</c:v>
                </c:pt>
                <c:pt idx="69">
                  <c:v>41375.71875</c:v>
                </c:pt>
                <c:pt idx="70">
                  <c:v>41376.71875</c:v>
                </c:pt>
                <c:pt idx="71">
                  <c:v>41379.71875</c:v>
                </c:pt>
                <c:pt idx="72">
                  <c:v>41380.71875</c:v>
                </c:pt>
                <c:pt idx="73">
                  <c:v>41381.71875</c:v>
                </c:pt>
                <c:pt idx="74">
                  <c:v>41382.71875</c:v>
                </c:pt>
                <c:pt idx="75">
                  <c:v>41383.71875</c:v>
                </c:pt>
                <c:pt idx="76">
                  <c:v>41386.71875</c:v>
                </c:pt>
                <c:pt idx="77">
                  <c:v>41387.71875</c:v>
                </c:pt>
                <c:pt idx="78">
                  <c:v>41388.71875</c:v>
                </c:pt>
                <c:pt idx="79">
                  <c:v>41389.71875</c:v>
                </c:pt>
                <c:pt idx="80">
                  <c:v>41390.71875</c:v>
                </c:pt>
                <c:pt idx="81">
                  <c:v>41393.71875</c:v>
                </c:pt>
                <c:pt idx="82">
                  <c:v>41394.71875</c:v>
                </c:pt>
                <c:pt idx="83">
                  <c:v>41401.71875</c:v>
                </c:pt>
                <c:pt idx="84">
                  <c:v>41402.71875</c:v>
                </c:pt>
                <c:pt idx="85">
                  <c:v>41403.71875</c:v>
                </c:pt>
                <c:pt idx="86">
                  <c:v>41404.71875</c:v>
                </c:pt>
                <c:pt idx="87">
                  <c:v>41407.71875</c:v>
                </c:pt>
                <c:pt idx="88">
                  <c:v>41408.71875</c:v>
                </c:pt>
                <c:pt idx="89">
                  <c:v>41409.71875</c:v>
                </c:pt>
                <c:pt idx="90">
                  <c:v>41410.71875</c:v>
                </c:pt>
                <c:pt idx="91">
                  <c:v>41411.71875</c:v>
                </c:pt>
                <c:pt idx="92">
                  <c:v>41414.71875</c:v>
                </c:pt>
                <c:pt idx="93">
                  <c:v>41415.71875</c:v>
                </c:pt>
                <c:pt idx="94">
                  <c:v>41416.71875</c:v>
                </c:pt>
                <c:pt idx="95">
                  <c:v>41417.71875</c:v>
                </c:pt>
                <c:pt idx="96">
                  <c:v>41421.71875</c:v>
                </c:pt>
                <c:pt idx="97">
                  <c:v>41422.71875</c:v>
                </c:pt>
                <c:pt idx="98">
                  <c:v>41423.71875</c:v>
                </c:pt>
                <c:pt idx="99">
                  <c:v>41424.71875</c:v>
                </c:pt>
                <c:pt idx="100">
                  <c:v>41425.71875</c:v>
                </c:pt>
                <c:pt idx="101">
                  <c:v>41428.71875</c:v>
                </c:pt>
                <c:pt idx="102">
                  <c:v>41429.71875</c:v>
                </c:pt>
                <c:pt idx="103">
                  <c:v>41430.71875</c:v>
                </c:pt>
                <c:pt idx="104">
                  <c:v>41431.71875</c:v>
                </c:pt>
                <c:pt idx="105">
                  <c:v>41432.71875</c:v>
                </c:pt>
                <c:pt idx="106">
                  <c:v>41435.71875</c:v>
                </c:pt>
                <c:pt idx="107">
                  <c:v>41436.71875</c:v>
                </c:pt>
                <c:pt idx="108">
                  <c:v>41437.71875</c:v>
                </c:pt>
                <c:pt idx="109">
                  <c:v>41438.71875</c:v>
                </c:pt>
                <c:pt idx="110">
                  <c:v>41439.71875</c:v>
                </c:pt>
                <c:pt idx="111">
                  <c:v>41442.71875</c:v>
                </c:pt>
                <c:pt idx="112">
                  <c:v>41443.71875</c:v>
                </c:pt>
                <c:pt idx="113">
                  <c:v>41444.71875</c:v>
                </c:pt>
                <c:pt idx="114">
                  <c:v>41445.71875</c:v>
                </c:pt>
                <c:pt idx="115">
                  <c:v>41446.71875</c:v>
                </c:pt>
                <c:pt idx="116">
                  <c:v>41449.71875</c:v>
                </c:pt>
                <c:pt idx="117">
                  <c:v>41450.71875</c:v>
                </c:pt>
                <c:pt idx="118">
                  <c:v>41451.71875</c:v>
                </c:pt>
                <c:pt idx="119">
                  <c:v>41452.71875</c:v>
                </c:pt>
                <c:pt idx="120">
                  <c:v>41453.71875</c:v>
                </c:pt>
              </c:numCache>
            </c:numRef>
          </c:cat>
          <c:val>
            <c:numRef>
              <c:f>Index!$D$365:$D$485</c:f>
              <c:numCache>
                <c:formatCode>General</c:formatCode>
                <c:ptCount val="121"/>
                <c:pt idx="0">
                  <c:v>256.67</c:v>
                </c:pt>
                <c:pt idx="1">
                  <c:v>257.07</c:v>
                </c:pt>
                <c:pt idx="2">
                  <c:v>259.64999999999998</c:v>
                </c:pt>
                <c:pt idx="3">
                  <c:v>258.47000000000003</c:v>
                </c:pt>
                <c:pt idx="4">
                  <c:v>261.48</c:v>
                </c:pt>
                <c:pt idx="5">
                  <c:v>268.42</c:v>
                </c:pt>
                <c:pt idx="6">
                  <c:v>271.8</c:v>
                </c:pt>
                <c:pt idx="7">
                  <c:v>274.61</c:v>
                </c:pt>
                <c:pt idx="8">
                  <c:v>272.12</c:v>
                </c:pt>
                <c:pt idx="9">
                  <c:v>270.29000000000002</c:v>
                </c:pt>
                <c:pt idx="10">
                  <c:v>269.35000000000002</c:v>
                </c:pt>
                <c:pt idx="11">
                  <c:v>269.99</c:v>
                </c:pt>
                <c:pt idx="12">
                  <c:v>269.52</c:v>
                </c:pt>
                <c:pt idx="13">
                  <c:v>268.70999999999998</c:v>
                </c:pt>
                <c:pt idx="14">
                  <c:v>272.47000000000003</c:v>
                </c:pt>
                <c:pt idx="15">
                  <c:v>277.45</c:v>
                </c:pt>
                <c:pt idx="16">
                  <c:v>281.07</c:v>
                </c:pt>
                <c:pt idx="17">
                  <c:v>287.74</c:v>
                </c:pt>
                <c:pt idx="18">
                  <c:v>293.49</c:v>
                </c:pt>
                <c:pt idx="19">
                  <c:v>292.10000000000002</c:v>
                </c:pt>
                <c:pt idx="20">
                  <c:v>300.68</c:v>
                </c:pt>
                <c:pt idx="21">
                  <c:v>302.73</c:v>
                </c:pt>
                <c:pt idx="22">
                  <c:v>297.52</c:v>
                </c:pt>
                <c:pt idx="23">
                  <c:v>294.2</c:v>
                </c:pt>
                <c:pt idx="24">
                  <c:v>293.67</c:v>
                </c:pt>
                <c:pt idx="25">
                  <c:v>294.66000000000003</c:v>
                </c:pt>
                <c:pt idx="26">
                  <c:v>295.7</c:v>
                </c:pt>
                <c:pt idx="27">
                  <c:v>298.99</c:v>
                </c:pt>
                <c:pt idx="28">
                  <c:v>300.89999999999998</c:v>
                </c:pt>
                <c:pt idx="29">
                  <c:v>303.45</c:v>
                </c:pt>
                <c:pt idx="30">
                  <c:v>304.18</c:v>
                </c:pt>
                <c:pt idx="31">
                  <c:v>299.95999999999998</c:v>
                </c:pt>
                <c:pt idx="32">
                  <c:v>299.42</c:v>
                </c:pt>
                <c:pt idx="33">
                  <c:v>292.83</c:v>
                </c:pt>
                <c:pt idx="34">
                  <c:v>289.19</c:v>
                </c:pt>
                <c:pt idx="35">
                  <c:v>281.38</c:v>
                </c:pt>
                <c:pt idx="36">
                  <c:v>286.27999999999997</c:v>
                </c:pt>
                <c:pt idx="37">
                  <c:v>287.70999999999998</c:v>
                </c:pt>
                <c:pt idx="38">
                  <c:v>284.67</c:v>
                </c:pt>
                <c:pt idx="39">
                  <c:v>274.99</c:v>
                </c:pt>
                <c:pt idx="40">
                  <c:v>279.97000000000003</c:v>
                </c:pt>
                <c:pt idx="41">
                  <c:v>285.52</c:v>
                </c:pt>
                <c:pt idx="42">
                  <c:v>281.60000000000002</c:v>
                </c:pt>
                <c:pt idx="43">
                  <c:v>280.77</c:v>
                </c:pt>
                <c:pt idx="44">
                  <c:v>282.70999999999998</c:v>
                </c:pt>
                <c:pt idx="45">
                  <c:v>284.92</c:v>
                </c:pt>
                <c:pt idx="46">
                  <c:v>284.89</c:v>
                </c:pt>
                <c:pt idx="47">
                  <c:v>288.29000000000002</c:v>
                </c:pt>
                <c:pt idx="48">
                  <c:v>285.52999999999997</c:v>
                </c:pt>
                <c:pt idx="49">
                  <c:v>288.20999999999998</c:v>
                </c:pt>
                <c:pt idx="50">
                  <c:v>281.83</c:v>
                </c:pt>
                <c:pt idx="51">
                  <c:v>282.31</c:v>
                </c:pt>
                <c:pt idx="52">
                  <c:v>282.87</c:v>
                </c:pt>
                <c:pt idx="53">
                  <c:v>282.83</c:v>
                </c:pt>
                <c:pt idx="54">
                  <c:v>281.94</c:v>
                </c:pt>
                <c:pt idx="55">
                  <c:v>280.52</c:v>
                </c:pt>
                <c:pt idx="56">
                  <c:v>281.76</c:v>
                </c:pt>
                <c:pt idx="57">
                  <c:v>282.05</c:v>
                </c:pt>
                <c:pt idx="58">
                  <c:v>283.49</c:v>
                </c:pt>
                <c:pt idx="59">
                  <c:v>284.35000000000002</c:v>
                </c:pt>
                <c:pt idx="60">
                  <c:v>283.82</c:v>
                </c:pt>
                <c:pt idx="61">
                  <c:v>285.22000000000003</c:v>
                </c:pt>
                <c:pt idx="62">
                  <c:v>284.92</c:v>
                </c:pt>
                <c:pt idx="63">
                  <c:v>284.17</c:v>
                </c:pt>
                <c:pt idx="64">
                  <c:v>283.37</c:v>
                </c:pt>
                <c:pt idx="65">
                  <c:v>282.83</c:v>
                </c:pt>
                <c:pt idx="66">
                  <c:v>284.25</c:v>
                </c:pt>
                <c:pt idx="67">
                  <c:v>283.02999999999997</c:v>
                </c:pt>
                <c:pt idx="68">
                  <c:v>284.87</c:v>
                </c:pt>
                <c:pt idx="69">
                  <c:v>284.60000000000002</c:v>
                </c:pt>
                <c:pt idx="70">
                  <c:v>283.64</c:v>
                </c:pt>
                <c:pt idx="71">
                  <c:v>282.13</c:v>
                </c:pt>
                <c:pt idx="72">
                  <c:v>283.83999999999997</c:v>
                </c:pt>
                <c:pt idx="73">
                  <c:v>281.27</c:v>
                </c:pt>
                <c:pt idx="74">
                  <c:v>281.94</c:v>
                </c:pt>
                <c:pt idx="75">
                  <c:v>284.36</c:v>
                </c:pt>
                <c:pt idx="76">
                  <c:v>285.26</c:v>
                </c:pt>
                <c:pt idx="77">
                  <c:v>285.56</c:v>
                </c:pt>
                <c:pt idx="78">
                  <c:v>288.20999999999998</c:v>
                </c:pt>
                <c:pt idx="79">
                  <c:v>289.64999999999998</c:v>
                </c:pt>
                <c:pt idx="80">
                  <c:v>291.35000000000002</c:v>
                </c:pt>
                <c:pt idx="81">
                  <c:v>291.51</c:v>
                </c:pt>
                <c:pt idx="82">
                  <c:v>292.48</c:v>
                </c:pt>
                <c:pt idx="83">
                  <c:v>295.74</c:v>
                </c:pt>
                <c:pt idx="84">
                  <c:v>297.56</c:v>
                </c:pt>
                <c:pt idx="85">
                  <c:v>298.14999999999998</c:v>
                </c:pt>
                <c:pt idx="86">
                  <c:v>297.64999999999998</c:v>
                </c:pt>
                <c:pt idx="87">
                  <c:v>297.02</c:v>
                </c:pt>
                <c:pt idx="88">
                  <c:v>294.10000000000002</c:v>
                </c:pt>
                <c:pt idx="89">
                  <c:v>295.55</c:v>
                </c:pt>
                <c:pt idx="90">
                  <c:v>296.17</c:v>
                </c:pt>
                <c:pt idx="91">
                  <c:v>294.82</c:v>
                </c:pt>
                <c:pt idx="92">
                  <c:v>294.36</c:v>
                </c:pt>
                <c:pt idx="93">
                  <c:v>293.44</c:v>
                </c:pt>
                <c:pt idx="94">
                  <c:v>295.60000000000002</c:v>
                </c:pt>
                <c:pt idx="95">
                  <c:v>295.41000000000003</c:v>
                </c:pt>
                <c:pt idx="96">
                  <c:v>295.41000000000003</c:v>
                </c:pt>
                <c:pt idx="97">
                  <c:v>298.14999999999998</c:v>
                </c:pt>
                <c:pt idx="98">
                  <c:v>298.68</c:v>
                </c:pt>
                <c:pt idx="99">
                  <c:v>303.11</c:v>
                </c:pt>
                <c:pt idx="100">
                  <c:v>303.70999999999998</c:v>
                </c:pt>
                <c:pt idx="101">
                  <c:v>302.70999999999998</c:v>
                </c:pt>
                <c:pt idx="102">
                  <c:v>304.47000000000003</c:v>
                </c:pt>
                <c:pt idx="103">
                  <c:v>306.43</c:v>
                </c:pt>
                <c:pt idx="104">
                  <c:v>307.22000000000003</c:v>
                </c:pt>
                <c:pt idx="105">
                  <c:v>311.37</c:v>
                </c:pt>
                <c:pt idx="106">
                  <c:v>311.77</c:v>
                </c:pt>
                <c:pt idx="107">
                  <c:v>314.69</c:v>
                </c:pt>
                <c:pt idx="108">
                  <c:v>310.52</c:v>
                </c:pt>
                <c:pt idx="109">
                  <c:v>309.47000000000003</c:v>
                </c:pt>
                <c:pt idx="110">
                  <c:v>309.62</c:v>
                </c:pt>
                <c:pt idx="111">
                  <c:v>309.54000000000002</c:v>
                </c:pt>
                <c:pt idx="112">
                  <c:v>307.85000000000002</c:v>
                </c:pt>
                <c:pt idx="113">
                  <c:v>309.97000000000003</c:v>
                </c:pt>
                <c:pt idx="114">
                  <c:v>306.77999999999997</c:v>
                </c:pt>
                <c:pt idx="115">
                  <c:v>305.3</c:v>
                </c:pt>
                <c:pt idx="116">
                  <c:v>308.39</c:v>
                </c:pt>
                <c:pt idx="117">
                  <c:v>311.63</c:v>
                </c:pt>
                <c:pt idx="118">
                  <c:v>310.81</c:v>
                </c:pt>
                <c:pt idx="119">
                  <c:v>313.79000000000002</c:v>
                </c:pt>
                <c:pt idx="120">
                  <c:v>315.81</c:v>
                </c:pt>
              </c:numCache>
            </c:numRef>
          </c:val>
          <c:smooth val="0"/>
        </c:ser>
        <c:dLbls>
          <c:showLegendKey val="0"/>
          <c:showVal val="0"/>
          <c:showCatName val="0"/>
          <c:showSerName val="0"/>
          <c:showPercent val="0"/>
          <c:showBubbleSize val="0"/>
        </c:dLbls>
        <c:marker val="1"/>
        <c:smooth val="0"/>
        <c:axId val="165619200"/>
        <c:axId val="165620736"/>
      </c:lineChart>
      <c:dateAx>
        <c:axId val="165619200"/>
        <c:scaling>
          <c:orientation val="minMax"/>
        </c:scaling>
        <c:delete val="0"/>
        <c:axPos val="b"/>
        <c:numFmt formatCode="dd/mm" sourceLinked="0"/>
        <c:majorTickMark val="out"/>
        <c:minorTickMark val="none"/>
        <c:tickLblPos val="nextTo"/>
        <c:txPr>
          <a:bodyPr rot="-5400000" vert="horz"/>
          <a:lstStyle/>
          <a:p>
            <a:pPr>
              <a:defRPr sz="600">
                <a:latin typeface="News Gothic Cyr" pitchFamily="34" charset="-52"/>
              </a:defRPr>
            </a:pPr>
            <a:endParaRPr lang="bg-BG"/>
          </a:p>
        </c:txPr>
        <c:crossAx val="165620736"/>
        <c:crosses val="autoZero"/>
        <c:auto val="0"/>
        <c:lblOffset val="100"/>
        <c:baseTimeUnit val="days"/>
      </c:dateAx>
      <c:valAx>
        <c:axId val="165620736"/>
        <c:scaling>
          <c:orientation val="minMax"/>
          <c:min val="250"/>
        </c:scaling>
        <c:delete val="0"/>
        <c:axPos val="l"/>
        <c:majorGridlines/>
        <c:numFmt formatCode="General" sourceLinked="1"/>
        <c:majorTickMark val="out"/>
        <c:minorTickMark val="none"/>
        <c:tickLblPos val="nextTo"/>
        <c:txPr>
          <a:bodyPr/>
          <a:lstStyle/>
          <a:p>
            <a:pPr>
              <a:defRPr sz="600">
                <a:latin typeface="News Gothic Cyr" pitchFamily="34" charset="-52"/>
              </a:defRPr>
            </a:pPr>
            <a:endParaRPr lang="bg-BG"/>
          </a:p>
        </c:txPr>
        <c:crossAx val="165619200"/>
        <c:crosses val="autoZero"/>
        <c:crossBetween val="between"/>
      </c:valAx>
    </c:plotArea>
    <c:plotVisOnly val="1"/>
    <c:dispBlanksAs val="gap"/>
    <c:showDLblsOverMax val="0"/>
  </c:chart>
  <c:spPr>
    <a:noFill/>
    <a:ln>
      <a:noFill/>
    </a:ln>
    <a:effectLst>
      <a:outerShdw blurRad="50800" dist="38100" dir="2700000" algn="tl" rotWithShape="0">
        <a:prstClr val="black">
          <a:alpha val="40000"/>
        </a:prstClr>
      </a:outerShdw>
    </a:effectLst>
  </c:sp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a:solidFill>
                <a:schemeClr val="accent4"/>
              </a:solidFill>
            </a:ln>
          </c:spPr>
          <c:marker>
            <c:symbol val="none"/>
          </c:marker>
          <c:cat>
            <c:numRef>
              <c:f>Index!$C$123:$C$243</c:f>
              <c:numCache>
                <c:formatCode>m/d/yyyy\ h:mm</c:formatCode>
                <c:ptCount val="121"/>
                <c:pt idx="0">
                  <c:v>41276.71875</c:v>
                </c:pt>
                <c:pt idx="1">
                  <c:v>41277.71875</c:v>
                </c:pt>
                <c:pt idx="2">
                  <c:v>41278.71875</c:v>
                </c:pt>
                <c:pt idx="3">
                  <c:v>41281.71875</c:v>
                </c:pt>
                <c:pt idx="4">
                  <c:v>41282.71875</c:v>
                </c:pt>
                <c:pt idx="5">
                  <c:v>41283.71875</c:v>
                </c:pt>
                <c:pt idx="6">
                  <c:v>41284.71875</c:v>
                </c:pt>
                <c:pt idx="7">
                  <c:v>41285.71875</c:v>
                </c:pt>
                <c:pt idx="8">
                  <c:v>41288.71875</c:v>
                </c:pt>
                <c:pt idx="9">
                  <c:v>41289.71875</c:v>
                </c:pt>
                <c:pt idx="10">
                  <c:v>41290.71875</c:v>
                </c:pt>
                <c:pt idx="11">
                  <c:v>41291.71875</c:v>
                </c:pt>
                <c:pt idx="12">
                  <c:v>41292.71875</c:v>
                </c:pt>
                <c:pt idx="13">
                  <c:v>41295.71875</c:v>
                </c:pt>
                <c:pt idx="14">
                  <c:v>41296.71875</c:v>
                </c:pt>
                <c:pt idx="15">
                  <c:v>41297.71875</c:v>
                </c:pt>
                <c:pt idx="16">
                  <c:v>41298.71875</c:v>
                </c:pt>
                <c:pt idx="17">
                  <c:v>41299.71875</c:v>
                </c:pt>
                <c:pt idx="18">
                  <c:v>41302.71875</c:v>
                </c:pt>
                <c:pt idx="19">
                  <c:v>41303.71875</c:v>
                </c:pt>
                <c:pt idx="20">
                  <c:v>41304.71875</c:v>
                </c:pt>
                <c:pt idx="21">
                  <c:v>41305.71875</c:v>
                </c:pt>
                <c:pt idx="22">
                  <c:v>41306.71875</c:v>
                </c:pt>
                <c:pt idx="23">
                  <c:v>41309.71875</c:v>
                </c:pt>
                <c:pt idx="24">
                  <c:v>41310.71875</c:v>
                </c:pt>
                <c:pt idx="25">
                  <c:v>41311.71875</c:v>
                </c:pt>
                <c:pt idx="26">
                  <c:v>41312.71875</c:v>
                </c:pt>
                <c:pt idx="27">
                  <c:v>41313.71875</c:v>
                </c:pt>
                <c:pt idx="28">
                  <c:v>41316.71875</c:v>
                </c:pt>
                <c:pt idx="29">
                  <c:v>41317.71875</c:v>
                </c:pt>
                <c:pt idx="30">
                  <c:v>41318.71875</c:v>
                </c:pt>
                <c:pt idx="31">
                  <c:v>41319.71875</c:v>
                </c:pt>
                <c:pt idx="32">
                  <c:v>41320.71875</c:v>
                </c:pt>
                <c:pt idx="33">
                  <c:v>41323.71875</c:v>
                </c:pt>
                <c:pt idx="34">
                  <c:v>41324.71875</c:v>
                </c:pt>
                <c:pt idx="35">
                  <c:v>41325.71875</c:v>
                </c:pt>
                <c:pt idx="36">
                  <c:v>41326.71875</c:v>
                </c:pt>
                <c:pt idx="37">
                  <c:v>41327.71875</c:v>
                </c:pt>
                <c:pt idx="38">
                  <c:v>41330.71875</c:v>
                </c:pt>
                <c:pt idx="39">
                  <c:v>41331.71875</c:v>
                </c:pt>
                <c:pt idx="40">
                  <c:v>41332.71875</c:v>
                </c:pt>
                <c:pt idx="41">
                  <c:v>41333.71875</c:v>
                </c:pt>
                <c:pt idx="42">
                  <c:v>41334.71875</c:v>
                </c:pt>
                <c:pt idx="43">
                  <c:v>41337.71875</c:v>
                </c:pt>
                <c:pt idx="44">
                  <c:v>41338.71875</c:v>
                </c:pt>
                <c:pt idx="45">
                  <c:v>41339.71875</c:v>
                </c:pt>
                <c:pt idx="46">
                  <c:v>41340.71875</c:v>
                </c:pt>
                <c:pt idx="47">
                  <c:v>41341.71875</c:v>
                </c:pt>
                <c:pt idx="48">
                  <c:v>41344.71875</c:v>
                </c:pt>
                <c:pt idx="49">
                  <c:v>41345.71875</c:v>
                </c:pt>
                <c:pt idx="50">
                  <c:v>41346.71875</c:v>
                </c:pt>
                <c:pt idx="51">
                  <c:v>41347.71875</c:v>
                </c:pt>
                <c:pt idx="52">
                  <c:v>41348.71875</c:v>
                </c:pt>
                <c:pt idx="53">
                  <c:v>41351.71875</c:v>
                </c:pt>
                <c:pt idx="54">
                  <c:v>41352.71875</c:v>
                </c:pt>
                <c:pt idx="55">
                  <c:v>41353.71875</c:v>
                </c:pt>
                <c:pt idx="56">
                  <c:v>41354.71875</c:v>
                </c:pt>
                <c:pt idx="57">
                  <c:v>41355.71875</c:v>
                </c:pt>
                <c:pt idx="58">
                  <c:v>41358.71875</c:v>
                </c:pt>
                <c:pt idx="59">
                  <c:v>41359.71875</c:v>
                </c:pt>
                <c:pt idx="60">
                  <c:v>41360.71875</c:v>
                </c:pt>
                <c:pt idx="61">
                  <c:v>41361.71875</c:v>
                </c:pt>
                <c:pt idx="62">
                  <c:v>41366.71875</c:v>
                </c:pt>
                <c:pt idx="63">
                  <c:v>41367.71875</c:v>
                </c:pt>
                <c:pt idx="64">
                  <c:v>41368.71875</c:v>
                </c:pt>
                <c:pt idx="65">
                  <c:v>41369.71875</c:v>
                </c:pt>
                <c:pt idx="66">
                  <c:v>41372.71875</c:v>
                </c:pt>
                <c:pt idx="67">
                  <c:v>41373.71875</c:v>
                </c:pt>
                <c:pt idx="68">
                  <c:v>41374.71875</c:v>
                </c:pt>
                <c:pt idx="69">
                  <c:v>41375.71875</c:v>
                </c:pt>
                <c:pt idx="70">
                  <c:v>41376.71875</c:v>
                </c:pt>
                <c:pt idx="71">
                  <c:v>41379.71875</c:v>
                </c:pt>
                <c:pt idx="72">
                  <c:v>41380.71875</c:v>
                </c:pt>
                <c:pt idx="73">
                  <c:v>41381.71875</c:v>
                </c:pt>
                <c:pt idx="74">
                  <c:v>41382.71875</c:v>
                </c:pt>
                <c:pt idx="75">
                  <c:v>41383.71875</c:v>
                </c:pt>
                <c:pt idx="76">
                  <c:v>41386.71875</c:v>
                </c:pt>
                <c:pt idx="77">
                  <c:v>41387.71875</c:v>
                </c:pt>
                <c:pt idx="78">
                  <c:v>41388.71875</c:v>
                </c:pt>
                <c:pt idx="79">
                  <c:v>41389.71875</c:v>
                </c:pt>
                <c:pt idx="80">
                  <c:v>41390.71875</c:v>
                </c:pt>
                <c:pt idx="81">
                  <c:v>41393.71875</c:v>
                </c:pt>
                <c:pt idx="82">
                  <c:v>41394.71875</c:v>
                </c:pt>
                <c:pt idx="83">
                  <c:v>41401.71875</c:v>
                </c:pt>
                <c:pt idx="84">
                  <c:v>41402.71875</c:v>
                </c:pt>
                <c:pt idx="85">
                  <c:v>41403.71875</c:v>
                </c:pt>
                <c:pt idx="86">
                  <c:v>41404.71875</c:v>
                </c:pt>
                <c:pt idx="87">
                  <c:v>41407.71875</c:v>
                </c:pt>
                <c:pt idx="88">
                  <c:v>41408.71875</c:v>
                </c:pt>
                <c:pt idx="89">
                  <c:v>41409.71875</c:v>
                </c:pt>
                <c:pt idx="90">
                  <c:v>41410.71875</c:v>
                </c:pt>
                <c:pt idx="91">
                  <c:v>41411.71875</c:v>
                </c:pt>
                <c:pt idx="92">
                  <c:v>41414.71875</c:v>
                </c:pt>
                <c:pt idx="93">
                  <c:v>41415.71875</c:v>
                </c:pt>
                <c:pt idx="94">
                  <c:v>41416.71875</c:v>
                </c:pt>
                <c:pt idx="95">
                  <c:v>41417.71875</c:v>
                </c:pt>
                <c:pt idx="96">
                  <c:v>41421.71875</c:v>
                </c:pt>
                <c:pt idx="97">
                  <c:v>41422.71875</c:v>
                </c:pt>
                <c:pt idx="98">
                  <c:v>41423.71875</c:v>
                </c:pt>
                <c:pt idx="99">
                  <c:v>41424.71875</c:v>
                </c:pt>
                <c:pt idx="100">
                  <c:v>41425.71875</c:v>
                </c:pt>
                <c:pt idx="101">
                  <c:v>41428.71875</c:v>
                </c:pt>
                <c:pt idx="102">
                  <c:v>41429.71875</c:v>
                </c:pt>
                <c:pt idx="103">
                  <c:v>41430.71875</c:v>
                </c:pt>
                <c:pt idx="104">
                  <c:v>41431.71875</c:v>
                </c:pt>
                <c:pt idx="105">
                  <c:v>41432.71875</c:v>
                </c:pt>
                <c:pt idx="106">
                  <c:v>41435.71875</c:v>
                </c:pt>
                <c:pt idx="107">
                  <c:v>41436.71875</c:v>
                </c:pt>
                <c:pt idx="108">
                  <c:v>41437.71875</c:v>
                </c:pt>
                <c:pt idx="109">
                  <c:v>41438.71875</c:v>
                </c:pt>
                <c:pt idx="110">
                  <c:v>41439.71875</c:v>
                </c:pt>
                <c:pt idx="111">
                  <c:v>41442.71875</c:v>
                </c:pt>
                <c:pt idx="112">
                  <c:v>41443.71875</c:v>
                </c:pt>
                <c:pt idx="113">
                  <c:v>41444.71875</c:v>
                </c:pt>
                <c:pt idx="114">
                  <c:v>41445.71875</c:v>
                </c:pt>
                <c:pt idx="115">
                  <c:v>41446.71875</c:v>
                </c:pt>
                <c:pt idx="116">
                  <c:v>41449.71875</c:v>
                </c:pt>
                <c:pt idx="117">
                  <c:v>41450.71875</c:v>
                </c:pt>
                <c:pt idx="118">
                  <c:v>41451.71875</c:v>
                </c:pt>
                <c:pt idx="119">
                  <c:v>41452.71875</c:v>
                </c:pt>
                <c:pt idx="120">
                  <c:v>41453.71875</c:v>
                </c:pt>
              </c:numCache>
            </c:numRef>
          </c:cat>
          <c:val>
            <c:numRef>
              <c:f>Index!$D$123:$D$243</c:f>
              <c:numCache>
                <c:formatCode>General</c:formatCode>
                <c:ptCount val="121"/>
                <c:pt idx="0">
                  <c:v>125.06</c:v>
                </c:pt>
                <c:pt idx="1">
                  <c:v>125.31</c:v>
                </c:pt>
                <c:pt idx="2">
                  <c:v>125.32</c:v>
                </c:pt>
                <c:pt idx="3">
                  <c:v>126.21</c:v>
                </c:pt>
                <c:pt idx="4">
                  <c:v>125.06</c:v>
                </c:pt>
                <c:pt idx="5">
                  <c:v>126.68</c:v>
                </c:pt>
                <c:pt idx="6">
                  <c:v>126.85</c:v>
                </c:pt>
                <c:pt idx="7">
                  <c:v>128.09</c:v>
                </c:pt>
                <c:pt idx="8">
                  <c:v>127.46</c:v>
                </c:pt>
                <c:pt idx="9">
                  <c:v>125.36</c:v>
                </c:pt>
                <c:pt idx="10">
                  <c:v>126.08</c:v>
                </c:pt>
                <c:pt idx="11">
                  <c:v>125.43</c:v>
                </c:pt>
                <c:pt idx="12">
                  <c:v>125.19</c:v>
                </c:pt>
                <c:pt idx="13">
                  <c:v>125.75</c:v>
                </c:pt>
                <c:pt idx="14">
                  <c:v>126.32</c:v>
                </c:pt>
                <c:pt idx="15">
                  <c:v>126.17</c:v>
                </c:pt>
                <c:pt idx="16">
                  <c:v>127.87</c:v>
                </c:pt>
                <c:pt idx="17">
                  <c:v>129.69</c:v>
                </c:pt>
                <c:pt idx="18">
                  <c:v>130.94</c:v>
                </c:pt>
                <c:pt idx="19">
                  <c:v>130.75</c:v>
                </c:pt>
                <c:pt idx="20">
                  <c:v>129.76</c:v>
                </c:pt>
                <c:pt idx="21">
                  <c:v>130.75</c:v>
                </c:pt>
                <c:pt idx="22">
                  <c:v>130.83000000000001</c:v>
                </c:pt>
                <c:pt idx="23">
                  <c:v>129.09</c:v>
                </c:pt>
                <c:pt idx="24">
                  <c:v>129.57</c:v>
                </c:pt>
                <c:pt idx="25">
                  <c:v>129.68</c:v>
                </c:pt>
                <c:pt idx="26">
                  <c:v>132.41999999999999</c:v>
                </c:pt>
                <c:pt idx="27">
                  <c:v>132.66</c:v>
                </c:pt>
                <c:pt idx="28">
                  <c:v>133.4</c:v>
                </c:pt>
                <c:pt idx="29">
                  <c:v>135.63999999999999</c:v>
                </c:pt>
                <c:pt idx="30">
                  <c:v>134.97</c:v>
                </c:pt>
                <c:pt idx="31">
                  <c:v>134.72999999999999</c:v>
                </c:pt>
                <c:pt idx="32">
                  <c:v>135.02000000000001</c:v>
                </c:pt>
                <c:pt idx="33">
                  <c:v>134.72999999999999</c:v>
                </c:pt>
                <c:pt idx="34">
                  <c:v>132.51</c:v>
                </c:pt>
                <c:pt idx="35">
                  <c:v>129.09</c:v>
                </c:pt>
                <c:pt idx="36">
                  <c:v>130.31</c:v>
                </c:pt>
                <c:pt idx="37">
                  <c:v>130.83000000000001</c:v>
                </c:pt>
                <c:pt idx="38">
                  <c:v>129.47</c:v>
                </c:pt>
                <c:pt idx="39">
                  <c:v>124.89</c:v>
                </c:pt>
                <c:pt idx="40">
                  <c:v>124.5</c:v>
                </c:pt>
                <c:pt idx="41">
                  <c:v>128.37</c:v>
                </c:pt>
                <c:pt idx="42">
                  <c:v>129.43</c:v>
                </c:pt>
                <c:pt idx="43">
                  <c:v>128.55000000000001</c:v>
                </c:pt>
                <c:pt idx="44">
                  <c:v>131.04</c:v>
                </c:pt>
                <c:pt idx="45">
                  <c:v>131.74</c:v>
                </c:pt>
                <c:pt idx="46">
                  <c:v>134.21</c:v>
                </c:pt>
                <c:pt idx="47">
                  <c:v>136.1</c:v>
                </c:pt>
                <c:pt idx="48">
                  <c:v>131.81</c:v>
                </c:pt>
                <c:pt idx="49">
                  <c:v>134.41</c:v>
                </c:pt>
                <c:pt idx="50">
                  <c:v>131.76</c:v>
                </c:pt>
                <c:pt idx="51">
                  <c:v>130.74</c:v>
                </c:pt>
                <c:pt idx="52">
                  <c:v>130.41999999999999</c:v>
                </c:pt>
                <c:pt idx="53">
                  <c:v>130.21</c:v>
                </c:pt>
                <c:pt idx="54">
                  <c:v>128.80000000000001</c:v>
                </c:pt>
                <c:pt idx="55">
                  <c:v>129.9</c:v>
                </c:pt>
                <c:pt idx="56">
                  <c:v>129.76</c:v>
                </c:pt>
                <c:pt idx="57">
                  <c:v>126.86</c:v>
                </c:pt>
                <c:pt idx="58">
                  <c:v>129.81</c:v>
                </c:pt>
                <c:pt idx="59">
                  <c:v>127.89</c:v>
                </c:pt>
                <c:pt idx="60">
                  <c:v>126.16</c:v>
                </c:pt>
                <c:pt idx="61">
                  <c:v>126.29</c:v>
                </c:pt>
                <c:pt idx="62">
                  <c:v>126.48</c:v>
                </c:pt>
                <c:pt idx="63">
                  <c:v>126.56</c:v>
                </c:pt>
                <c:pt idx="64">
                  <c:v>126.67</c:v>
                </c:pt>
                <c:pt idx="65">
                  <c:v>126.67</c:v>
                </c:pt>
                <c:pt idx="66">
                  <c:v>126.13</c:v>
                </c:pt>
                <c:pt idx="67">
                  <c:v>127.13</c:v>
                </c:pt>
                <c:pt idx="68">
                  <c:v>126.49</c:v>
                </c:pt>
                <c:pt idx="69">
                  <c:v>127.65</c:v>
                </c:pt>
                <c:pt idx="70">
                  <c:v>132.08000000000001</c:v>
                </c:pt>
                <c:pt idx="71">
                  <c:v>132.37</c:v>
                </c:pt>
                <c:pt idx="72">
                  <c:v>130.99</c:v>
                </c:pt>
                <c:pt idx="73">
                  <c:v>134.52000000000001</c:v>
                </c:pt>
                <c:pt idx="74">
                  <c:v>133.31</c:v>
                </c:pt>
                <c:pt idx="75">
                  <c:v>134.28</c:v>
                </c:pt>
                <c:pt idx="76">
                  <c:v>137.75</c:v>
                </c:pt>
                <c:pt idx="77">
                  <c:v>137.41</c:v>
                </c:pt>
                <c:pt idx="78">
                  <c:v>137.44999999999999</c:v>
                </c:pt>
                <c:pt idx="79">
                  <c:v>137.88999999999999</c:v>
                </c:pt>
                <c:pt idx="80">
                  <c:v>137.91</c:v>
                </c:pt>
                <c:pt idx="81">
                  <c:v>137.9</c:v>
                </c:pt>
                <c:pt idx="82">
                  <c:v>139.08000000000001</c:v>
                </c:pt>
                <c:pt idx="83">
                  <c:v>138.05000000000001</c:v>
                </c:pt>
                <c:pt idx="84">
                  <c:v>137.88</c:v>
                </c:pt>
                <c:pt idx="85">
                  <c:v>137.54</c:v>
                </c:pt>
                <c:pt idx="86">
                  <c:v>137.54</c:v>
                </c:pt>
                <c:pt idx="87">
                  <c:v>135.71</c:v>
                </c:pt>
                <c:pt idx="88">
                  <c:v>135.69</c:v>
                </c:pt>
                <c:pt idx="89">
                  <c:v>135.6</c:v>
                </c:pt>
                <c:pt idx="90">
                  <c:v>134.96</c:v>
                </c:pt>
                <c:pt idx="91">
                  <c:v>133.69</c:v>
                </c:pt>
                <c:pt idx="92">
                  <c:v>136.63</c:v>
                </c:pt>
                <c:pt idx="93">
                  <c:v>133.6</c:v>
                </c:pt>
                <c:pt idx="94">
                  <c:v>134.08000000000001</c:v>
                </c:pt>
                <c:pt idx="95">
                  <c:v>134.09</c:v>
                </c:pt>
                <c:pt idx="96">
                  <c:v>134.13999999999999</c:v>
                </c:pt>
                <c:pt idx="97">
                  <c:v>134.13999999999999</c:v>
                </c:pt>
                <c:pt idx="98">
                  <c:v>137.32</c:v>
                </c:pt>
                <c:pt idx="99">
                  <c:v>137.91999999999999</c:v>
                </c:pt>
                <c:pt idx="100">
                  <c:v>137.47999999999999</c:v>
                </c:pt>
                <c:pt idx="101">
                  <c:v>137.18</c:v>
                </c:pt>
                <c:pt idx="102">
                  <c:v>137.9</c:v>
                </c:pt>
                <c:pt idx="103">
                  <c:v>140.55000000000001</c:v>
                </c:pt>
                <c:pt idx="104">
                  <c:v>140.58000000000001</c:v>
                </c:pt>
                <c:pt idx="105">
                  <c:v>152.08000000000001</c:v>
                </c:pt>
                <c:pt idx="106">
                  <c:v>151.22999999999999</c:v>
                </c:pt>
                <c:pt idx="107">
                  <c:v>151.80000000000001</c:v>
                </c:pt>
                <c:pt idx="108">
                  <c:v>152.24</c:v>
                </c:pt>
                <c:pt idx="109">
                  <c:v>151.58000000000001</c:v>
                </c:pt>
                <c:pt idx="110">
                  <c:v>152.04</c:v>
                </c:pt>
                <c:pt idx="111">
                  <c:v>152.06</c:v>
                </c:pt>
                <c:pt idx="112">
                  <c:v>152.35</c:v>
                </c:pt>
                <c:pt idx="113">
                  <c:v>156.85</c:v>
                </c:pt>
                <c:pt idx="114">
                  <c:v>156.65</c:v>
                </c:pt>
                <c:pt idx="115">
                  <c:v>157.63999999999999</c:v>
                </c:pt>
                <c:pt idx="116">
                  <c:v>155.38</c:v>
                </c:pt>
                <c:pt idx="117">
                  <c:v>155.66</c:v>
                </c:pt>
                <c:pt idx="118">
                  <c:v>157.41999999999999</c:v>
                </c:pt>
                <c:pt idx="119">
                  <c:v>156.44</c:v>
                </c:pt>
                <c:pt idx="120">
                  <c:v>155.85</c:v>
                </c:pt>
              </c:numCache>
            </c:numRef>
          </c:val>
          <c:smooth val="0"/>
        </c:ser>
        <c:dLbls>
          <c:showLegendKey val="0"/>
          <c:showVal val="0"/>
          <c:showCatName val="0"/>
          <c:showSerName val="0"/>
          <c:showPercent val="0"/>
          <c:showBubbleSize val="0"/>
        </c:dLbls>
        <c:marker val="1"/>
        <c:smooth val="0"/>
        <c:axId val="165670912"/>
        <c:axId val="165672448"/>
      </c:lineChart>
      <c:dateAx>
        <c:axId val="165670912"/>
        <c:scaling>
          <c:orientation val="minMax"/>
        </c:scaling>
        <c:delete val="0"/>
        <c:axPos val="b"/>
        <c:numFmt formatCode="dd/mm" sourceLinked="0"/>
        <c:majorTickMark val="out"/>
        <c:minorTickMark val="none"/>
        <c:tickLblPos val="nextTo"/>
        <c:txPr>
          <a:bodyPr rot="-5400000" vert="horz"/>
          <a:lstStyle/>
          <a:p>
            <a:pPr>
              <a:defRPr sz="600">
                <a:latin typeface="News Gothic Cyr" pitchFamily="34" charset="-52"/>
              </a:defRPr>
            </a:pPr>
            <a:endParaRPr lang="bg-BG"/>
          </a:p>
        </c:txPr>
        <c:crossAx val="165672448"/>
        <c:crosses val="autoZero"/>
        <c:auto val="0"/>
        <c:lblOffset val="100"/>
        <c:baseTimeUnit val="days"/>
      </c:dateAx>
      <c:valAx>
        <c:axId val="165672448"/>
        <c:scaling>
          <c:orientation val="minMax"/>
          <c:max val="160"/>
          <c:min val="120"/>
        </c:scaling>
        <c:delete val="0"/>
        <c:axPos val="l"/>
        <c:majorGridlines/>
        <c:numFmt formatCode="General" sourceLinked="1"/>
        <c:majorTickMark val="out"/>
        <c:minorTickMark val="none"/>
        <c:tickLblPos val="nextTo"/>
        <c:txPr>
          <a:bodyPr/>
          <a:lstStyle/>
          <a:p>
            <a:pPr>
              <a:defRPr sz="600">
                <a:latin typeface="News Gothic Cyr" pitchFamily="34" charset="-52"/>
              </a:defRPr>
            </a:pPr>
            <a:endParaRPr lang="bg-BG"/>
          </a:p>
        </c:txPr>
        <c:crossAx val="165670912"/>
        <c:crosses val="autoZero"/>
        <c:crossBetween val="between"/>
      </c:valAx>
    </c:plotArea>
    <c:plotVisOnly val="1"/>
    <c:dispBlanksAs val="gap"/>
    <c:showDLblsOverMax val="0"/>
  </c:chart>
  <c:spPr>
    <a:noFill/>
    <a:ln>
      <a:noFill/>
    </a:ln>
    <a:effectLst>
      <a:outerShdw blurRad="50800" dist="38100" dir="2700000" algn="tl" rotWithShape="0">
        <a:prstClr val="black">
          <a:alpha val="40000"/>
        </a:prstClr>
      </a:outerShdw>
    </a:effectLst>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0.53333</cdr:x>
      <cdr:y>0.05458</cdr:y>
    </cdr:from>
    <cdr:to>
      <cdr:x>0.97995</cdr:x>
      <cdr:y>0.89864</cdr:y>
    </cdr:to>
    <cdr:sp macro="" textlink="">
      <cdr:nvSpPr>
        <cdr:cNvPr id="2" name="Rectangle 1"/>
        <cdr:cNvSpPr/>
      </cdr:nvSpPr>
      <cdr:spPr>
        <a:xfrm xmlns:a="http://schemas.openxmlformats.org/drawingml/2006/main">
          <a:off x="1839287" y="149726"/>
          <a:ext cx="1540250" cy="2315411"/>
        </a:xfrm>
        <a:prstGeom xmlns:a="http://schemas.openxmlformats.org/drawingml/2006/main" prst="rect">
          <a:avLst/>
        </a:prstGeom>
        <a:solidFill xmlns:a="http://schemas.openxmlformats.org/drawingml/2006/main">
          <a:schemeClr val="accent1">
            <a:alpha val="2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solidFill>
                <a:sysClr val="windowText" lastClr="000000"/>
              </a:solidFill>
            </a:rPr>
            <a:t>Q2</a:t>
          </a:r>
          <a:endParaRPr lang="bg-BG">
            <a:solidFill>
              <a:sysClr val="windowText" lastClr="000000"/>
            </a:solidFill>
          </a:endParaRPr>
        </a:p>
      </cdr:txBody>
    </cdr:sp>
  </cdr:relSizeAnchor>
  <cdr:relSizeAnchor xmlns:cdr="http://schemas.openxmlformats.org/drawingml/2006/chartDrawing">
    <cdr:from>
      <cdr:x>0.09167</cdr:x>
      <cdr:y>0.05163</cdr:y>
    </cdr:from>
    <cdr:to>
      <cdr:x>0.16875</cdr:x>
      <cdr:y>0.13496</cdr:y>
    </cdr:to>
    <cdr:sp macro="" textlink="">
      <cdr:nvSpPr>
        <cdr:cNvPr id="3" name="TextBox 2"/>
        <cdr:cNvSpPr txBox="1"/>
      </cdr:nvSpPr>
      <cdr:spPr>
        <a:xfrm xmlns:a="http://schemas.openxmlformats.org/drawingml/2006/main">
          <a:off x="316141" y="141621"/>
          <a:ext cx="265825" cy="22859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Q1</a:t>
          </a:r>
          <a:endParaRPr lang="bg-BG" sz="1100"/>
        </a:p>
      </cdr:txBody>
    </cdr:sp>
  </cdr:relSizeAnchor>
</c:userShapes>
</file>

<file path=word/drawings/drawing2.xml><?xml version="1.0" encoding="utf-8"?>
<c:userShapes xmlns:c="http://schemas.openxmlformats.org/drawingml/2006/chart">
  <cdr:relSizeAnchor xmlns:cdr="http://schemas.openxmlformats.org/drawingml/2006/chartDrawing">
    <cdr:from>
      <cdr:x>0.53333</cdr:x>
      <cdr:y>0.05068</cdr:y>
    </cdr:from>
    <cdr:to>
      <cdr:x>0.96594</cdr:x>
      <cdr:y>0.87719</cdr:y>
    </cdr:to>
    <cdr:sp macro="" textlink="">
      <cdr:nvSpPr>
        <cdr:cNvPr id="2" name="Rectangle 1"/>
        <cdr:cNvSpPr/>
      </cdr:nvSpPr>
      <cdr:spPr>
        <a:xfrm xmlns:a="http://schemas.openxmlformats.org/drawingml/2006/main">
          <a:off x="1842335" y="139032"/>
          <a:ext cx="1494423" cy="2267284"/>
        </a:xfrm>
        <a:prstGeom xmlns:a="http://schemas.openxmlformats.org/drawingml/2006/main" prst="rect">
          <a:avLst/>
        </a:prstGeom>
        <a:solidFill xmlns:a="http://schemas.openxmlformats.org/drawingml/2006/main">
          <a:schemeClr val="accent1">
            <a:alpha val="2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solidFill>
                <a:sysClr val="windowText" lastClr="000000"/>
              </a:solidFill>
            </a:rPr>
            <a:t>Q2</a:t>
          </a:r>
          <a:endParaRPr lang="bg-BG">
            <a:solidFill>
              <a:sysClr val="windowText" lastClr="000000"/>
            </a:solidFill>
          </a:endParaRPr>
        </a:p>
      </cdr:txBody>
    </cdr:sp>
  </cdr:relSizeAnchor>
  <cdr:relSizeAnchor xmlns:cdr="http://schemas.openxmlformats.org/drawingml/2006/chartDrawing">
    <cdr:from>
      <cdr:x>0.09167</cdr:x>
      <cdr:y>0.03993</cdr:y>
    </cdr:from>
    <cdr:to>
      <cdr:x>0.16875</cdr:x>
      <cdr:y>0.12326</cdr:y>
    </cdr:to>
    <cdr:sp macro="" textlink="">
      <cdr:nvSpPr>
        <cdr:cNvPr id="3" name="TextBox 2"/>
        <cdr:cNvSpPr txBox="1"/>
      </cdr:nvSpPr>
      <cdr:spPr>
        <a:xfrm xmlns:a="http://schemas.openxmlformats.org/drawingml/2006/main">
          <a:off x="419100" y="109538"/>
          <a:ext cx="3524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Q1</a:t>
          </a:r>
          <a:endParaRPr lang="bg-BG" sz="1100"/>
        </a:p>
      </cdr:txBody>
    </cdr:sp>
  </cdr:relSizeAnchor>
  <cdr:relSizeAnchor xmlns:cdr="http://schemas.openxmlformats.org/drawingml/2006/chartDrawing">
    <cdr:from>
      <cdr:x>0.09167</cdr:x>
      <cdr:y>0.03993</cdr:y>
    </cdr:from>
    <cdr:to>
      <cdr:x>0.16875</cdr:x>
      <cdr:y>0.12326</cdr:y>
    </cdr:to>
    <cdr:sp macro="" textlink="">
      <cdr:nvSpPr>
        <cdr:cNvPr id="5" name="TextBox 2"/>
        <cdr:cNvSpPr txBox="1"/>
      </cdr:nvSpPr>
      <cdr:spPr>
        <a:xfrm xmlns:a="http://schemas.openxmlformats.org/drawingml/2006/main">
          <a:off x="419100" y="109538"/>
          <a:ext cx="3524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Q1</a:t>
          </a:r>
          <a:endParaRPr lang="bg-BG" sz="1100"/>
        </a:p>
      </cdr:txBody>
    </cdr:sp>
  </cdr:relSizeAnchor>
</c:userShapes>
</file>

<file path=word/drawings/drawing3.xml><?xml version="1.0" encoding="utf-8"?>
<c:userShapes xmlns:c="http://schemas.openxmlformats.org/drawingml/2006/chart">
  <cdr:relSizeAnchor xmlns:cdr="http://schemas.openxmlformats.org/drawingml/2006/chartDrawing">
    <cdr:from>
      <cdr:x>0.52421</cdr:x>
      <cdr:y>0.05604</cdr:y>
    </cdr:from>
    <cdr:to>
      <cdr:x>0.9638</cdr:x>
      <cdr:y>0.87077</cdr:y>
    </cdr:to>
    <cdr:sp macro="" textlink="">
      <cdr:nvSpPr>
        <cdr:cNvPr id="2" name="Rectangle 1"/>
        <cdr:cNvSpPr/>
      </cdr:nvSpPr>
      <cdr:spPr>
        <a:xfrm xmlns:a="http://schemas.openxmlformats.org/drawingml/2006/main">
          <a:off x="1844456" y="139031"/>
          <a:ext cx="1546713" cy="2021305"/>
        </a:xfrm>
        <a:prstGeom xmlns:a="http://schemas.openxmlformats.org/drawingml/2006/main" prst="rect">
          <a:avLst/>
        </a:prstGeom>
        <a:solidFill xmlns:a="http://schemas.openxmlformats.org/drawingml/2006/main">
          <a:schemeClr val="accent1">
            <a:alpha val="2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solidFill>
                <a:sysClr val="windowText" lastClr="000000"/>
              </a:solidFill>
            </a:rPr>
            <a:t>Q2</a:t>
          </a:r>
          <a:endParaRPr lang="bg-BG">
            <a:solidFill>
              <a:sysClr val="windowText" lastClr="000000"/>
            </a:solidFill>
          </a:endParaRPr>
        </a:p>
      </cdr:txBody>
    </cdr:sp>
  </cdr:relSizeAnchor>
  <cdr:relSizeAnchor xmlns:cdr="http://schemas.openxmlformats.org/drawingml/2006/chartDrawing">
    <cdr:from>
      <cdr:x>0.09167</cdr:x>
      <cdr:y>0.06364</cdr:y>
    </cdr:from>
    <cdr:to>
      <cdr:x>0.16875</cdr:x>
      <cdr:y>0.14697</cdr:y>
    </cdr:to>
    <cdr:sp macro="" textlink="">
      <cdr:nvSpPr>
        <cdr:cNvPr id="3" name="TextBox 2"/>
        <cdr:cNvSpPr txBox="1"/>
      </cdr:nvSpPr>
      <cdr:spPr>
        <a:xfrm xmlns:a="http://schemas.openxmlformats.org/drawingml/2006/main">
          <a:off x="322544" y="157885"/>
          <a:ext cx="271209" cy="2067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Q1</a:t>
          </a:r>
          <a:endParaRPr lang="bg-BG" sz="1100"/>
        </a:p>
      </cdr:txBody>
    </cdr:sp>
  </cdr:relSizeAnchor>
</c:userShapes>
</file>

<file path=word/drawings/drawing4.xml><?xml version="1.0" encoding="utf-8"?>
<c:userShapes xmlns:c="http://schemas.openxmlformats.org/drawingml/2006/chart">
  <cdr:relSizeAnchor xmlns:cdr="http://schemas.openxmlformats.org/drawingml/2006/chartDrawing">
    <cdr:from>
      <cdr:x>0.53333</cdr:x>
      <cdr:y>0.05766</cdr:y>
    </cdr:from>
    <cdr:to>
      <cdr:x>0.96125</cdr:x>
      <cdr:y>0.86431</cdr:y>
    </cdr:to>
    <cdr:sp macro="" textlink="">
      <cdr:nvSpPr>
        <cdr:cNvPr id="2" name="Rectangle 1"/>
        <cdr:cNvSpPr/>
      </cdr:nvSpPr>
      <cdr:spPr>
        <a:xfrm xmlns:a="http://schemas.openxmlformats.org/drawingml/2006/main">
          <a:off x="1759362" y="143044"/>
          <a:ext cx="1411627" cy="2001251"/>
        </a:xfrm>
        <a:prstGeom xmlns:a="http://schemas.openxmlformats.org/drawingml/2006/main" prst="rect">
          <a:avLst/>
        </a:prstGeom>
        <a:solidFill xmlns:a="http://schemas.openxmlformats.org/drawingml/2006/main">
          <a:schemeClr val="accent1">
            <a:alpha val="2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solidFill>
                <a:sysClr val="windowText" lastClr="000000"/>
              </a:solidFill>
            </a:rPr>
            <a:t>Q2</a:t>
          </a:r>
          <a:endParaRPr lang="bg-BG">
            <a:solidFill>
              <a:sysClr val="windowText" lastClr="000000"/>
            </a:solidFill>
          </a:endParaRPr>
        </a:p>
      </cdr:txBody>
    </cdr:sp>
  </cdr:relSizeAnchor>
  <cdr:relSizeAnchor xmlns:cdr="http://schemas.openxmlformats.org/drawingml/2006/chartDrawing">
    <cdr:from>
      <cdr:x>0.09167</cdr:x>
      <cdr:y>0.03993</cdr:y>
    </cdr:from>
    <cdr:to>
      <cdr:x>0.16875</cdr:x>
      <cdr:y>0.12326</cdr:y>
    </cdr:to>
    <cdr:sp macro="" textlink="">
      <cdr:nvSpPr>
        <cdr:cNvPr id="3" name="TextBox 2"/>
        <cdr:cNvSpPr txBox="1"/>
      </cdr:nvSpPr>
      <cdr:spPr>
        <a:xfrm xmlns:a="http://schemas.openxmlformats.org/drawingml/2006/main">
          <a:off x="419100" y="109538"/>
          <a:ext cx="3524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Q1</a:t>
          </a:r>
          <a:endParaRPr lang="bg-BG" sz="1100"/>
        </a:p>
      </cdr:txBody>
    </cdr:sp>
  </cdr:relSizeAnchor>
  <cdr:relSizeAnchor xmlns:cdr="http://schemas.openxmlformats.org/drawingml/2006/chartDrawing">
    <cdr:from>
      <cdr:x>0.09167</cdr:x>
      <cdr:y>0.03993</cdr:y>
    </cdr:from>
    <cdr:to>
      <cdr:x>0.16875</cdr:x>
      <cdr:y>0.12326</cdr:y>
    </cdr:to>
    <cdr:sp macro="" textlink="">
      <cdr:nvSpPr>
        <cdr:cNvPr id="5" name="TextBox 2"/>
        <cdr:cNvSpPr txBox="1"/>
      </cdr:nvSpPr>
      <cdr:spPr>
        <a:xfrm xmlns:a="http://schemas.openxmlformats.org/drawingml/2006/main">
          <a:off x="419100" y="109538"/>
          <a:ext cx="352425"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Q1</a:t>
          </a:r>
          <a:endParaRPr lang="bg-BG" sz="1100"/>
        </a:p>
      </cdr:txBody>
    </cdr:sp>
  </cdr:relSizeAnchor>
</c:userShapes>
</file>

<file path=word/drawings/drawing5.xml><?xml version="1.0" encoding="utf-8"?>
<c:userShapes xmlns:c="http://schemas.openxmlformats.org/drawingml/2006/chart">
  <cdr:relSizeAnchor xmlns:cdr="http://schemas.openxmlformats.org/drawingml/2006/chartDrawing">
    <cdr:from>
      <cdr:x>0.51332</cdr:x>
      <cdr:y>0.24172</cdr:y>
    </cdr:from>
    <cdr:to>
      <cdr:x>0.95011</cdr:x>
      <cdr:y>0.8616</cdr:y>
    </cdr:to>
    <cdr:sp macro="" textlink="">
      <cdr:nvSpPr>
        <cdr:cNvPr id="2" name="Rectangle 1"/>
        <cdr:cNvSpPr/>
      </cdr:nvSpPr>
      <cdr:spPr>
        <a:xfrm xmlns:a="http://schemas.openxmlformats.org/drawingml/2006/main">
          <a:off x="1860884" y="663075"/>
          <a:ext cx="1583483" cy="1700462"/>
        </a:xfrm>
        <a:prstGeom xmlns:a="http://schemas.openxmlformats.org/drawingml/2006/main" prst="rect">
          <a:avLst/>
        </a:prstGeom>
        <a:solidFill xmlns:a="http://schemas.openxmlformats.org/drawingml/2006/main">
          <a:schemeClr val="accent1">
            <a:alpha val="2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sz="600">
              <a:solidFill>
                <a:sysClr val="windowText" lastClr="000000"/>
              </a:solidFill>
              <a:latin typeface="News Gothic Cyr" pitchFamily="34" charset="-52"/>
            </a:rPr>
            <a:t>Q2</a:t>
          </a:r>
          <a:endParaRPr lang="bg-BG" sz="600">
            <a:solidFill>
              <a:sysClr val="windowText" lastClr="000000"/>
            </a:solidFill>
            <a:latin typeface="News Gothic Cyr" pitchFamily="34" charset="-52"/>
          </a:endParaRPr>
        </a:p>
      </cdr:txBody>
    </cdr:sp>
  </cdr:relSizeAnchor>
  <cdr:relSizeAnchor xmlns:cdr="http://schemas.openxmlformats.org/drawingml/2006/chartDrawing">
    <cdr:from>
      <cdr:x>0.1237</cdr:x>
      <cdr:y>0.23587</cdr:y>
    </cdr:from>
    <cdr:to>
      <cdr:x>0.20539</cdr:x>
      <cdr:y>0.31774</cdr:y>
    </cdr:to>
    <cdr:sp macro="" textlink="">
      <cdr:nvSpPr>
        <cdr:cNvPr id="3" name="Text Box 2"/>
        <cdr:cNvSpPr txBox="1"/>
      </cdr:nvSpPr>
      <cdr:spPr>
        <a:xfrm xmlns:a="http://schemas.openxmlformats.org/drawingml/2006/main">
          <a:off x="566819" y="647031"/>
          <a:ext cx="374317" cy="2245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latin typeface="News Gothic Cyr" pitchFamily="34" charset="-52"/>
            </a:rPr>
            <a:t>Q1</a:t>
          </a:r>
          <a:endParaRPr lang="bg-BG" sz="600">
            <a:latin typeface="News Gothic Cyr" pitchFamily="34" charset="-52"/>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0.53333</cdr:x>
      <cdr:y>0.04912</cdr:y>
    </cdr:from>
    <cdr:to>
      <cdr:x>0.95823</cdr:x>
      <cdr:y>0.8316</cdr:y>
    </cdr:to>
    <cdr:sp macro="" textlink="">
      <cdr:nvSpPr>
        <cdr:cNvPr id="2" name="Rectangle 1"/>
        <cdr:cNvSpPr/>
      </cdr:nvSpPr>
      <cdr:spPr>
        <a:xfrm xmlns:a="http://schemas.openxmlformats.org/drawingml/2006/main">
          <a:off x="1804405" y="134753"/>
          <a:ext cx="1437558" cy="2146491"/>
        </a:xfrm>
        <a:prstGeom xmlns:a="http://schemas.openxmlformats.org/drawingml/2006/main" prst="rect">
          <a:avLst/>
        </a:prstGeom>
        <a:solidFill xmlns:a="http://schemas.openxmlformats.org/drawingml/2006/main">
          <a:schemeClr val="accent1">
            <a:alpha val="2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sz="600">
              <a:solidFill>
                <a:sysClr val="windowText" lastClr="000000"/>
              </a:solidFill>
            </a:rPr>
            <a:t>Q2</a:t>
          </a:r>
          <a:endParaRPr lang="bg-BG" sz="600">
            <a:solidFill>
              <a:sysClr val="windowText" lastClr="000000"/>
            </a:solidFill>
          </a:endParaRPr>
        </a:p>
      </cdr:txBody>
    </cdr:sp>
  </cdr:relSizeAnchor>
  <cdr:relSizeAnchor xmlns:cdr="http://schemas.openxmlformats.org/drawingml/2006/chartDrawing">
    <cdr:from>
      <cdr:x>0.10848</cdr:x>
      <cdr:y>0.04631</cdr:y>
    </cdr:from>
    <cdr:to>
      <cdr:x>0.1888</cdr:x>
      <cdr:y>0.126</cdr:y>
    </cdr:to>
    <cdr:sp macro="" textlink="">
      <cdr:nvSpPr>
        <cdr:cNvPr id="3" name="TextBox 2"/>
        <cdr:cNvSpPr txBox="1"/>
      </cdr:nvSpPr>
      <cdr:spPr>
        <a:xfrm xmlns:a="http://schemas.openxmlformats.org/drawingml/2006/main">
          <a:off x="367021" y="127038"/>
          <a:ext cx="271745" cy="2185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600"/>
            <a:t>Q1</a:t>
          </a:r>
          <a:endParaRPr lang="bg-BG" sz="600"/>
        </a:p>
      </cdr:txBody>
    </cdr:sp>
  </cdr:relSizeAnchor>
</c:userShape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1C22C-A0B8-4592-A32B-A685B7FA7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6871</Words>
  <Characters>39170</Characters>
  <Application>Microsoft Office Word</Application>
  <DocSecurity>0</DocSecurity>
  <Lines>326</Lines>
  <Paragraphs>91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През първите шест месеца на 2006г</vt:lpstr>
      <vt:lpstr>През първите шест месеца на 2006г</vt:lpstr>
    </vt:vector>
  </TitlesOfParts>
  <Company/>
  <LinksUpToDate>false</LinksUpToDate>
  <CharactersWithSpaces>45950</CharactersWithSpaces>
  <SharedDoc>false</SharedDoc>
  <HLinks>
    <vt:vector size="186" baseType="variant">
      <vt:variant>
        <vt:i4>1835059</vt:i4>
      </vt:variant>
      <vt:variant>
        <vt:i4>182</vt:i4>
      </vt:variant>
      <vt:variant>
        <vt:i4>0</vt:i4>
      </vt:variant>
      <vt:variant>
        <vt:i4>5</vt:i4>
      </vt:variant>
      <vt:variant>
        <vt:lpwstr/>
      </vt:variant>
      <vt:variant>
        <vt:lpwstr>_Toc291160636</vt:lpwstr>
      </vt:variant>
      <vt:variant>
        <vt:i4>1835059</vt:i4>
      </vt:variant>
      <vt:variant>
        <vt:i4>176</vt:i4>
      </vt:variant>
      <vt:variant>
        <vt:i4>0</vt:i4>
      </vt:variant>
      <vt:variant>
        <vt:i4>5</vt:i4>
      </vt:variant>
      <vt:variant>
        <vt:lpwstr/>
      </vt:variant>
      <vt:variant>
        <vt:lpwstr>_Toc291160635</vt:lpwstr>
      </vt:variant>
      <vt:variant>
        <vt:i4>1835059</vt:i4>
      </vt:variant>
      <vt:variant>
        <vt:i4>170</vt:i4>
      </vt:variant>
      <vt:variant>
        <vt:i4>0</vt:i4>
      </vt:variant>
      <vt:variant>
        <vt:i4>5</vt:i4>
      </vt:variant>
      <vt:variant>
        <vt:lpwstr/>
      </vt:variant>
      <vt:variant>
        <vt:lpwstr>_Toc291160634</vt:lpwstr>
      </vt:variant>
      <vt:variant>
        <vt:i4>1835059</vt:i4>
      </vt:variant>
      <vt:variant>
        <vt:i4>164</vt:i4>
      </vt:variant>
      <vt:variant>
        <vt:i4>0</vt:i4>
      </vt:variant>
      <vt:variant>
        <vt:i4>5</vt:i4>
      </vt:variant>
      <vt:variant>
        <vt:lpwstr/>
      </vt:variant>
      <vt:variant>
        <vt:lpwstr>_Toc291160633</vt:lpwstr>
      </vt:variant>
      <vt:variant>
        <vt:i4>1835059</vt:i4>
      </vt:variant>
      <vt:variant>
        <vt:i4>158</vt:i4>
      </vt:variant>
      <vt:variant>
        <vt:i4>0</vt:i4>
      </vt:variant>
      <vt:variant>
        <vt:i4>5</vt:i4>
      </vt:variant>
      <vt:variant>
        <vt:lpwstr/>
      </vt:variant>
      <vt:variant>
        <vt:lpwstr>_Toc291160632</vt:lpwstr>
      </vt:variant>
      <vt:variant>
        <vt:i4>1835059</vt:i4>
      </vt:variant>
      <vt:variant>
        <vt:i4>152</vt:i4>
      </vt:variant>
      <vt:variant>
        <vt:i4>0</vt:i4>
      </vt:variant>
      <vt:variant>
        <vt:i4>5</vt:i4>
      </vt:variant>
      <vt:variant>
        <vt:lpwstr/>
      </vt:variant>
      <vt:variant>
        <vt:lpwstr>_Toc291160631</vt:lpwstr>
      </vt:variant>
      <vt:variant>
        <vt:i4>1835059</vt:i4>
      </vt:variant>
      <vt:variant>
        <vt:i4>146</vt:i4>
      </vt:variant>
      <vt:variant>
        <vt:i4>0</vt:i4>
      </vt:variant>
      <vt:variant>
        <vt:i4>5</vt:i4>
      </vt:variant>
      <vt:variant>
        <vt:lpwstr/>
      </vt:variant>
      <vt:variant>
        <vt:lpwstr>_Toc291160630</vt:lpwstr>
      </vt:variant>
      <vt:variant>
        <vt:i4>1900595</vt:i4>
      </vt:variant>
      <vt:variant>
        <vt:i4>140</vt:i4>
      </vt:variant>
      <vt:variant>
        <vt:i4>0</vt:i4>
      </vt:variant>
      <vt:variant>
        <vt:i4>5</vt:i4>
      </vt:variant>
      <vt:variant>
        <vt:lpwstr/>
      </vt:variant>
      <vt:variant>
        <vt:lpwstr>_Toc291160629</vt:lpwstr>
      </vt:variant>
      <vt:variant>
        <vt:i4>1900595</vt:i4>
      </vt:variant>
      <vt:variant>
        <vt:i4>134</vt:i4>
      </vt:variant>
      <vt:variant>
        <vt:i4>0</vt:i4>
      </vt:variant>
      <vt:variant>
        <vt:i4>5</vt:i4>
      </vt:variant>
      <vt:variant>
        <vt:lpwstr/>
      </vt:variant>
      <vt:variant>
        <vt:lpwstr>_Toc291160628</vt:lpwstr>
      </vt:variant>
      <vt:variant>
        <vt:i4>1900595</vt:i4>
      </vt:variant>
      <vt:variant>
        <vt:i4>128</vt:i4>
      </vt:variant>
      <vt:variant>
        <vt:i4>0</vt:i4>
      </vt:variant>
      <vt:variant>
        <vt:i4>5</vt:i4>
      </vt:variant>
      <vt:variant>
        <vt:lpwstr/>
      </vt:variant>
      <vt:variant>
        <vt:lpwstr>_Toc291160627</vt:lpwstr>
      </vt:variant>
      <vt:variant>
        <vt:i4>1900595</vt:i4>
      </vt:variant>
      <vt:variant>
        <vt:i4>122</vt:i4>
      </vt:variant>
      <vt:variant>
        <vt:i4>0</vt:i4>
      </vt:variant>
      <vt:variant>
        <vt:i4>5</vt:i4>
      </vt:variant>
      <vt:variant>
        <vt:lpwstr/>
      </vt:variant>
      <vt:variant>
        <vt:lpwstr>_Toc291160626</vt:lpwstr>
      </vt:variant>
      <vt:variant>
        <vt:i4>1900595</vt:i4>
      </vt:variant>
      <vt:variant>
        <vt:i4>116</vt:i4>
      </vt:variant>
      <vt:variant>
        <vt:i4>0</vt:i4>
      </vt:variant>
      <vt:variant>
        <vt:i4>5</vt:i4>
      </vt:variant>
      <vt:variant>
        <vt:lpwstr/>
      </vt:variant>
      <vt:variant>
        <vt:lpwstr>_Toc291160625</vt:lpwstr>
      </vt:variant>
      <vt:variant>
        <vt:i4>1900595</vt:i4>
      </vt:variant>
      <vt:variant>
        <vt:i4>110</vt:i4>
      </vt:variant>
      <vt:variant>
        <vt:i4>0</vt:i4>
      </vt:variant>
      <vt:variant>
        <vt:i4>5</vt:i4>
      </vt:variant>
      <vt:variant>
        <vt:lpwstr/>
      </vt:variant>
      <vt:variant>
        <vt:lpwstr>_Toc291160624</vt:lpwstr>
      </vt:variant>
      <vt:variant>
        <vt:i4>1900595</vt:i4>
      </vt:variant>
      <vt:variant>
        <vt:i4>104</vt:i4>
      </vt:variant>
      <vt:variant>
        <vt:i4>0</vt:i4>
      </vt:variant>
      <vt:variant>
        <vt:i4>5</vt:i4>
      </vt:variant>
      <vt:variant>
        <vt:lpwstr/>
      </vt:variant>
      <vt:variant>
        <vt:lpwstr>_Toc291160623</vt:lpwstr>
      </vt:variant>
      <vt:variant>
        <vt:i4>1900595</vt:i4>
      </vt:variant>
      <vt:variant>
        <vt:i4>98</vt:i4>
      </vt:variant>
      <vt:variant>
        <vt:i4>0</vt:i4>
      </vt:variant>
      <vt:variant>
        <vt:i4>5</vt:i4>
      </vt:variant>
      <vt:variant>
        <vt:lpwstr/>
      </vt:variant>
      <vt:variant>
        <vt:lpwstr>_Toc291160622</vt:lpwstr>
      </vt:variant>
      <vt:variant>
        <vt:i4>1900595</vt:i4>
      </vt:variant>
      <vt:variant>
        <vt:i4>92</vt:i4>
      </vt:variant>
      <vt:variant>
        <vt:i4>0</vt:i4>
      </vt:variant>
      <vt:variant>
        <vt:i4>5</vt:i4>
      </vt:variant>
      <vt:variant>
        <vt:lpwstr/>
      </vt:variant>
      <vt:variant>
        <vt:lpwstr>_Toc291160621</vt:lpwstr>
      </vt:variant>
      <vt:variant>
        <vt:i4>1900595</vt:i4>
      </vt:variant>
      <vt:variant>
        <vt:i4>86</vt:i4>
      </vt:variant>
      <vt:variant>
        <vt:i4>0</vt:i4>
      </vt:variant>
      <vt:variant>
        <vt:i4>5</vt:i4>
      </vt:variant>
      <vt:variant>
        <vt:lpwstr/>
      </vt:variant>
      <vt:variant>
        <vt:lpwstr>_Toc291160620</vt:lpwstr>
      </vt:variant>
      <vt:variant>
        <vt:i4>1966131</vt:i4>
      </vt:variant>
      <vt:variant>
        <vt:i4>80</vt:i4>
      </vt:variant>
      <vt:variant>
        <vt:i4>0</vt:i4>
      </vt:variant>
      <vt:variant>
        <vt:i4>5</vt:i4>
      </vt:variant>
      <vt:variant>
        <vt:lpwstr/>
      </vt:variant>
      <vt:variant>
        <vt:lpwstr>_Toc291160619</vt:lpwstr>
      </vt:variant>
      <vt:variant>
        <vt:i4>1966131</vt:i4>
      </vt:variant>
      <vt:variant>
        <vt:i4>74</vt:i4>
      </vt:variant>
      <vt:variant>
        <vt:i4>0</vt:i4>
      </vt:variant>
      <vt:variant>
        <vt:i4>5</vt:i4>
      </vt:variant>
      <vt:variant>
        <vt:lpwstr/>
      </vt:variant>
      <vt:variant>
        <vt:lpwstr>_Toc291160618</vt:lpwstr>
      </vt:variant>
      <vt:variant>
        <vt:i4>1966131</vt:i4>
      </vt:variant>
      <vt:variant>
        <vt:i4>68</vt:i4>
      </vt:variant>
      <vt:variant>
        <vt:i4>0</vt:i4>
      </vt:variant>
      <vt:variant>
        <vt:i4>5</vt:i4>
      </vt:variant>
      <vt:variant>
        <vt:lpwstr/>
      </vt:variant>
      <vt:variant>
        <vt:lpwstr>_Toc291160617</vt:lpwstr>
      </vt:variant>
      <vt:variant>
        <vt:i4>1966131</vt:i4>
      </vt:variant>
      <vt:variant>
        <vt:i4>62</vt:i4>
      </vt:variant>
      <vt:variant>
        <vt:i4>0</vt:i4>
      </vt:variant>
      <vt:variant>
        <vt:i4>5</vt:i4>
      </vt:variant>
      <vt:variant>
        <vt:lpwstr/>
      </vt:variant>
      <vt:variant>
        <vt:lpwstr>_Toc291160616</vt:lpwstr>
      </vt:variant>
      <vt:variant>
        <vt:i4>1966131</vt:i4>
      </vt:variant>
      <vt:variant>
        <vt:i4>56</vt:i4>
      </vt:variant>
      <vt:variant>
        <vt:i4>0</vt:i4>
      </vt:variant>
      <vt:variant>
        <vt:i4>5</vt:i4>
      </vt:variant>
      <vt:variant>
        <vt:lpwstr/>
      </vt:variant>
      <vt:variant>
        <vt:lpwstr>_Toc291160615</vt:lpwstr>
      </vt:variant>
      <vt:variant>
        <vt:i4>1966131</vt:i4>
      </vt:variant>
      <vt:variant>
        <vt:i4>50</vt:i4>
      </vt:variant>
      <vt:variant>
        <vt:i4>0</vt:i4>
      </vt:variant>
      <vt:variant>
        <vt:i4>5</vt:i4>
      </vt:variant>
      <vt:variant>
        <vt:lpwstr/>
      </vt:variant>
      <vt:variant>
        <vt:lpwstr>_Toc291160614</vt:lpwstr>
      </vt:variant>
      <vt:variant>
        <vt:i4>1966131</vt:i4>
      </vt:variant>
      <vt:variant>
        <vt:i4>44</vt:i4>
      </vt:variant>
      <vt:variant>
        <vt:i4>0</vt:i4>
      </vt:variant>
      <vt:variant>
        <vt:i4>5</vt:i4>
      </vt:variant>
      <vt:variant>
        <vt:lpwstr/>
      </vt:variant>
      <vt:variant>
        <vt:lpwstr>_Toc291160613</vt:lpwstr>
      </vt:variant>
      <vt:variant>
        <vt:i4>1966131</vt:i4>
      </vt:variant>
      <vt:variant>
        <vt:i4>38</vt:i4>
      </vt:variant>
      <vt:variant>
        <vt:i4>0</vt:i4>
      </vt:variant>
      <vt:variant>
        <vt:i4>5</vt:i4>
      </vt:variant>
      <vt:variant>
        <vt:lpwstr/>
      </vt:variant>
      <vt:variant>
        <vt:lpwstr>_Toc291160612</vt:lpwstr>
      </vt:variant>
      <vt:variant>
        <vt:i4>1966131</vt:i4>
      </vt:variant>
      <vt:variant>
        <vt:i4>32</vt:i4>
      </vt:variant>
      <vt:variant>
        <vt:i4>0</vt:i4>
      </vt:variant>
      <vt:variant>
        <vt:i4>5</vt:i4>
      </vt:variant>
      <vt:variant>
        <vt:lpwstr/>
      </vt:variant>
      <vt:variant>
        <vt:lpwstr>_Toc291160611</vt:lpwstr>
      </vt:variant>
      <vt:variant>
        <vt:i4>1966131</vt:i4>
      </vt:variant>
      <vt:variant>
        <vt:i4>26</vt:i4>
      </vt:variant>
      <vt:variant>
        <vt:i4>0</vt:i4>
      </vt:variant>
      <vt:variant>
        <vt:i4>5</vt:i4>
      </vt:variant>
      <vt:variant>
        <vt:lpwstr/>
      </vt:variant>
      <vt:variant>
        <vt:lpwstr>_Toc291160610</vt:lpwstr>
      </vt:variant>
      <vt:variant>
        <vt:i4>2031667</vt:i4>
      </vt:variant>
      <vt:variant>
        <vt:i4>20</vt:i4>
      </vt:variant>
      <vt:variant>
        <vt:i4>0</vt:i4>
      </vt:variant>
      <vt:variant>
        <vt:i4>5</vt:i4>
      </vt:variant>
      <vt:variant>
        <vt:lpwstr/>
      </vt:variant>
      <vt:variant>
        <vt:lpwstr>_Toc291160609</vt:lpwstr>
      </vt:variant>
      <vt:variant>
        <vt:i4>2031667</vt:i4>
      </vt:variant>
      <vt:variant>
        <vt:i4>14</vt:i4>
      </vt:variant>
      <vt:variant>
        <vt:i4>0</vt:i4>
      </vt:variant>
      <vt:variant>
        <vt:i4>5</vt:i4>
      </vt:variant>
      <vt:variant>
        <vt:lpwstr/>
      </vt:variant>
      <vt:variant>
        <vt:lpwstr>_Toc291160608</vt:lpwstr>
      </vt:variant>
      <vt:variant>
        <vt:i4>2031667</vt:i4>
      </vt:variant>
      <vt:variant>
        <vt:i4>8</vt:i4>
      </vt:variant>
      <vt:variant>
        <vt:i4>0</vt:i4>
      </vt:variant>
      <vt:variant>
        <vt:i4>5</vt:i4>
      </vt:variant>
      <vt:variant>
        <vt:lpwstr/>
      </vt:variant>
      <vt:variant>
        <vt:lpwstr>_Toc291160607</vt:lpwstr>
      </vt:variant>
      <vt:variant>
        <vt:i4>2031667</vt:i4>
      </vt:variant>
      <vt:variant>
        <vt:i4>2</vt:i4>
      </vt:variant>
      <vt:variant>
        <vt:i4>0</vt:i4>
      </vt:variant>
      <vt:variant>
        <vt:i4>5</vt:i4>
      </vt:variant>
      <vt:variant>
        <vt:lpwstr/>
      </vt:variant>
      <vt:variant>
        <vt:lpwstr>_Toc291160606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 първите шест месеца на 2006г</dc:title>
  <dc:creator>petar</dc:creator>
  <cp:lastModifiedBy>Иво Станков</cp:lastModifiedBy>
  <cp:revision>5</cp:revision>
  <cp:lastPrinted>2013-07-29T15:39:00Z</cp:lastPrinted>
  <dcterms:created xsi:type="dcterms:W3CDTF">2013-07-29T15:05:00Z</dcterms:created>
  <dcterms:modified xsi:type="dcterms:W3CDTF">2013-07-29T15:41:00Z</dcterms:modified>
</cp:coreProperties>
</file>